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1</w:t>
      </w:r>
    </w:p>
    <w:p>
      <w:pPr>
        <w:jc w:val="center"/>
      </w:pPr>
      <w:r>
        <w:rPr>
          <w:color w:val="005CA8"/>
          <w:sz w:val="26"/>
        </w:rPr>
        <w:t>Iron &amp; Steel · Copper &amp; Allied Metals · Automotive Value Chains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1.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ATMs</w:t>
            </w:r>
          </w:p>
        </w:tc>
        <w:tc>
          <w:tcPr>
            <w:tcW w:type="dxa" w:w="4703"/>
            <w:shd w:val="clear" w:color="auto" w:fill="EEF3F9"/>
          </w:tcPr>
          <w:p>
            <w:r>
              <w:rPr>
                <w:sz w:val="18"/>
              </w:rPr>
              <w:t>Agro-industrialization, Tourism, Minerals, and Science, Technology &amp; Innovation (Tenfold Growth Strategy pillars)</w:t>
            </w:r>
          </w:p>
        </w:tc>
      </w:tr>
      <w:tr>
        <w:tc>
          <w:tcPr>
            <w:tcW w:type="dxa" w:w="4703"/>
            <w:shd w:val="clear" w:color="auto" w:fill="FFFFFF"/>
          </w:tcPr>
          <w:p>
            <w:r>
              <w:rPr>
                <w:sz w:val="18"/>
              </w:rPr>
              <w:t>BRT</w:t>
            </w:r>
          </w:p>
        </w:tc>
        <w:tc>
          <w:tcPr>
            <w:tcW w:type="dxa" w:w="4703"/>
            <w:shd w:val="clear" w:color="auto" w:fill="FFFFFF"/>
          </w:tcPr>
          <w:p>
            <w:r>
              <w:rPr>
                <w:sz w:val="18"/>
              </w:rPr>
              <w:t>Bus Rapid Transit</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CET</w:t>
            </w:r>
          </w:p>
        </w:tc>
        <w:tc>
          <w:tcPr>
            <w:tcW w:type="dxa" w:w="4703"/>
            <w:shd w:val="clear" w:color="auto" w:fill="FFFFFF"/>
          </w:tcPr>
          <w:p>
            <w:r>
              <w:rPr>
                <w:sz w:val="18"/>
              </w:rPr>
              <w:t>Common External Tariff</w:t>
            </w:r>
          </w:p>
        </w:tc>
      </w:tr>
      <w:tr>
        <w:tc>
          <w:tcPr>
            <w:tcW w:type="dxa" w:w="4703"/>
            <w:shd w:val="clear" w:color="auto" w:fill="EEF3F9"/>
          </w:tcPr>
          <w:p>
            <w:r>
              <w:rPr>
                <w:sz w:val="18"/>
              </w:rPr>
              <w:t>CKD</w:t>
            </w:r>
          </w:p>
        </w:tc>
        <w:tc>
          <w:tcPr>
            <w:tcW w:type="dxa" w:w="4703"/>
            <w:shd w:val="clear" w:color="auto" w:fill="EEF3F9"/>
          </w:tcPr>
          <w:p>
            <w:r>
              <w:rPr>
                <w:sz w:val="18"/>
              </w:rPr>
              <w:t>Completely Knocked Down (vehicle assembly kits)</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DRI</w:t>
            </w:r>
          </w:p>
        </w:tc>
        <w:tc>
          <w:tcPr>
            <w:tcW w:type="dxa" w:w="4703"/>
            <w:shd w:val="clear" w:color="auto" w:fill="EEF3F9"/>
          </w:tcPr>
          <w:p>
            <w:r>
              <w:rPr>
                <w:sz w:val="18"/>
              </w:rPr>
              <w:t>Direct Reduced Iron (sponge iron)</w:t>
            </w:r>
          </w:p>
        </w:tc>
      </w:tr>
      <w:tr>
        <w:tc>
          <w:tcPr>
            <w:tcW w:type="dxa" w:w="4703"/>
            <w:shd w:val="clear" w:color="auto" w:fill="FFFFFF"/>
          </w:tcPr>
          <w:p>
            <w:r>
              <w:rPr>
                <w:sz w:val="18"/>
              </w:rPr>
              <w:t>EAC</w:t>
            </w:r>
          </w:p>
        </w:tc>
        <w:tc>
          <w:tcPr>
            <w:tcW w:type="dxa" w:w="4703"/>
            <w:shd w:val="clear" w:color="auto" w:fill="FFFFFF"/>
          </w:tcPr>
          <w:p>
            <w:r>
              <w:rPr>
                <w:sz w:val="18"/>
              </w:rPr>
              <w:t>East African Community</w:t>
            </w:r>
          </w:p>
        </w:tc>
      </w:tr>
      <w:tr>
        <w:tc>
          <w:tcPr>
            <w:tcW w:type="dxa" w:w="4703"/>
            <w:shd w:val="clear" w:color="auto" w:fill="EEF3F9"/>
          </w:tcPr>
          <w:p>
            <w:r>
              <w:rPr>
                <w:sz w:val="18"/>
              </w:rPr>
              <w:t>EADB</w:t>
            </w:r>
          </w:p>
        </w:tc>
        <w:tc>
          <w:tcPr>
            <w:tcW w:type="dxa" w:w="4703"/>
            <w:shd w:val="clear" w:color="auto" w:fill="EEF3F9"/>
          </w:tcPr>
          <w:p>
            <w:r>
              <w:rPr>
                <w:sz w:val="18"/>
              </w:rPr>
              <w:t>East African Development Bank</w:t>
            </w:r>
          </w:p>
        </w:tc>
      </w:tr>
      <w:tr>
        <w:tc>
          <w:tcPr>
            <w:tcW w:type="dxa" w:w="4703"/>
            <w:shd w:val="clear" w:color="auto" w:fill="FFFFFF"/>
          </w:tcPr>
          <w:p>
            <w:r>
              <w:rPr>
                <w:sz w:val="18"/>
              </w:rPr>
              <w:t>EAF</w:t>
            </w:r>
          </w:p>
        </w:tc>
        <w:tc>
          <w:tcPr>
            <w:tcW w:type="dxa" w:w="4703"/>
            <w:shd w:val="clear" w:color="auto" w:fill="FFFFFF"/>
          </w:tcPr>
          <w:p>
            <w:r>
              <w:rPr>
                <w:sz w:val="18"/>
              </w:rPr>
              <w:t>Electric Arc Furnace</w:t>
            </w:r>
          </w:p>
        </w:tc>
      </w:tr>
      <w:tr>
        <w:tc>
          <w:tcPr>
            <w:tcW w:type="dxa" w:w="4703"/>
            <w:shd w:val="clear" w:color="auto" w:fill="EEF3F9"/>
          </w:tcPr>
          <w:p>
            <w:r>
              <w:rPr>
                <w:sz w:val="18"/>
              </w:rPr>
              <w:t>ERA</w:t>
            </w:r>
          </w:p>
        </w:tc>
        <w:tc>
          <w:tcPr>
            <w:tcW w:type="dxa" w:w="4703"/>
            <w:shd w:val="clear" w:color="auto" w:fill="EEF3F9"/>
          </w:tcPr>
          <w:p>
            <w:r>
              <w:rPr>
                <w:sz w:val="18"/>
              </w:rPr>
              <w:t>Electricity Regulatory Authority</w:t>
            </w:r>
          </w:p>
        </w:tc>
      </w:tr>
      <w:tr>
        <w:tc>
          <w:tcPr>
            <w:tcW w:type="dxa" w:w="4703"/>
            <w:shd w:val="clear" w:color="auto" w:fill="FFFFFF"/>
          </w:tcPr>
          <w:p>
            <w:r>
              <w:rPr>
                <w:sz w:val="18"/>
              </w:rPr>
              <w:t>EV</w:t>
            </w:r>
          </w:p>
        </w:tc>
        <w:tc>
          <w:tcPr>
            <w:tcW w:type="dxa" w:w="4703"/>
            <w:shd w:val="clear" w:color="auto" w:fill="FFFFFF"/>
          </w:tcPr>
          <w:p>
            <w:r>
              <w:rPr>
                <w:sz w:val="18"/>
              </w:rPr>
              <w:t>Electric Vehicle</w:t>
            </w:r>
          </w:p>
        </w:tc>
      </w:tr>
      <w:tr>
        <w:tc>
          <w:tcPr>
            <w:tcW w:type="dxa" w:w="4703"/>
            <w:shd w:val="clear" w:color="auto" w:fill="EEF3F9"/>
          </w:tcPr>
          <w:p>
            <w:r>
              <w:rPr>
                <w:sz w:val="18"/>
              </w:rPr>
              <w:t>FEED</w:t>
            </w:r>
          </w:p>
        </w:tc>
        <w:tc>
          <w:tcPr>
            <w:tcW w:type="dxa" w:w="4703"/>
            <w:shd w:val="clear" w:color="auto" w:fill="EEF3F9"/>
          </w:tcPr>
          <w:p>
            <w:r>
              <w:rPr>
                <w:sz w:val="18"/>
              </w:rPr>
              <w:t>Front-End Engineering Design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HS</w:t>
            </w:r>
          </w:p>
        </w:tc>
        <w:tc>
          <w:tcPr>
            <w:tcW w:type="dxa" w:w="4703"/>
            <w:shd w:val="clear" w:color="auto" w:fill="FFFFFF"/>
          </w:tcPr>
          <w:p>
            <w:r>
              <w:rPr>
                <w:sz w:val="18"/>
              </w:rPr>
              <w:t>Harmonized System (trade classification code)</w:t>
            </w:r>
          </w:p>
        </w:tc>
      </w:tr>
      <w:tr>
        <w:tc>
          <w:tcPr>
            <w:tcW w:type="dxa" w:w="4703"/>
            <w:shd w:val="clear" w:color="auto" w:fill="EEF3F9"/>
          </w:tcPr>
          <w:p>
            <w:r>
              <w:rPr>
                <w:sz w:val="18"/>
              </w:rPr>
              <w:t>ICSG</w:t>
            </w:r>
          </w:p>
        </w:tc>
        <w:tc>
          <w:tcPr>
            <w:tcW w:type="dxa" w:w="4703"/>
            <w:shd w:val="clear" w:color="auto" w:fill="EEF3F9"/>
          </w:tcPr>
          <w:p>
            <w:r>
              <w:rPr>
                <w:sz w:val="18"/>
              </w:rPr>
              <w:t>International Copper Study Group</w:t>
            </w:r>
          </w:p>
        </w:tc>
      </w:tr>
      <w:tr>
        <w:tc>
          <w:tcPr>
            <w:tcW w:type="dxa" w:w="4703"/>
            <w:shd w:val="clear" w:color="auto" w:fill="FFFFFF"/>
          </w:tcPr>
          <w:p>
            <w:r>
              <w:rPr>
                <w:sz w:val="18"/>
              </w:rPr>
              <w:t>ISID</w:t>
            </w:r>
          </w:p>
        </w:tc>
        <w:tc>
          <w:tcPr>
            <w:tcW w:type="dxa" w:w="4703"/>
            <w:shd w:val="clear" w:color="auto" w:fill="FFFFFF"/>
          </w:tcPr>
          <w:p>
            <w:r>
              <w:rPr>
                <w:sz w:val="18"/>
              </w:rPr>
              <w:t>Inclusive and Sustainable Industrial Development</w:t>
            </w:r>
          </w:p>
        </w:tc>
      </w:tr>
      <w:tr>
        <w:tc>
          <w:tcPr>
            <w:tcW w:type="dxa" w:w="4703"/>
            <w:shd w:val="clear" w:color="auto" w:fill="EEF3F9"/>
          </w:tcPr>
          <w:p>
            <w:r>
              <w:rPr>
                <w:sz w:val="18"/>
              </w:rPr>
              <w:t>ITC</w:t>
            </w:r>
          </w:p>
        </w:tc>
        <w:tc>
          <w:tcPr>
            <w:tcW w:type="dxa" w:w="4703"/>
            <w:shd w:val="clear" w:color="auto" w:fill="EEF3F9"/>
          </w:tcPr>
          <w:p>
            <w:r>
              <w:rPr>
                <w:sz w:val="18"/>
              </w:rPr>
              <w:t>International Trade Centre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KMC</w:t>
            </w:r>
          </w:p>
        </w:tc>
        <w:tc>
          <w:tcPr>
            <w:tcW w:type="dxa" w:w="4703"/>
            <w:shd w:val="clear" w:color="auto" w:fill="EEF3F9"/>
          </w:tcPr>
          <w:p>
            <w:r>
              <w:rPr>
                <w:sz w:val="18"/>
              </w:rPr>
              <w:t>Kiira Motors Corporation</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MoWT</w:t>
            </w:r>
          </w:p>
        </w:tc>
        <w:tc>
          <w:tcPr>
            <w:tcW w:type="dxa" w:w="4703"/>
            <w:shd w:val="clear" w:color="auto" w:fill="FFFFFF"/>
          </w:tcPr>
          <w:p>
            <w:r>
              <w:rPr>
                <w:sz w:val="18"/>
              </w:rPr>
              <w:t>Ministry of Works and Transport</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NPA</w:t>
            </w:r>
          </w:p>
        </w:tc>
        <w:tc>
          <w:tcPr>
            <w:tcW w:type="dxa" w:w="4703"/>
            <w:shd w:val="clear" w:color="auto" w:fill="EEF3F9"/>
          </w:tcPr>
          <w:p>
            <w:r>
              <w:rPr>
                <w:sz w:val="18"/>
              </w:rPr>
              <w:t>National Planning Authority</w:t>
            </w:r>
          </w:p>
        </w:tc>
      </w:tr>
      <w:tr>
        <w:tc>
          <w:tcPr>
            <w:tcW w:type="dxa" w:w="4703"/>
            <w:shd w:val="clear" w:color="auto" w:fill="FFFFFF"/>
          </w:tcPr>
          <w:p>
            <w:r>
              <w:rPr>
                <w:sz w:val="18"/>
              </w:rPr>
              <w:t>NTBs</w:t>
            </w:r>
          </w:p>
        </w:tc>
        <w:tc>
          <w:tcPr>
            <w:tcW w:type="dxa" w:w="4703"/>
            <w:shd w:val="clear" w:color="auto" w:fill="FFFFFF"/>
          </w:tcPr>
          <w:p>
            <w:r>
              <w:rPr>
                <w:sz w:val="18"/>
              </w:rPr>
              <w:t>Non-Tariff Barriers</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OPEX</w:t>
            </w:r>
          </w:p>
        </w:tc>
        <w:tc>
          <w:tcPr>
            <w:tcW w:type="dxa" w:w="4703"/>
            <w:shd w:val="clear" w:color="auto" w:fill="FFFFFF"/>
          </w:tcPr>
          <w:p>
            <w:r>
              <w:rPr>
                <w:sz w:val="18"/>
              </w:rPr>
              <w:t>Operating expenditure</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PPP</w:t>
            </w:r>
          </w:p>
        </w:tc>
        <w:tc>
          <w:tcPr>
            <w:tcW w:type="dxa" w:w="4703"/>
            <w:shd w:val="clear" w:color="auto" w:fill="FFFFFF"/>
          </w:tcPr>
          <w:p>
            <w:r>
              <w:rPr>
                <w:sz w:val="18"/>
              </w:rPr>
              <w:t>Public-Private Partnership</w:t>
            </w:r>
          </w:p>
        </w:tc>
      </w:tr>
      <w:tr>
        <w:tc>
          <w:tcPr>
            <w:tcW w:type="dxa" w:w="4703"/>
            <w:shd w:val="clear" w:color="auto" w:fill="EEF3F9"/>
          </w:tcPr>
          <w:p>
            <w:r>
              <w:rPr>
                <w:sz w:val="18"/>
              </w:rPr>
              <w:t>SKD</w:t>
            </w:r>
          </w:p>
        </w:tc>
        <w:tc>
          <w:tcPr>
            <w:tcW w:type="dxa" w:w="4703"/>
            <w:shd w:val="clear" w:color="auto" w:fill="EEF3F9"/>
          </w:tcPr>
          <w:p>
            <w:r>
              <w:rPr>
                <w:sz w:val="18"/>
              </w:rPr>
              <w:t>Semi Knocked Down (vehicle assembly kits)</w:t>
            </w:r>
          </w:p>
        </w:tc>
      </w:tr>
      <w:tr>
        <w:tc>
          <w:tcPr>
            <w:tcW w:type="dxa" w:w="4703"/>
            <w:shd w:val="clear" w:color="auto" w:fill="FFFFFF"/>
          </w:tcPr>
          <w:p>
            <w:r>
              <w:rPr>
                <w:sz w:val="18"/>
              </w:rPr>
              <w:t>STI</w:t>
            </w:r>
          </w:p>
        </w:tc>
        <w:tc>
          <w:tcPr>
            <w:tcW w:type="dxa" w:w="4703"/>
            <w:shd w:val="clear" w:color="auto" w:fill="FFFFFF"/>
          </w:tcPr>
          <w:p>
            <w:r>
              <w:rPr>
                <w:sz w:val="18"/>
              </w:rPr>
              <w:t>Science, Technology and Innovation</w:t>
            </w:r>
          </w:p>
        </w:tc>
      </w:tr>
      <w:tr>
        <w:tc>
          <w:tcPr>
            <w:tcW w:type="dxa" w:w="4703"/>
            <w:shd w:val="clear" w:color="auto" w:fill="EEF3F9"/>
          </w:tcPr>
          <w:p>
            <w:r>
              <w:rPr>
                <w:sz w:val="18"/>
              </w:rPr>
              <w:t>STIL</w:t>
            </w:r>
          </w:p>
        </w:tc>
        <w:tc>
          <w:tcPr>
            <w:tcW w:type="dxa" w:w="4703"/>
            <w:shd w:val="clear" w:color="auto" w:fill="EEF3F9"/>
          </w:tcPr>
          <w:p>
            <w:r>
              <w:rPr>
                <w:sz w:val="18"/>
              </w:rPr>
              <w:t>Steel &amp; Tube Industries Limited</w:t>
            </w:r>
          </w:p>
        </w:tc>
      </w:tr>
      <w:tr>
        <w:tc>
          <w:tcPr>
            <w:tcW w:type="dxa" w:w="4703"/>
            <w:shd w:val="clear" w:color="auto" w:fill="FFFFFF"/>
          </w:tcPr>
          <w:p>
            <w:r>
              <w:rPr>
                <w:sz w:val="18"/>
              </w:rPr>
              <w:t>ToR</w:t>
            </w:r>
          </w:p>
        </w:tc>
        <w:tc>
          <w:tcPr>
            <w:tcW w:type="dxa" w:w="4703"/>
            <w:shd w:val="clear" w:color="auto" w:fill="FFFFFF"/>
          </w:tcPr>
          <w:p>
            <w:r>
              <w:rPr>
                <w:sz w:val="18"/>
              </w:rPr>
              <w:t>Terms of Reference</w:t>
            </w:r>
          </w:p>
        </w:tc>
      </w:tr>
      <w:tr>
        <w:tc>
          <w:tcPr>
            <w:tcW w:type="dxa" w:w="4703"/>
            <w:shd w:val="clear" w:color="auto" w:fill="EEF3F9"/>
          </w:tcPr>
          <w:p>
            <w:r>
              <w:rPr>
                <w:sz w:val="18"/>
              </w:rPr>
              <w:t>tpa</w:t>
            </w:r>
          </w:p>
        </w:tc>
        <w:tc>
          <w:tcPr>
            <w:tcW w:type="dxa" w:w="4703"/>
            <w:shd w:val="clear" w:color="auto" w:fill="EEF3F9"/>
          </w:tcPr>
          <w:p>
            <w:r>
              <w:rPr>
                <w:sz w:val="18"/>
              </w:rPr>
              <w:t>Tonnes per annum</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UAE</w:t>
            </w:r>
          </w:p>
        </w:tc>
        <w:tc>
          <w:tcPr>
            <w:tcW w:type="dxa" w:w="4703"/>
            <w:shd w:val="clear" w:color="auto" w:fill="FFFFFF"/>
          </w:tcPr>
          <w:p>
            <w:r>
              <w:rPr>
                <w:sz w:val="18"/>
              </w:rPr>
              <w:t>United Arab Emirates</w:t>
            </w:r>
          </w:p>
        </w:tc>
      </w:tr>
      <w:tr>
        <w:tc>
          <w:tcPr>
            <w:tcW w:type="dxa" w:w="4703"/>
            <w:shd w:val="clear" w:color="auto" w:fill="EEF3F9"/>
          </w:tcPr>
          <w:p>
            <w:r>
              <w:rPr>
                <w:sz w:val="18"/>
              </w:rPr>
              <w:t>UBOS</w:t>
            </w:r>
          </w:p>
        </w:tc>
        <w:tc>
          <w:tcPr>
            <w:tcW w:type="dxa" w:w="4703"/>
            <w:shd w:val="clear" w:color="auto" w:fill="EEF3F9"/>
          </w:tcPr>
          <w:p>
            <w:r>
              <w:rPr>
                <w:sz w:val="18"/>
              </w:rPr>
              <w:t>Uganda Bureau of Statistics</w:t>
            </w:r>
          </w:p>
        </w:tc>
      </w:tr>
      <w:tr>
        <w:tc>
          <w:tcPr>
            <w:tcW w:type="dxa" w:w="4703"/>
            <w:shd w:val="clear" w:color="auto" w:fill="FFFFFF"/>
          </w:tcPr>
          <w:p>
            <w:r>
              <w:rPr>
                <w:sz w:val="18"/>
              </w:rPr>
              <w:t>UDB</w:t>
            </w:r>
          </w:p>
        </w:tc>
        <w:tc>
          <w:tcPr>
            <w:tcW w:type="dxa" w:w="4703"/>
            <w:shd w:val="clear" w:color="auto" w:fill="FFFFFF"/>
          </w:tcPr>
          <w:p>
            <w:r>
              <w:rPr>
                <w:sz w:val="18"/>
              </w:rPr>
              <w:t>Uganda Development Bank</w:t>
            </w:r>
          </w:p>
        </w:tc>
      </w:tr>
      <w:tr>
        <w:tc>
          <w:tcPr>
            <w:tcW w:type="dxa" w:w="4703"/>
            <w:shd w:val="clear" w:color="auto" w:fill="EEF3F9"/>
          </w:tcPr>
          <w:p>
            <w:r>
              <w:rPr>
                <w:sz w:val="18"/>
              </w:rPr>
              <w:t>UDC</w:t>
            </w:r>
          </w:p>
        </w:tc>
        <w:tc>
          <w:tcPr>
            <w:tcW w:type="dxa" w:w="4703"/>
            <w:shd w:val="clear" w:color="auto" w:fill="EEF3F9"/>
          </w:tcPr>
          <w:p>
            <w:r>
              <w:rPr>
                <w:sz w:val="18"/>
              </w:rPr>
              <w:t>Uganda Development Corporation</w:t>
            </w:r>
          </w:p>
        </w:tc>
      </w:tr>
      <w:tr>
        <w:tc>
          <w:tcPr>
            <w:tcW w:type="dxa" w:w="4703"/>
            <w:shd w:val="clear" w:color="auto" w:fill="FFFFFF"/>
          </w:tcPr>
          <w:p>
            <w:r>
              <w:rPr>
                <w:sz w:val="18"/>
              </w:rPr>
              <w:t>UEDCL</w:t>
            </w:r>
          </w:p>
        </w:tc>
        <w:tc>
          <w:tcPr>
            <w:tcW w:type="dxa" w:w="4703"/>
            <w:shd w:val="clear" w:color="auto" w:fill="FFFFFF"/>
          </w:tcPr>
          <w:p>
            <w:r>
              <w:rPr>
                <w:sz w:val="18"/>
              </w:rPr>
              <w:t>Uganda Electricity Distribution Company Limited</w:t>
            </w:r>
          </w:p>
        </w:tc>
      </w:tr>
      <w:tr>
        <w:tc>
          <w:tcPr>
            <w:tcW w:type="dxa" w:w="4703"/>
            <w:shd w:val="clear" w:color="auto" w:fill="EEF3F9"/>
          </w:tcPr>
          <w:p>
            <w:r>
              <w:rPr>
                <w:sz w:val="18"/>
              </w:rPr>
              <w:t>UEPB</w:t>
            </w:r>
          </w:p>
        </w:tc>
        <w:tc>
          <w:tcPr>
            <w:tcW w:type="dxa" w:w="4703"/>
            <w:shd w:val="clear" w:color="auto" w:fill="EEF3F9"/>
          </w:tcPr>
          <w:p>
            <w:r>
              <w:rPr>
                <w:sz w:val="18"/>
              </w:rPr>
              <w:t>Uganda Export Promotion Board</w:t>
            </w:r>
          </w:p>
        </w:tc>
      </w:tr>
      <w:tr>
        <w:tc>
          <w:tcPr>
            <w:tcW w:type="dxa" w:w="4703"/>
            <w:shd w:val="clear" w:color="auto" w:fill="FFFFFF"/>
          </w:tcPr>
          <w:p>
            <w:r>
              <w:rPr>
                <w:sz w:val="18"/>
              </w:rPr>
              <w:t>UETCL</w:t>
            </w:r>
          </w:p>
        </w:tc>
        <w:tc>
          <w:tcPr>
            <w:tcW w:type="dxa" w:w="4703"/>
            <w:shd w:val="clear" w:color="auto" w:fill="FFFFFF"/>
          </w:tcPr>
          <w:p>
            <w:r>
              <w:rPr>
                <w:sz w:val="18"/>
              </w:rPr>
              <w:t>Uganda Electricity Transmission Company Limited</w:t>
            </w:r>
          </w:p>
        </w:tc>
      </w:tr>
      <w:tr>
        <w:tc>
          <w:tcPr>
            <w:tcW w:type="dxa" w:w="4703"/>
            <w:shd w:val="clear" w:color="auto" w:fill="EEF3F9"/>
          </w:tcPr>
          <w:p>
            <w:r>
              <w:rPr>
                <w:sz w:val="18"/>
              </w:rPr>
              <w:t>UIA</w:t>
            </w:r>
          </w:p>
        </w:tc>
        <w:tc>
          <w:tcPr>
            <w:tcW w:type="dxa" w:w="4703"/>
            <w:shd w:val="clear" w:color="auto" w:fill="EEF3F9"/>
          </w:tcPr>
          <w:p>
            <w:r>
              <w:rPr>
                <w:sz w:val="18"/>
              </w:rPr>
              <w:t>Uganda Investment Authority</w:t>
            </w:r>
          </w:p>
        </w:tc>
      </w:tr>
      <w:tr>
        <w:tc>
          <w:tcPr>
            <w:tcW w:type="dxa" w:w="4703"/>
            <w:shd w:val="clear" w:color="auto" w:fill="FFFFFF"/>
          </w:tcPr>
          <w:p>
            <w:r>
              <w:rPr>
                <w:sz w:val="18"/>
              </w:rPr>
              <w:t>UIRI</w:t>
            </w:r>
          </w:p>
        </w:tc>
        <w:tc>
          <w:tcPr>
            <w:tcW w:type="dxa" w:w="4703"/>
            <w:shd w:val="clear" w:color="auto" w:fill="FFFFFF"/>
          </w:tcPr>
          <w:p>
            <w:r>
              <w:rPr>
                <w:sz w:val="18"/>
              </w:rPr>
              <w:t>Uganda Industrial Research Institute</w:t>
            </w:r>
          </w:p>
        </w:tc>
      </w:tr>
      <w:tr>
        <w:tc>
          <w:tcPr>
            <w:tcW w:type="dxa" w:w="4703"/>
            <w:shd w:val="clear" w:color="auto" w:fill="EEF3F9"/>
          </w:tcPr>
          <w:p>
            <w:r>
              <w:rPr>
                <w:sz w:val="18"/>
              </w:rPr>
              <w:t>UMA</w:t>
            </w:r>
          </w:p>
        </w:tc>
        <w:tc>
          <w:tcPr>
            <w:tcW w:type="dxa" w:w="4703"/>
            <w:shd w:val="clear" w:color="auto" w:fill="EEF3F9"/>
          </w:tcPr>
          <w:p>
            <w:r>
              <w:rPr>
                <w:sz w:val="18"/>
              </w:rPr>
              <w:t>Uganda Manufacturers Association</w:t>
            </w:r>
          </w:p>
        </w:tc>
      </w:tr>
      <w:tr>
        <w:tc>
          <w:tcPr>
            <w:tcW w:type="dxa" w:w="4703"/>
            <w:shd w:val="clear" w:color="auto" w:fill="FFFFFF"/>
          </w:tcPr>
          <w:p>
            <w:r>
              <w:rPr>
                <w:sz w:val="18"/>
              </w:rPr>
              <w:t>Umeme</w:t>
            </w:r>
          </w:p>
        </w:tc>
        <w:tc>
          <w:tcPr>
            <w:tcW w:type="dxa" w:w="4703"/>
            <w:shd w:val="clear" w:color="auto" w:fill="FFFFFF"/>
          </w:tcPr>
          <w:p>
            <w:r>
              <w:rPr>
                <w:sz w:val="18"/>
              </w:rPr>
              <w:t>Umeme Limited (national electricity distributor)</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UNMC</w:t>
            </w:r>
          </w:p>
        </w:tc>
        <w:tc>
          <w:tcPr>
            <w:tcW w:type="dxa" w:w="4703"/>
            <w:shd w:val="clear" w:color="auto" w:fill="EEF3F9"/>
          </w:tcPr>
          <w:p>
            <w:r>
              <w:rPr>
                <w:sz w:val="18"/>
              </w:rPr>
              <w:t>Uganda National Mining Company</w:t>
            </w:r>
          </w:p>
        </w:tc>
      </w:tr>
      <w:tr>
        <w:tc>
          <w:tcPr>
            <w:tcW w:type="dxa" w:w="4703"/>
            <w:shd w:val="clear" w:color="auto" w:fill="FFFFFF"/>
          </w:tcPr>
          <w:p>
            <w:r>
              <w:rPr>
                <w:sz w:val="18"/>
              </w:rPr>
              <w:t>UNRA</w:t>
            </w:r>
          </w:p>
        </w:tc>
        <w:tc>
          <w:tcPr>
            <w:tcW w:type="dxa" w:w="4703"/>
            <w:shd w:val="clear" w:color="auto" w:fill="FFFFFF"/>
          </w:tcPr>
          <w:p>
            <w:r>
              <w:rPr>
                <w:sz w:val="18"/>
              </w:rPr>
              <w:t>Uganda National Roads Authority</w:t>
            </w:r>
          </w:p>
        </w:tc>
      </w:tr>
      <w:tr>
        <w:tc>
          <w:tcPr>
            <w:tcW w:type="dxa" w:w="4703"/>
            <w:shd w:val="clear" w:color="auto" w:fill="EEF3F9"/>
          </w:tcPr>
          <w:p>
            <w:r>
              <w:rPr>
                <w:sz w:val="18"/>
              </w:rPr>
              <w:t>URA</w:t>
            </w:r>
          </w:p>
        </w:tc>
        <w:tc>
          <w:tcPr>
            <w:tcW w:type="dxa" w:w="4703"/>
            <w:shd w:val="clear" w:color="auto" w:fill="EEF3F9"/>
          </w:tcPr>
          <w:p>
            <w:r>
              <w:rPr>
                <w:sz w:val="18"/>
              </w:rPr>
              <w:t>Uganda Revenue Authority</w:t>
            </w:r>
          </w:p>
        </w:tc>
      </w:tr>
      <w:tr>
        <w:tc>
          <w:tcPr>
            <w:tcW w:type="dxa" w:w="4703"/>
            <w:shd w:val="clear" w:color="auto" w:fill="FFFFFF"/>
          </w:tcPr>
          <w:p>
            <w:r>
              <w:rPr>
                <w:sz w:val="18"/>
              </w:rPr>
              <w:t>UGX</w:t>
            </w:r>
          </w:p>
        </w:tc>
        <w:tc>
          <w:tcPr>
            <w:tcW w:type="dxa" w:w="4703"/>
            <w:shd w:val="clear" w:color="auto" w:fill="FFFFFF"/>
          </w:tcPr>
          <w:p>
            <w:r>
              <w:rPr>
                <w:sz w:val="18"/>
              </w:rPr>
              <w:t>Uganda Shilling</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VTI</w:t>
            </w:r>
          </w:p>
        </w:tc>
        <w:tc>
          <w:tcPr>
            <w:tcW w:type="dxa" w:w="4703"/>
            <w:shd w:val="clear" w:color="auto" w:fill="FFFFFF"/>
          </w:tcPr>
          <w:p>
            <w:r>
              <w:rPr>
                <w:sz w:val="18"/>
              </w:rPr>
              <w:t>Vocational Training Institute</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WTO</w:t>
            </w:r>
          </w:p>
        </w:tc>
        <w:tc>
          <w:tcPr>
            <w:tcW w:type="dxa" w:w="4703"/>
            <w:shd w:val="clear" w:color="auto" w:fill="FFFFFF"/>
          </w:tcPr>
          <w:p>
            <w:r>
              <w:rPr>
                <w:sz w:val="18"/>
              </w:rPr>
              <w:t>World Trade Organization</w:t>
            </w:r>
          </w:p>
        </w:tc>
      </w:tr>
    </w:tbl>
    <w:p/>
    <w:p>
      <w:r>
        <w:br w:type="page"/>
      </w:r>
    </w:p>
    <w:p>
      <w:pPr>
        <w:pStyle w:val="Heading1"/>
      </w:pPr>
      <w:r>
        <w:t>Chapter 1: Executive Summary</w:t>
      </w:r>
    </w:p>
    <w:p>
      <w:r>
        <w:rPr>
          <w:b/>
        </w:rPr>
        <w:t>Report:</w:t>
      </w:r>
      <w:r>
        <w:t xml:space="preserve"> Report 1 — Iron &amp; Steel, Copper &amp; Allied Metals, and Automotive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three of Uganda's NDP IV priority manufacturing value chains — </w:t>
      </w:r>
      <w:r>
        <w:rPr>
          <w:b/>
        </w:rPr>
        <w:t>Iron &amp; Steel, Copper &amp; Allied Metals, and Automotives</w:t>
      </w:r>
      <w:r>
        <w:t xml:space="preserve"> — and identifies, for each, the three to four products or sub-sectors Uganda should prioritize to build competitive manufacturing at scale.</w:t>
      </w:r>
    </w:p>
    <w:p>
      <w:r>
        <w:rPr>
          <w:b/>
        </w:rPr>
        <w:t>The governing purpose of this report is the Tenfold Growth Strategy.</w:t>
      </w:r>
      <w:r>
        <w:t xml:space="preserve"> Every finding, market projection and recommendation is assessed against a single question: </w:t>
      </w:r>
      <w:r>
        <w:rPr>
          <w:i/>
        </w:rPr>
        <w:t>what does it take for these chains to help grow Uganda's economy roughly tenfold by 2040?</w:t>
      </w:r>
      <w:r>
        <w:t xml:space="preserve"> That lens sets the ambition (the markets Uganda must create and secure ahead of demand — Chapter 4 onward), the prioritisation (what builds durable, sustainable advantage rather than short-lived wins), and the tone (diagnostic and action-oriented).</w:t>
      </w:r>
    </w:p>
    <w:p>
      <w:r>
        <w:t xml:space="preserve">The study draws </w:t>
      </w:r>
      <w:r>
        <w:rPr>
          <w:b/>
        </w:rPr>
        <w:t>primarily on engagement with MTIC sector experts through the Technical Working Group (TWG)</w:t>
      </w:r>
      <w:r>
        <w:t>, corroborated by official Ugandan data (UBOS first) and International Trade Centre (ITC) TradeMap (2024) trade figures cited at the point of use; it is offered for validation (see Chapter 3).</w:t>
      </w:r>
    </w:p>
    <w:p>
      <w:r>
        <w:t xml:space="preserve">The guiding principle, set by MTIC, is discipline: </w:t>
      </w:r>
      <w:r>
        <w:rPr>
          <w:i/>
        </w:rPr>
        <w:t>successful economies are built around a few products done exceptionally well, not a broad catalogue.</w:t>
      </w:r>
      <w:r>
        <w:t xml:space="preserve"> This report therefore states not only what Uganda should pursue, but what it should not.</w:t>
      </w:r>
    </w:p>
    <w:p>
      <w:pPr>
        <w:pStyle w:val="Heading2"/>
      </w:pPr>
      <w:r>
        <w:t>The integrating insight</w:t>
      </w:r>
    </w:p>
    <w:p>
      <w:r>
        <w:t xml:space="preserve">The three chains are not separate. They form </w:t>
      </w:r>
      <w:r>
        <w:rPr>
          <w:b/>
        </w:rPr>
        <w:t>one industrial system: mined metal → processed metal → fabricated product → vehicle.</w:t>
      </w:r>
      <w:r>
        <w:t xml:space="preserve"> Iron and copper feed steel and cable; steel and cable feed vehicles built by Kiira Motors. The same constraints — energy, logistics, finance, feedstock policy — run through all three. Fixing them once lifts the whole system. This integrated framing is the strategic core of this report — and the fastest route to the Tenfold Growth Strategy: a metals-to-vehicles industrial system, built once, compounds across construction, machinery and transport as the economy scales toward tenfold.</w:t>
      </w:r>
    </w:p>
    <w:p>
      <w:pPr>
        <w:pStyle w:val="Heading2"/>
      </w:pPr>
      <w:r>
        <w:t>What the evidence shows</w:t>
      </w:r>
    </w:p>
    <w:p>
      <w:r>
        <w:t xml:space="preserve">Uganda's manufacturing sector contributes about </w:t>
      </w:r>
      <w:r>
        <w:rPr>
          <w:b/>
        </w:rPr>
        <w:t>15.2% of Gross Domestic Product (GDP) (2024)</w:t>
      </w:r>
      <w:r>
        <w:t xml:space="preserve"> — below even the National Industrial Policy's own 2029/30 target of ~16% — at roughly 30% capacity utilization (World Bank; NIP 2020). Across all three chains — Iron &amp; Steel, Copper &amp; Allied Metals, and Automotives — the same pattern recurs: </w:t>
      </w:r>
      <w:r>
        <w:rPr>
          <w:b/>
        </w:rPr>
        <w:t>Uganda exports raw materials and imports the processed product</w:t>
      </w:r>
      <w:r>
        <w:t>, forgoing the value, jobs, and foreign exchange in between.</w:t>
      </w:r>
    </w:p>
    <w:p>
      <w:pPr>
        <w:pStyle w:val="ListBullet"/>
      </w:pPr>
      <w:r>
        <w:rPr>
          <w:b/>
        </w:rPr>
        <w:t>Iron &amp; Steel:</w:t>
      </w:r>
      <w:r>
        <w:t xml:space="preserve"> Uganda is competitive in finished long products — exporting </w:t>
      </w:r>
      <w:r>
        <w:rPr>
          <w:b/>
        </w:rPr>
        <w:t>United States Dollar (USD) 55.8m of rebar</w:t>
      </w:r>
      <w:r>
        <w:t xml:space="preserve"> in 2024, mostly to South Sudan and the Democratic Republic of Congo (DRC) — but imports </w:t>
      </w:r>
      <w:r>
        <w:rPr>
          <w:b/>
        </w:rPr>
        <w:t>USD 219.5m of flat steel</w:t>
      </w:r>
      <w:r>
        <w:t xml:space="preserve"> and </w:t>
      </w:r>
      <w:r>
        <w:rPr>
          <w:b/>
        </w:rPr>
        <w:t>USD 78.5m of semi-finished steel</w:t>
      </w:r>
      <w:r>
        <w:t xml:space="preserve">, and </w:t>
      </w:r>
      <w:r>
        <w:rPr>
          <w:b/>
        </w:rPr>
        <w:t>exports USD 35.8m of iron ore raw</w:t>
      </w:r>
      <w:r>
        <w:t xml:space="preserve"> (ITC TradeMap, 2024). The missing middle is ironmaking and flat-rolling. Momentum is real: Tembo Steel's new DRI plant (Jan 2025) and Devki's USD 500m integrated complex (ground broken Nov 2025).</w:t>
      </w:r>
    </w:p>
    <w:p>
      <w:pPr>
        <w:pStyle w:val="ListBullet"/>
      </w:pPr>
      <w:r>
        <w:rPr>
          <w:b/>
        </w:rPr>
        <w:t>Copper &amp; Allied Metals:</w:t>
      </w:r>
      <w:r>
        <w:t xml:space="preserve"> Uganda has a dormant world-class resource (Kilembe: 6.5m t ore at 1.77% Cu, plus cobalt) and an established cable industry (Cable Corporation, ~65% market share) that runs on imported metal. It imports </w:t>
      </w:r>
      <w:r>
        <w:rPr>
          <w:b/>
        </w:rPr>
        <w:t>USD 57.7m of insulated cable</w:t>
      </w:r>
      <w:r>
        <w:t xml:space="preserve"> a year. The </w:t>
      </w:r>
      <w:r>
        <w:rPr>
          <w:b/>
        </w:rPr>
        <w:t>March 2025 production-sharing agreement</w:t>
      </w:r>
      <w:r>
        <w:t xml:space="preserve"> to revive Kilembe could reopen the midstream for the first time in a generation.</w:t>
      </w:r>
    </w:p>
    <w:p>
      <w:pPr>
        <w:pStyle w:val="ListBullet"/>
      </w:pPr>
      <w:r>
        <w:rPr>
          <w:b/>
        </w:rPr>
        <w:t>Automotives:</w:t>
      </w:r>
      <w:r>
        <w:t xml:space="preserve"> Uganda imports over </w:t>
      </w:r>
      <w:r>
        <w:rPr>
          <w:b/>
        </w:rPr>
        <w:t>USD 650m of vehicles and parts annually</w:t>
      </w:r>
      <w:r>
        <w:t xml:space="preserve"> (~48,700 used vehicles) while having just commissioned, in September 2025, the </w:t>
      </w:r>
      <w:r>
        <w:rPr>
          <w:b/>
        </w:rPr>
        <w:t>Kiira Motors vehicle plant</w:t>
      </w:r>
      <w:r>
        <w:t xml:space="preserve"> (2,500→10,000 vehicles/year; electric buses). The opportunity is buses/EVs, motorcycle assembly, and parts — not full car manufacture.</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Iron &amp; Steel</w:t>
            </w:r>
          </w:p>
        </w:tc>
        <w:tc>
          <w:tcPr>
            <w:tcW w:type="dxa" w:w="3135"/>
            <w:shd w:val="clear" w:color="auto" w:fill="EEF3F9"/>
          </w:tcPr>
          <w:p>
            <w:r>
              <w:rPr>
                <w:sz w:val="18"/>
              </w:rPr>
              <w:t>(1) Ironmaking/DRI on domestic ore; (2) Flat-steel production; (3) Long products (defend &amp; expand); (4) Iron-ore mining &amp; beneficiation</w:t>
            </w:r>
          </w:p>
        </w:tc>
        <w:tc>
          <w:tcPr>
            <w:tcW w:type="dxa" w:w="3135"/>
            <w:shd w:val="clear" w:color="auto" w:fill="EEF3F9"/>
          </w:tcPr>
          <w:p>
            <w:r>
              <w:rPr>
                <w:sz w:val="18"/>
              </w:rPr>
              <w:t>Specialty/alloy steels; commodity flat-steel for global export</w:t>
            </w:r>
          </w:p>
        </w:tc>
      </w:tr>
      <w:tr>
        <w:tc>
          <w:tcPr>
            <w:tcW w:type="dxa" w:w="3135"/>
            <w:shd w:val="clear" w:color="auto" w:fill="FFFFFF"/>
          </w:tcPr>
          <w:p>
            <w:r>
              <w:rPr>
                <w:b/>
                <w:sz w:val="18"/>
              </w:rPr>
              <w:t>Copper</w:t>
            </w:r>
          </w:p>
        </w:tc>
        <w:tc>
          <w:tcPr>
            <w:tcW w:type="dxa" w:w="3135"/>
            <w:shd w:val="clear" w:color="auto" w:fill="FFFFFF"/>
          </w:tcPr>
          <w:p>
            <w:r>
              <w:rPr>
                <w:sz w:val="18"/>
              </w:rPr>
              <w:t>(1) Insulated wire &amp; cable; (2) Kilembe cathode &amp; cobalt; (3) Copper wire-rod/semi-fabrication</w:t>
            </w:r>
          </w:p>
        </w:tc>
        <w:tc>
          <w:tcPr>
            <w:tcW w:type="dxa" w:w="3135"/>
            <w:shd w:val="clear" w:color="auto" w:fill="FFFFFF"/>
          </w:tcPr>
          <w:p>
            <w:r>
              <w:rPr>
                <w:sz w:val="18"/>
              </w:rPr>
              <w:t>Greenfield primary smelting for global cathode export</w:t>
            </w:r>
          </w:p>
        </w:tc>
      </w:tr>
      <w:tr>
        <w:tc>
          <w:tcPr>
            <w:tcW w:type="dxa" w:w="3135"/>
            <w:shd w:val="clear" w:color="auto" w:fill="EEF3F9"/>
          </w:tcPr>
          <w:p>
            <w:r>
              <w:rPr>
                <w:b/>
                <w:sz w:val="18"/>
              </w:rPr>
              <w:t>Automotive</w:t>
            </w:r>
          </w:p>
        </w:tc>
        <w:tc>
          <w:tcPr>
            <w:tcW w:type="dxa" w:w="3135"/>
            <w:shd w:val="clear" w:color="auto" w:fill="EEF3F9"/>
          </w:tcPr>
          <w:p>
            <w:r>
              <w:rPr>
                <w:sz w:val="18"/>
              </w:rPr>
              <w:t>(1) Buses/EV buses (KMC anchor); (2) Motorcycle CKD assembly; (3) Spare-parts localisation</w:t>
            </w:r>
          </w:p>
        </w:tc>
        <w:tc>
          <w:tcPr>
            <w:tcW w:type="dxa" w:w="3135"/>
            <w:shd w:val="clear" w:color="auto" w:fill="EEF3F9"/>
          </w:tcPr>
          <w:p>
            <w:r>
              <w:rPr>
                <w:sz w:val="18"/>
              </w:rPr>
              <w:t>Full ground-up passenger-car manufacture (CKD assembly conditional)</w:t>
            </w:r>
          </w:p>
        </w:tc>
      </w:tr>
    </w:tbl>
    <w:p/>
    <w:p>
      <w:pPr>
        <w:pStyle w:val="Heading2"/>
      </w:pPr>
      <w:r>
        <w:t>The six cross-cutting actions</w:t>
      </w:r>
    </w:p>
    <w:p>
      <w:pPr>
        <w:pStyle w:val="ListNumber"/>
      </w:pPr>
      <w:r>
        <w:rPr>
          <w:b/>
        </w:rPr>
        <w:t>Retain and process minerals domestically</w:t>
      </w:r>
      <w:r>
        <w:t xml:space="preserve"> — tax/restrict raw-ore exports; prioritise beneficiation. </w:t>
      </w:r>
      <w:r>
        <w:rPr>
          <w:i/>
        </w:rPr>
        <w:t>(Highest-leverage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 (2025 liquidity tightening has crowded out private credit).</w:t>
      </w:r>
    </w:p>
    <w:p>
      <w:pPr>
        <w:pStyle w:val="ListNumber"/>
      </w:pPr>
      <w:r>
        <w:rPr>
          <w:b/>
        </w:rPr>
        <w:t>Enforce UNBS standards</w:t>
      </w:r>
      <w:r>
        <w:t xml:space="preserve"> on steel and cable imports. </w:t>
      </w:r>
      <w:r>
        <w:rPr>
          <w:i/>
        </w:rPr>
        <w:t>(Quick win.)</w:t>
      </w:r>
    </w:p>
    <w:p>
      <w:pPr>
        <w:pStyle w:val="ListNumber"/>
      </w:pPr>
      <w:r>
        <w:rPr>
          <w:b/>
        </w:rPr>
        <w:t>Launch a metals/automotive/EV skills compact</w:t>
      </w:r>
      <w:r>
        <w:t xml:space="preserve"> (68% of manufacturers cannot find needed technical skills).</w:t>
      </w:r>
    </w:p>
    <w:p>
      <w:pPr>
        <w:pStyle w:val="ListNumber"/>
      </w:pPr>
      <w:r>
        <w:rPr>
          <w:b/>
        </w:rPr>
        <w:t>Anchor demand through public procurement</w:t>
      </w:r>
      <w:r>
        <w:t xml:space="preserve"> — infrastructure steel, grid cable, KMC buses.</w:t>
      </w:r>
    </w:p>
    <w:p>
      <w:pPr>
        <w:pStyle w:val="Heading2"/>
      </w:pPr>
      <w:r>
        <w:t>Investment portfolio</w:t>
      </w:r>
    </w:p>
    <w:p>
      <w:r>
        <w:t xml:space="preserve">Seven priority investments total an </w:t>
      </w:r>
      <w:r>
        <w:rPr>
          <w:b/>
        </w:rPr>
        <w:t>indicative USD 1.0–2.0 billion over five years</w:t>
      </w:r>
      <w:r>
        <w:t xml:space="preserve"> (figures indicative, pending feasibility), dominated by the integrated steel complex and Kilembe redevelopment, and mostly private- or investor-financed. The roadmap sequences </w:t>
      </w:r>
      <w:r>
        <w:rPr>
          <w:b/>
        </w:rPr>
        <w:t>policy and demand anchors in Year 1, feedstock/power/finance in Years 2–3, and major capital builds in Years 4–5</w:t>
      </w:r>
      <w:r>
        <w:t xml:space="preserve"> — so that large plants are not built without ore, power, or demand. Full profiles are in Chapter 8.</w:t>
      </w:r>
    </w:p>
    <w:p>
      <w:pPr>
        <w:pStyle w:val="Heading2"/>
      </w:pPr>
      <w:r>
        <w:t>Bottom line for decision-makers</w:t>
      </w:r>
    </w:p>
    <w:p>
      <w:r>
        <w:t xml:space="preserve">Uganda already has the anchors — Tembo and Devki in steel, the Kilembe revival and Cable Corporation in copper, Kiira Motors in automotive. What is missing is the </w:t>
      </w:r>
      <w:r>
        <w:rPr>
          <w:b/>
        </w:rPr>
        <w:t>connective tissue</w:t>
      </w:r>
      <w:r>
        <w:t xml:space="preserve">: domestic feedstock, reliable industrial power, long-term finance, enforced standards, and skills. The decision this report supports is to </w:t>
      </w:r>
      <w:r>
        <w:rPr>
          <w:b/>
        </w:rPr>
        <w:t>concentrate scarce resources on the prioritized products above and the six cross-cutting actions</w:t>
      </w:r>
      <w:r>
        <w:t>, turning Uganda's resource endowment and its new industrial anchors into a competitive metals-to-mobility system — rather than spreading effort thinly across everything.</w:t>
      </w:r>
    </w:p>
    <w:p>
      <w:r>
        <w:rPr>
          <w:i/>
        </w:rPr>
        <w:t>This summary reflects findings from TWG sector-expert engagement and supporting evidence, to be confirmed through the continued validation in Chapter 3.</w:t>
      </w:r>
    </w:p>
    <w:p>
      <w:r>
        <w:br w:type="page"/>
      </w:r>
    </w:p>
    <w:p>
      <w:pPr>
        <w:pStyle w:val="Heading1"/>
      </w:pPr>
      <w:r>
        <w:t>Chapter 2: Background and Policy Context</w:t>
      </w:r>
    </w:p>
    <w:p>
      <w:r>
        <w:rPr>
          <w:b/>
        </w:rPr>
        <w:t>Report:</w:t>
      </w:r>
      <w:r>
        <w:t xml:space="preserve"> Report 1 — Iron &amp; Steel, Copper &amp; Allied Metals, and Automotive Value Chains</w:t>
      </w:r>
    </w:p>
    <w:p>
      <w:r>
        <w:rPr>
          <w:b/>
        </w:rPr>
        <w:t>Status:</w:t>
      </w:r>
      <w:r>
        <w:t xml:space="preserve"> Draft for validation</w:t>
      </w:r>
    </w:p>
    <w:p>
      <w:r>
        <w:rPr>
          <w:b/>
        </w:rPr>
        <w:t>Terms of Reference (ToR) Reference:</w:t>
      </w:r>
      <w:r>
        <w:t xml:space="preserve"> MTIC-Diagnostic Study on Iron &amp; Steel, Copper.docx</w:t>
      </w:r>
    </w:p>
    <w:p>
      <w:pPr>
        <w:pStyle w:val="Heading2"/>
      </w:pPr>
      <w:r>
        <w:t>2.1 Uganda's Industrialization Ambition</w:t>
      </w:r>
    </w:p>
    <w:p>
      <w:r>
        <w:t>Uganda has set out an ambitious long-term industrialization trajectory anchored in a hierarchy of national planning instruments. These instruments collectively define the targets, sectoral priorities, and institutional responsibilities that frame this diagnostic study.</w:t>
      </w:r>
    </w:p>
    <w:p>
      <w:r>
        <w:rPr>
          <w:b/>
        </w:rPr>
        <w:t>Uganda Vision 2040</w:t>
      </w:r>
      <w:r>
        <w:t xml:space="preserve"> sets the overarching national direction: transformation from a predominantly peasant and low-income economy to a competitive upper-middle-income country. The Vision targets a GDP of approximately USD 581 billion and a per capita income of USD 9,500 by 2040, with industrialization — particularly mineral-based and agro-processing manufacturing — as a central engine of this transformation (National Planning Authority, </w:t>
      </w:r>
      <w:r>
        <w:rPr>
          <w:i/>
        </w:rPr>
        <w:t>Uganda Vision 2040</w:t>
      </w:r>
      <w:r>
        <w:t>).</w:t>
      </w:r>
    </w:p>
    <w:p>
      <w:r>
        <w:rPr>
          <w:b/>
        </w:rPr>
        <w:t>The Fourth National Development Plan (NDP IV), FY2025/26–2029/30</w:t>
      </w:r>
      <w:r>
        <w:t xml:space="preserve"> is the current medium-term plan, approved by Parliament in January 2026 under the theme </w:t>
      </w:r>
      <w:r>
        <w:rPr>
          <w:i/>
        </w:rPr>
        <w:t>"Sustainable Industrialization for inclusive growth, employment, and wealth creation"</w:t>
      </w:r>
      <w:r>
        <w:t xml:space="preserve"> (Parliament of Uganda, NDP IV approval, Jan 2026). NDP IV targets growing GDP to USD 158 billion by FY2029/30 (from USD 53.2 billion in FY2023/24), raising per capita income to USD 2,008 (from USD 1,146), and lifting the annual GDP growth rate to 10.1% by FY2029/30 (Ministry of Finance, Planning and Economic Development, NDP IV presentation to Parliament). Manufacturing and value addition are placed at the centre of this strategy, and Iron &amp; Steel, Copper &amp; Allied Metals, and Automotives are among the priority manufacturing value chains identified for industrial-policy intervention, anchored in Uganda's mineral resource endowment.</w:t>
      </w:r>
    </w:p>
    <w:p>
      <w:r>
        <w:rPr>
          <w:b/>
        </w:rPr>
        <w:t>The National Industrial Policy (NIP) 2020</w:t>
      </w:r>
      <w:r>
        <w:t xml:space="preserve"> provides the sector-specific framework within which the NDP industrial targets are pursued. The NIP sets the goal of increasing the manufacturing sector's contribution to GDP and deepening domestic value addition, reducing dependence on imported intermediate and capital goods, and linking industrial development to Uganda's natural-resource base (MTIC, </w:t>
      </w:r>
      <w:r>
        <w:rPr>
          <w:i/>
        </w:rPr>
        <w:t>National Industrial Policy 2020</w:t>
      </w:r>
      <w:r>
        <w:t>). It designates MTIC as the lead coordinating ministry for industrial-policy implementation and calls for targeted diagnostics of priority value chains as the analytical foundation for investment and reform — the mandate under which this study is produced.</w:t>
      </w:r>
    </w:p>
    <w:p>
      <w:r>
        <w:rPr>
          <w:b/>
        </w:rPr>
        <w:t>The MTIC Strategic Plan</w:t>
      </w:r>
      <w:r>
        <w:t xml:space="preserve"> translates NIP objectives into ministerial priorities: facilitating private-sector investment in priority industries, leading technical working groups for value-chain development, coordinating with Uganda Investment Authority (UIA), Uganda Export Promotion Board (UEPB), Uganda National Bureau of Standards (UNBS), and other agencies, and mobilizing development-partner support.</w:t>
      </w:r>
    </w:p>
    <w:p>
      <w:r>
        <w:rPr>
          <w:b/>
        </w:rPr>
        <w:t>The Tenfold Growth Strategy</w:t>
      </w:r>
      <w:r>
        <w:t xml:space="preserve"> sets Uganda's most ambitious long-horizon target: growing the economy roughly tenfold, from around USD 50 billion to USD 500 billion, organized around four drivers summarized as </w:t>
      </w:r>
      <w:r>
        <w:rPr>
          <w:b/>
        </w:rPr>
        <w:t>ATMs — Agro-industrialization, Tourism, Minerals (and mineral-based industrialization), and Science, Technology and Innovation (STI)</w:t>
      </w:r>
      <w:r>
        <w:t xml:space="preserve"> (Ministry of Finance / NDP IV launch materials, 2025). Mineral-based industrialization — including steel, copper, and automotive manufacturing — is a primary pillar, requiring a structural shift from low-value raw-material exports to processed and manufactured goods.</w:t>
      </w:r>
    </w:p>
    <w:p>
      <w:pPr>
        <w:pStyle w:val="Heading2"/>
      </w:pPr>
      <w:r>
        <w:t>2.2 The Uganda–UNIDO Programme for Country Partnership</w:t>
      </w:r>
    </w:p>
    <w:p>
      <w:r>
        <w:t xml:space="preserve">The Uganda–UNIDO Programme for Country Partnership (PCP) for Inclusive and Sustainable Industrial Development (ISID) is the multilateral cooperation framework within which this diagnostic study is produced. The PCP is a government-led partnership model developed by UNIDO to mobilize coordinated technical assistance and investment around a country's industrial-development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r>
        <w:t xml:space="preserve"> — supporting MTIC and line agencies to design, implement, and monitor industrial policy effectively.</w:t>
      </w:r>
    </w:p>
    <w:p>
      <w:pPr>
        <w:pStyle w:val="ListNumber"/>
      </w:pPr>
      <w:r>
        <w:rPr>
          <w:b/>
        </w:rPr>
        <w:t>Mobilizing large-scale public and private investment for agro- and mineral-based industrialization</w:t>
      </w:r>
      <w:r>
        <w:t xml:space="preserve"> — developing the investment pipeline in priority value chains and creating conditions for private capital mobilization.</w:t>
      </w:r>
    </w:p>
    <w:p>
      <w:pPr>
        <w:pStyle w:val="ListNumber"/>
      </w:pPr>
      <w:r>
        <w:rPr>
          <w:b/>
        </w:rPr>
        <w:t>Supporting sustainable industrial parks and free zones</w:t>
      </w:r>
      <w:r>
        <w:t xml:space="preserve"> — developing infrastructure that clusters manufacturing activity, reduces per-firm costs, and attracts foreign direct investment.</w:t>
      </w:r>
    </w:p>
    <w:p>
      <w:pPr>
        <w:pStyle w:val="ListNumber"/>
      </w:pPr>
      <w:r>
        <w:rPr>
          <w:b/>
        </w:rPr>
        <w:t>Strengthening national standards, quality infrastructure, and accreditation systems</w:t>
      </w:r>
      <w:r>
        <w:t xml:space="preserve"> — building Uganda's capacity to meet international standards requirements, a binding constraint to export competitiveness.</w:t>
      </w:r>
    </w:p>
    <w:p>
      <w:pPr>
        <w:pStyle w:val="ListNumber"/>
      </w:pPr>
      <w:r>
        <w:rPr>
          <w:b/>
        </w:rPr>
        <w:t>Advancing green industry, circular economy, and Industry 4.0 solutions</w:t>
      </w:r>
      <w:r>
        <w:t xml:space="preserve"> — embedding environmental sustainability and technology upgrading into Uganda's industrial-development model.</w:t>
      </w:r>
    </w:p>
    <w:p>
      <w:pPr>
        <w:pStyle w:val="ListNumber"/>
      </w:pPr>
      <w:r>
        <w:rPr>
          <w:b/>
        </w:rPr>
        <w:t>Supporting productive use of renewable energy and energy efficiency</w:t>
      </w:r>
      <w:r>
        <w:t xml:space="preserve"> — reducing energy costs for manufacturers, which remain a significant competitiveness constraint.</w:t>
      </w:r>
    </w:p>
    <w:p>
      <w:r>
        <w:t>This diagnostic study directly supports PCP Priority Areas 1 and 2. Its findings are intended as technical inputs into PCP formulation, partner coordination, and investment mobilization specifically for the Iron &amp; Steel, Copper &amp; Allied Metals, and Automotive value chains.</w:t>
      </w:r>
    </w:p>
    <w:p>
      <w:pPr>
        <w:pStyle w:val="Heading2"/>
      </w:pPr>
      <w:r>
        <w:t>2.3 Current State of Uganda's Manufacturing Sector</w:t>
      </w:r>
    </w:p>
    <w:p>
      <w:r>
        <w:t xml:space="preserve">Uganda's manufacturing sector operates below its potential. Manufacturing value added was approximately </w:t>
      </w:r>
      <w:r>
        <w:rPr>
          <w:b/>
        </w:rPr>
        <w:t>15.2% of GDP in 2024</w:t>
      </w:r>
      <w:r>
        <w:t xml:space="preserve"> (World Bank, World Development Indicators), having eased from about 16.4% in 2022. The NIP 2020 sets a target of raising manufacturing's share toward </w:t>
      </w:r>
      <w:r>
        <w:rPr>
          <w:b/>
        </w:rPr>
        <w:t>16% by 2029/30</w:t>
      </w:r>
      <w:r>
        <w:t xml:space="preserve"> — meaning the </w:t>
      </w:r>
      <w:r>
        <w:rPr>
          <w:i/>
        </w:rPr>
        <w:t>current</w:t>
      </w:r>
      <w:r>
        <w:t xml:space="preserve"> share sits below even the medium-term policy target, underscoring the scale of the structural challenge (MTIC, </w:t>
      </w:r>
      <w:r>
        <w:rPr>
          <w:i/>
        </w:rPr>
        <w:t>National Industrial Policy 2020</w:t>
      </w:r>
      <w:r>
        <w:t>; World Bank WDI).</w:t>
      </w:r>
    </w:p>
    <w:p>
      <w:pPr>
        <w:pStyle w:val="IntenseQuote"/>
      </w:pPr>
      <w:r>
        <w:rPr>
          <w:b/>
        </w:rPr>
        <w:t>DATA NOTE:</w:t>
      </w:r>
      <w:r>
        <w:t xml:space="preserve"> The widely cited "30% capacity utilization" figure should be confirmed against the latest UBOS Business Establishment / Index of Industrial Production data before finalization. It is used here as indicative and attributed accordingly.</w:t>
      </w:r>
    </w:p>
    <w:p>
      <w:r>
        <w:t>Manufacturing capacity utilization is estimated at around 30% on average (indicative; to be confirmed from latest UBOS data). Low utilization means manufacturers carry high fixed costs per unit of output, weakening competitiveness against imports and constraining reinvestment.</w:t>
      </w:r>
    </w:p>
    <w:p>
      <w:r>
        <w:t>Key structural characteristics relevant to this report:</w:t>
      </w:r>
    </w:p>
    <w:p>
      <w:pPr>
        <w:pStyle w:val="ListBullet"/>
      </w:pPr>
      <w:r>
        <w:rPr>
          <w:b/>
        </w:rPr>
        <w:t>High import dependency in metals and capital goods</w:t>
      </w:r>
      <w:r>
        <w:t xml:space="preserve"> — Uganda imports the majority of its flat steel, copper products, fabricated metal goods, and vehicle parts, creating chronic current-account pressure and a large opportunity for domestic value addition (ITC TradeMap, HS 72/73/74/87, 2024).</w:t>
      </w:r>
    </w:p>
    <w:p>
      <w:pPr>
        <w:pStyle w:val="ListBullet"/>
      </w:pPr>
      <w:r>
        <w:rPr>
          <w:b/>
        </w:rPr>
        <w:t>Underdeveloped upstream mineral processing</w:t>
      </w:r>
      <w:r>
        <w:t xml:space="preserve"> — Uganda has significant iron-ore and copper deposits that remain largely under-exploited commercially. The gap between resource endowment and the manufacturing base is the defining structural challenge for Iron &amp; Steel, Copper &amp; Allied Metals, and Automotives.</w:t>
      </w:r>
    </w:p>
    <w:p>
      <w:pPr>
        <w:pStyle w:val="ListBullet"/>
      </w:pPr>
      <w:r>
        <w:rPr>
          <w:b/>
        </w:rPr>
        <w:t>Growing infrastructure demand</w:t>
      </w:r>
      <w:r>
        <w:t xml:space="preserve"> — national and regional infrastructure investment is accelerating, driving demand for steel, copper, and automotive products Uganda currently imports.</w:t>
      </w:r>
    </w:p>
    <w:p>
      <w:pPr>
        <w:pStyle w:val="ListBullet"/>
      </w:pPr>
      <w:r>
        <w:rPr>
          <w:b/>
        </w:rPr>
        <w:t>A still-shallow export base in metals</w:t>
      </w:r>
      <w:r>
        <w:t xml:space="preserve"> — over 70% of Uganda's manufactured exports go to regional markets, but in metals Uganda participates mainly as a re-exporter of downstream finished products rather than as an upstream processor (Uganda Investment Authority, 2025).</w:t>
      </w:r>
    </w:p>
    <w:p>
      <w:r>
        <w:t>Despite these constraints, Iron &amp; Steel, Copper &amp; Allied Metals, and Automotives rest on genuine foundations: substantial iron-ore and copper reserves, a growing domestic and regional market, improving infrastructure connectivity, and a young, growing labour force.</w:t>
      </w:r>
    </w:p>
    <w:p>
      <w:pPr>
        <w:pStyle w:val="Heading2"/>
      </w:pPr>
      <w:r>
        <w:t>2.4 Rationale for the Three Priority Value Chains in This Report</w:t>
      </w:r>
    </w:p>
    <w:p>
      <w:r>
        <w:t xml:space="preserve">The three value chains — Iron &amp; Steel, Copper &amp; Allied Metals, and Automotives — were selected by MTIC through a prioritization process drawing on NDP IV designations, NIP sectoral priorities, Uganda's mineral endowments, import-substitution potential, and the structure of regional export markets. They also form an integrated industrial chain: </w:t>
      </w:r>
      <w:r>
        <w:rPr>
          <w:b/>
        </w:rPr>
        <w:t>mined metal → processed metal → consumer/capital product</w:t>
      </w:r>
      <w:r>
        <w:t>, culminating in domestic vehicle manufacturing.</w:t>
      </w:r>
    </w:p>
    <w:p>
      <w:r>
        <w:rPr>
          <w:b/>
        </w:rPr>
        <w:t>Iron &amp; Steel</w:t>
      </w:r>
      <w:r>
        <w:t xml:space="preserve"> was selected because Uganda holds substantial iron-ore deposits (notably high-grade hematite and magnetite in the south-west and Muko area), while importing the bulk of its flat steel and semi-finished steel. The National Planning Authority (NPA)/UDC </w:t>
      </w:r>
      <w:r>
        <w:rPr>
          <w:i/>
        </w:rPr>
        <w:t>Mapping and Value Chain Analysis for Uganda's Iron and Steel Industry</w:t>
      </w:r>
      <w:r>
        <w:t xml:space="preserve"> (June 2025) records installed capacity of roughly 1.68 million tonnes per annum at about 30% utilization, with the deepest gap in upstream ironmaking and flat-steel production. Iron and steel is the foundational input for construction, infrastructure, and all downstream metal manufacturing.</w:t>
      </w:r>
    </w:p>
    <w:p>
      <w:r>
        <w:rPr>
          <w:b/>
        </w:rPr>
        <w:t>Copper &amp; Allied Metals</w:t>
      </w:r>
      <w:r>
        <w:t xml:space="preserve"> was selected on the basis of Uganda's copper endowment, particularly the </w:t>
      </w:r>
      <w:r>
        <w:rPr>
          <w:b/>
        </w:rPr>
        <w:t>Kilembe mine</w:t>
      </w:r>
      <w:r>
        <w:t xml:space="preserve"> in Kasese District — estimated to hold in excess of 6.5 million tonnes of copper ore at 1.77% copper grade, plus associated cobalt (Directorate of Geological Survey and Mines). In March 2025, Government signed its first mineral production-sharing agreement, with Sarrai Group and Nile Fibreboard, to redevelop Kilembe for copper-cathode and cobalt production (Mining Weekly, March 2025). Downstream, Uganda has an established cable-manufacturing base — led by Cable Corporation Limited (Mehta Group), which holds roughly 65% of the domestic market — but limited primary copper refining.</w:t>
      </w:r>
    </w:p>
    <w:p>
      <w:r>
        <w:rPr>
          <w:b/>
        </w:rPr>
        <w:t>Automotives</w:t>
      </w:r>
      <w:r>
        <w:t xml:space="preserve"> was selected because Uganda has made a strategic commitment to domestic vehicle manufacturing through </w:t>
      </w:r>
      <w:r>
        <w:rPr>
          <w:b/>
        </w:rPr>
        <w:t>Kiira Motors Corporation (KMC)</w:t>
      </w:r>
      <w:r>
        <w:t>, whose vehicle plant at Jinja was commissioned on 27 September 2025 with an installed capacity of 2,500 vehicles per year, targeting 10,000 in the medium term (Uganda Broadcasting Corporation; Kiira Motors Corporation). Steel and copper are direct inputs to vehicle manufacturing, creating natural forward linkages across all three — Iron &amp; Steel, Copper &amp; Allied Metals, and Automotives. Uganda imports roughly 48,700 used vehicles annually, underscoring the scale of the domestic market currently met by imports (Mobility Foresights, Uganda Used Car Market).</w:t>
      </w:r>
    </w:p>
    <w:p>
      <w:r>
        <w:t xml:space="preserve">The analytical question across all three chains is identical: given Uganda's resource base, competitive position, and institutional capacity, </w:t>
      </w:r>
      <w:r>
        <w:rPr>
          <w:b/>
        </w:rPr>
        <w:t>which 3–4 products or sub-sectors within each chain offer the most credible path to competitive manufacturing at scale?</w:t>
      </w:r>
      <w:r>
        <w:t xml:space="preserve"> This report provides that prioritization.</w:t>
      </w:r>
    </w:p>
    <w:p>
      <w:pPr>
        <w:pStyle w:val="Heading2"/>
      </w:pPr>
      <w:r>
        <w:t>2.5 NDP IV and Tenfold Targets Relevant to This Report</w:t>
      </w:r>
    </w:p>
    <w:p>
      <w:r>
        <w:t>The following targets frame the ambition against which this report's recommendations are calibrated. Baseline figures are current; targets are drawn from NDP IV and the Tenfold Growth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Annual GDP growth</w:t>
            </w:r>
          </w:p>
        </w:tc>
        <w:tc>
          <w:tcPr>
            <w:tcW w:type="dxa" w:w="2351"/>
            <w:shd w:val="clear" w:color="auto" w:fill="FFFFFF"/>
          </w:tcPr>
          <w:p>
            <w:r>
              <w:rPr>
                <w:sz w:val="18"/>
              </w:rPr>
              <w:t>6.6% (FY24/25)</w:t>
            </w:r>
          </w:p>
        </w:tc>
        <w:tc>
          <w:tcPr>
            <w:tcW w:type="dxa" w:w="2351"/>
            <w:shd w:val="clear" w:color="auto" w:fill="FFFFFF"/>
          </w:tcPr>
          <w:p>
            <w:r>
              <w:rPr>
                <w:sz w:val="18"/>
              </w:rPr>
              <w:t>10.1% by FY29/30 (NDP IV)</w:t>
            </w:r>
          </w:p>
        </w:tc>
        <w:tc>
          <w:tcPr>
            <w:tcW w:type="dxa" w:w="2351"/>
            <w:shd w:val="clear" w:color="auto" w:fill="FFFFFF"/>
          </w:tcPr>
          <w:p>
            <w:r>
              <w:rPr>
                <w:sz w:val="18"/>
              </w:rPr>
              <w:t>sustained double digits</w:t>
            </w:r>
          </w:p>
        </w:tc>
      </w:tr>
      <w:tr>
        <w:tc>
          <w:tcPr>
            <w:tcW w:type="dxa" w:w="2351"/>
            <w:shd w:val="clear" w:color="auto" w:fill="EEF3F9"/>
          </w:tcPr>
          <w:p>
            <w:r>
              <w:rPr>
                <w:sz w:val="18"/>
              </w:rPr>
              <w:t>Manufactured exports to region</w:t>
            </w:r>
          </w:p>
        </w:tc>
        <w:tc>
          <w:tcPr>
            <w:tcW w:type="dxa" w:w="2351"/>
            <w:shd w:val="clear" w:color="auto" w:fill="EEF3F9"/>
          </w:tcPr>
          <w:p>
            <w:r>
              <w:rPr>
                <w:sz w:val="18"/>
              </w:rPr>
              <w:t>&gt;70% of mfg exports regional (UIA 2025)</w:t>
            </w:r>
          </w:p>
        </w:tc>
        <w:tc>
          <w:tcPr>
            <w:tcW w:type="dxa" w:w="2351"/>
            <w:shd w:val="clear" w:color="auto" w:fill="EEF3F9"/>
          </w:tcPr>
          <w:p>
            <w:r>
              <w:rPr>
                <w:sz w:val="18"/>
              </w:rPr>
              <w:t>rising</w:t>
            </w:r>
          </w:p>
        </w:tc>
        <w:tc>
          <w:tcPr>
            <w:tcW w:type="dxa" w:w="2351"/>
            <w:shd w:val="clear" w:color="auto" w:fill="EEF3F9"/>
          </w:tcPr>
          <w:p>
            <w:r>
              <w:rPr>
                <w:sz w:val="18"/>
              </w:rPr>
              <w:t>dominant</w:t>
            </w:r>
          </w:p>
        </w:tc>
      </w:tr>
      <w:tr>
        <w:tc>
          <w:tcPr>
            <w:tcW w:type="dxa" w:w="2351"/>
            <w:shd w:val="clear" w:color="auto" w:fill="FFFFFF"/>
          </w:tcPr>
          <w:p>
            <w:r>
              <w:rPr>
                <w:sz w:val="18"/>
              </w:rPr>
              <w:t>Capacity utilization (mfg)</w:t>
            </w:r>
          </w:p>
        </w:tc>
        <w:tc>
          <w:tcPr>
            <w:tcW w:type="dxa" w:w="2351"/>
            <w:shd w:val="clear" w:color="auto" w:fill="FFFFFF"/>
          </w:tcPr>
          <w:p>
            <w:r>
              <w:rPr>
                <w:sz w:val="18"/>
              </w:rPr>
              <w:t>~30% (indicative, confirm UBOS)</w:t>
            </w:r>
          </w:p>
        </w:tc>
        <w:tc>
          <w:tcPr>
            <w:tcW w:type="dxa" w:w="2351"/>
            <w:shd w:val="clear" w:color="auto" w:fill="FFFFFF"/>
          </w:tcPr>
          <w:p>
            <w:r>
              <w:rPr>
                <w:sz w:val="18"/>
              </w:rPr>
              <w:t>60%+</w:t>
            </w:r>
          </w:p>
        </w:tc>
        <w:tc>
          <w:tcPr>
            <w:tcW w:type="dxa" w:w="2351"/>
            <w:shd w:val="clear" w:color="auto" w:fill="FFFFFF"/>
          </w:tcPr>
          <w:p>
            <w:r>
              <w:rPr>
                <w:sz w:val="18"/>
              </w:rPr>
              <w:t>75%+</w:t>
            </w:r>
          </w:p>
        </w:tc>
      </w:tr>
    </w:tbl>
    <w:p/>
    <w:p>
      <w:r>
        <w:t>Achieving these targets in Iron &amp; Steel, Copper &amp; Allied Metals, and Automotives requires upstream investment in mineral extraction and processing — not only downstream manufacturing expansion. The diagnostic findings and recommendations in Chapters 4–6 are calibrated to this ambition.</w:t>
      </w:r>
    </w:p>
    <w:p>
      <w:r>
        <w:br w:type="page"/>
      </w:r>
    </w:p>
    <w:p>
      <w:pPr>
        <w:pStyle w:val="Heading1"/>
      </w:pPr>
      <w:r>
        <w:t>Chapter 3: Methodology and Analytical Framework</w:t>
      </w:r>
    </w:p>
    <w:p>
      <w:r>
        <w:rPr>
          <w:b/>
        </w:rPr>
        <w:t>Report:</w:t>
      </w:r>
      <w:r>
        <w:t xml:space="preserve"> Report 1 — Iron &amp; Steel, Copper &amp; Allied Metals, and Automotive Value Chains</w:t>
      </w:r>
    </w:p>
    <w:p>
      <w:r>
        <w:rPr>
          <w:b/>
        </w:rPr>
        <w:t>Status:</w:t>
      </w:r>
      <w:r>
        <w:t xml:space="preserve"> Draft for validation</w:t>
      </w:r>
    </w:p>
    <w:p>
      <w:r>
        <w:rPr>
          <w:b/>
        </w:rPr>
        <w:t>ToR Reference:</w:t>
      </w:r>
      <w:r>
        <w:t xml:space="preserve"> MTIC-Diagnostic Study on Iron &amp; Steel, Copper.docx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The study was preceded by an Inception Report that documented the study design, diagnostic framework, data plan, and stakeholder-consultation plan, submitted to the Technical Working Group (TWG) prior to the diagnostic phase. This chapter describes the methodology as executed.</w:t>
      </w:r>
    </w:p>
    <w:p>
      <w:r>
        <w:t>The work proceeded in three phases:</w:t>
      </w:r>
    </w:p>
    <w:p>
      <w:pPr>
        <w:pStyle w:val="ListNumber"/>
      </w:pPr>
      <w:r>
        <w:rPr>
          <w:b/>
        </w:rPr>
        <w:t>Primary engagement</w:t>
      </w:r>
      <w:r>
        <w:t xml:space="preserve"> — continuous consultation with MTIC sector experts through the TWG, the principal source of current, firm-level and sector intelligence on each chain.</w:t>
      </w:r>
    </w:p>
    <w:p>
      <w:pPr>
        <w:pStyle w:val="ListNumber"/>
      </w:pPr>
      <w:r>
        <w:rPr>
          <w:b/>
        </w:rPr>
        <w:t>Evidence assembly and analysis</w:t>
      </w:r>
      <w:r>
        <w:t xml:space="preserve"> — compilation and structured review of policy documents, sector studies, official statistics, and trade data to corroborate and quantify the engagement findings, followed by application of the six-part analytical framework and the five-criterion scoring model.</w:t>
      </w:r>
    </w:p>
    <w:p>
      <w:pPr>
        <w:pStyle w:val="ListNumber"/>
      </w:pPr>
      <w:r>
        <w:rPr>
          <w:b/>
        </w:rPr>
        <w:t>Validation and refinement</w:t>
      </w:r>
      <w:r>
        <w:t xml:space="preserve"> — continued TWG review and a structured stakeholder workshop to test and finalise the prioritization findings and action matrices.</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described in Section 3.7.</w:t>
      </w:r>
    </w:p>
    <w:p>
      <w:pPr>
        <w:pStyle w:val="Heading2"/>
      </w:pPr>
      <w:r>
        <w:t>3.2 Evidence Base and Data Sources</w:t>
      </w:r>
    </w:p>
    <w:p>
      <w:r>
        <w:t>The diagnostic draws on the following sources, in order of precedence — primary engagement first, then official Ugandan data, then other sources:</w:t>
      </w:r>
    </w:p>
    <w:p>
      <w:r>
        <w:rPr>
          <w:b/>
        </w:rPr>
        <w:t>Primary — TWG sector-expert engagements</w:t>
      </w:r>
      <w:r>
        <w:t xml:space="preserve"> — continuous consultation with MTIC sector experts through the Technical Working Group provided the primary, current, firm-level intelligence on each chain. The documentary and statistical sources below corroborate, quantify, and extend it. Where UBOS data exists for an indicator, it is used before any secondary or international source.</w:t>
      </w:r>
    </w:p>
    <w:p>
      <w:r>
        <w:rPr>
          <w:b/>
        </w:rPr>
        <w:t>Government policy and planning documents</w:t>
      </w:r>
      <w:r>
        <w:t xml:space="preserve"> — Uganda Vision 2040; National Development Plan IV (FY2025/26–2029/30); National Industrial Policy 2020; the MTIC Strategic Plan; and the Tenfold Growth Strategy.</w:t>
      </w:r>
    </w:p>
    <w:p>
      <w:r>
        <w:rPr>
          <w:b/>
        </w:rPr>
        <w:t>Sector studies provided by MTIC</w:t>
      </w:r>
      <w:r>
        <w:t xml:space="preserve"> — most importantly the NPA/UDC </w:t>
      </w:r>
      <w:r>
        <w:rPr>
          <w:i/>
        </w:rPr>
        <w:t>Report on the Mapping and Value Chain Analysis for Uganda's Iron and Steel Industry</w:t>
      </w:r>
      <w:r>
        <w:t xml:space="preserve"> (June 2025), which provides firm-level and capacity data for the iron and steel chain, together with mineral-sector and automotive-sector documents supplied for this study.</w:t>
      </w:r>
    </w:p>
    <w:p>
      <w:r>
        <w:rPr>
          <w:b/>
        </w:rPr>
        <w:t>Official Ugandan data sources</w:t>
      </w:r>
      <w:r>
        <w:t xml:space="preserve"> — Uganda Bureau of Statistics (UBOS) for production, employment, and national accounts; the Directorate of Geological Survey and Mines (DGSM) / Ministry of Energy and Mineral Development for mineral reserves and licensing; Uganda National Bureau of Standards (UNBS); the Electricity Regulatory Authority (ERA) for tariffs; and the Uganda Investment Authority (UIA) for the investment pipeline.</w:t>
      </w:r>
    </w:p>
    <w:p>
      <w:r>
        <w:rPr>
          <w:b/>
        </w:rPr>
        <w:t>Trade data</w:t>
      </w:r>
      <w:r>
        <w:t xml:space="preserve"> — </w:t>
      </w:r>
      <w:r>
        <w:rPr>
          <w:b/>
        </w:rPr>
        <w:t>ITC TradeMap</w:t>
      </w:r>
      <w:r>
        <w:t xml:space="preserve"> (the International Trade Centre's trade-statistics platform, drawing on the same underlying data as UN Comtrade and used by the WTO) is the source for all import/export values, partner breakdowns, and time series in this report. TradeMap figures are pulled directly and cited inline at the point of use, with the relevant HS codes and year.</w:t>
      </w:r>
    </w:p>
    <w:p>
      <w:r>
        <w:rPr>
          <w:b/>
        </w:rPr>
        <w:t>Global benchmarks</w:t>
      </w:r>
      <w:r>
        <w:t xml:space="preserve"> — World Steel Association (</w:t>
      </w:r>
      <w:r>
        <w:rPr>
          <w:i/>
        </w:rPr>
        <w:t>World Steel in Figures / Statistical Yearbook 2025</w:t>
      </w:r>
      <w:r>
        <w:t>) and the International Copper Study Group (</w:t>
      </w:r>
      <w:r>
        <w:rPr>
          <w:i/>
        </w:rPr>
        <w:t>World Copper Factbook 2025</w:t>
      </w:r>
      <w:r>
        <w:t>) for global production, consumption, and price context.</w:t>
      </w:r>
    </w:p>
    <w:p>
      <w:r>
        <w:rPr>
          <w:b/>
        </w:rPr>
        <w:t>Development-partner and industry sources</w:t>
      </w:r>
      <w:r>
        <w:t xml:space="preserve"> — World Bank World Development Indicators; United Nations Industrial Development Organization (UNIDO); the Uganda Bankers Association </w:t>
      </w:r>
      <w:r>
        <w:rPr>
          <w:i/>
        </w:rPr>
        <w:t>Unlocking the Potential of Uganda's Manufacturing Sector</w:t>
      </w:r>
      <w:r>
        <w:t xml:space="preserve"> (2024); and company and regulator disclosures, cited where used.</w:t>
      </w:r>
    </w:p>
    <w:p>
      <w:r>
        <w:t xml:space="preserve">Where a figure is an estimate, a proxy, or carries a currency caveat, this is flagged in the relevant chapter. Material data gaps are marked </w:t>
      </w:r>
      <w:r>
        <w:rPr>
          <w:rFonts w:ascii="Consolas" w:hAnsi="Consolas"/>
          <w:sz w:val="19"/>
        </w:rPr>
        <w:t>DATA NEEDED</w:t>
      </w:r>
      <w:r>
        <w:t xml:space="preserve"> so the validation step can target them.</w:t>
      </w:r>
    </w:p>
    <w:p>
      <w:pPr>
        <w:pStyle w:val="Heading2"/>
      </w:pPr>
      <w:r>
        <w:t>3.3 Analytical Framework</w:t>
      </w:r>
    </w:p>
    <w:p>
      <w:r>
        <w:t>Each of the three value chains was analysed using a consistent six-part diagnostic framework, applied uniformly to ensure comparability of findings and recommendations.</w:t>
      </w:r>
    </w:p>
    <w:p>
      <w:r>
        <w:rPr>
          <w:b/>
        </w:rPr>
        <w:t>a. Value Chain Mapping</w:t>
      </w:r>
      <w:r>
        <w:t xml:space="preserve"> — the full chain is mapped from primary inputs through intermediate processing to final end products, identifying where Uganda currently participates, where value is lost (through export of unprocessed inputs or import of intermediates), and where import-substitution and export opportunities exist. Each chain's map is also rendered as an interactive decomposition in the accompanying Value Chains application.</w:t>
      </w:r>
    </w:p>
    <w:p>
      <w:r>
        <w:rPr>
          <w:b/>
        </w:rPr>
        <w:t>b. Current State Assessment</w:t>
      </w:r>
      <w:r>
        <w:t xml:space="preserve"> — production volumes, number of active firms, employment, capacity utilization, and import/export values are compiled for each chain, with key public and private players identified.</w:t>
      </w:r>
    </w:p>
    <w:p>
      <w:r>
        <w:rPr>
          <w:b/>
        </w:rPr>
        <w:t>c. Binding Constraints Analysis</w:t>
      </w:r>
      <w:r>
        <w:t xml:space="preserve"> — constraints are assessed across ten dimensions (Section 3.4).</w:t>
      </w:r>
    </w:p>
    <w:p>
      <w:r>
        <w:rPr>
          <w:b/>
        </w:rPr>
        <w:t>d. Market Assessment</w:t>
      </w:r>
      <w:r>
        <w:t xml:space="preserve"> — markets are assessed at </w:t>
      </w:r>
      <w:r>
        <w:rPr>
          <w:b/>
        </w:rPr>
        <w:t>four levels</w:t>
      </w:r>
      <w:r>
        <w:t xml:space="preserve"> (domestic; regional EAC/COMESA; continental/Africa; and global), covering market size, growth, Uganda's share, the competitive landscape, and realistic access potential. Each chain also carries a </w:t>
      </w:r>
      <w:r>
        <w:rPr>
          <w:b/>
        </w:rPr>
        <w:t>2040 market projection</w:t>
      </w:r>
      <w:r>
        <w:t xml:space="preserve">: Uganda's market is projected on the </w:t>
      </w:r>
      <w:r>
        <w:rPr>
          <w:b/>
        </w:rPr>
        <w:t>Tenfold Growth Strategy</w:t>
      </w:r>
      <w:r>
        <w:t xml:space="preserve"> logic (reasoned per chain, not a simple ×10), while other markets use business-as-usual growth.</w:t>
      </w:r>
    </w:p>
    <w:p>
      <w:r>
        <w:rPr>
          <w:b/>
        </w:rPr>
        <w:t>e. Prioritization Scoring</w:t>
      </w:r>
      <w:r>
        <w:t xml:space="preserve"> — each product/sub-sector is scored against five weighted criteria (Section 3.5) to identify the 3–4 priorities per chain.</w:t>
      </w:r>
    </w:p>
    <w:p>
      <w:r>
        <w:rPr>
          <w:b/>
        </w:rPr>
        <w:t>f. Priority Action Matrix</w:t>
      </w:r>
      <w:r>
        <w:t xml:space="preserve"> — actions are organized by timeframe: quick wins (0–12 months), policy/institutional reforms (1–3 years), and investment interventions (3–5 years).</w:t>
      </w:r>
    </w:p>
    <w:p>
      <w:pPr>
        <w:pStyle w:val="Heading2"/>
      </w:pPr>
      <w:r>
        <w:t>3.4 Binding-Constraints Dimensions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Dimension</w:t>
            </w:r>
          </w:p>
        </w:tc>
        <w:tc>
          <w:tcPr>
            <w:tcW w:type="dxa" w:w="3135"/>
            <w:shd w:val="clear" w:color="auto" w:fill="002B5B"/>
          </w:tcPr>
          <w:p>
            <w:r>
              <w:rPr>
                <w:b/>
                <w:color w:val="FFFFFF"/>
                <w:sz w:val="18"/>
              </w:rPr>
              <w:t>Key questions</w:t>
            </w:r>
          </w:p>
        </w:tc>
        <w:tc>
          <w:tcPr>
            <w:tcW w:type="dxa" w:w="3135"/>
            <w:shd w:val="clear" w:color="auto" w:fill="002B5B"/>
          </w:tcPr>
          <w:p>
            <w:r>
              <w:rPr>
                <w:b/>
                <w:color w:val="FFFFFF"/>
                <w:sz w:val="18"/>
              </w:rPr>
              <w:t>Primary evidence used</w:t>
            </w:r>
          </w:p>
        </w:tc>
      </w:tr>
      <w:tr>
        <w:tc>
          <w:tcPr>
            <w:tcW w:type="dxa" w:w="3135"/>
            <w:shd w:val="clear" w:color="auto" w:fill="EEF3F9"/>
          </w:tcPr>
          <w:p>
            <w:r>
              <w:rPr>
                <w:sz w:val="18"/>
              </w:rPr>
              <w:t>Inputs and raw materials</w:t>
            </w:r>
          </w:p>
        </w:tc>
        <w:tc>
          <w:tcPr>
            <w:tcW w:type="dxa" w:w="3135"/>
            <w:shd w:val="clear" w:color="auto" w:fill="EEF3F9"/>
          </w:tcPr>
          <w:p>
            <w:r>
              <w:rPr>
                <w:sz w:val="18"/>
              </w:rPr>
              <w:t>Availability, quality, cost, supply reliability</w:t>
            </w:r>
          </w:p>
        </w:tc>
        <w:tc>
          <w:tcPr>
            <w:tcW w:type="dxa" w:w="3135"/>
            <w:shd w:val="clear" w:color="auto" w:fill="EEF3F9"/>
          </w:tcPr>
          <w:p>
            <w:r>
              <w:rPr>
                <w:sz w:val="18"/>
              </w:rPr>
              <w:t>Reserves data (DGSM); sector studies; TradeMap</w:t>
            </w:r>
          </w:p>
        </w:tc>
      </w:tr>
      <w:tr>
        <w:tc>
          <w:tcPr>
            <w:tcW w:type="dxa" w:w="3135"/>
            <w:shd w:val="clear" w:color="auto" w:fill="FFFFFF"/>
          </w:tcPr>
          <w:p>
            <w:r>
              <w:rPr>
                <w:sz w:val="18"/>
              </w:rPr>
              <w:t>Technology and productivity</w:t>
            </w:r>
          </w:p>
        </w:tc>
        <w:tc>
          <w:tcPr>
            <w:tcW w:type="dxa" w:w="3135"/>
            <w:shd w:val="clear" w:color="auto" w:fill="FFFFFF"/>
          </w:tcPr>
          <w:p>
            <w:r>
              <w:rPr>
                <w:sz w:val="18"/>
              </w:rPr>
              <w:t>Equipment vintage; productivity gap vs peers</w:t>
            </w:r>
          </w:p>
        </w:tc>
        <w:tc>
          <w:tcPr>
            <w:tcW w:type="dxa" w:w="3135"/>
            <w:shd w:val="clear" w:color="auto" w:fill="FFFFFF"/>
          </w:tcPr>
          <w:p>
            <w:r>
              <w:rPr>
                <w:sz w:val="18"/>
              </w:rPr>
              <w:t>Sector studies; global benchmarks</w:t>
            </w:r>
          </w:p>
        </w:tc>
      </w:tr>
      <w:tr>
        <w:tc>
          <w:tcPr>
            <w:tcW w:type="dxa" w:w="3135"/>
            <w:shd w:val="clear" w:color="auto" w:fill="EEF3F9"/>
          </w:tcPr>
          <w:p>
            <w:r>
              <w:rPr>
                <w:sz w:val="18"/>
              </w:rPr>
              <w:t>Energy</w:t>
            </w:r>
          </w:p>
        </w:tc>
        <w:tc>
          <w:tcPr>
            <w:tcW w:type="dxa" w:w="3135"/>
            <w:shd w:val="clear" w:color="auto" w:fill="EEF3F9"/>
          </w:tcPr>
          <w:p>
            <w:r>
              <w:rPr>
                <w:sz w:val="18"/>
              </w:rPr>
              <w:t>Cost, reliability, access</w:t>
            </w:r>
          </w:p>
        </w:tc>
        <w:tc>
          <w:tcPr>
            <w:tcW w:type="dxa" w:w="3135"/>
            <w:shd w:val="clear" w:color="auto" w:fill="EEF3F9"/>
          </w:tcPr>
          <w:p>
            <w:r>
              <w:rPr>
                <w:sz w:val="18"/>
              </w:rPr>
              <w:t>ERA tariffs 2025; Uganda Electricity Distribution Company Limited (UEDCL)</w:t>
            </w:r>
          </w:p>
        </w:tc>
      </w:tr>
      <w:tr>
        <w:tc>
          <w:tcPr>
            <w:tcW w:type="dxa" w:w="3135"/>
            <w:shd w:val="clear" w:color="auto" w:fill="FFFFFF"/>
          </w:tcPr>
          <w:p>
            <w:r>
              <w:rPr>
                <w:sz w:val="18"/>
              </w:rPr>
              <w:t>Water</w:t>
            </w:r>
          </w:p>
        </w:tc>
        <w:tc>
          <w:tcPr>
            <w:tcW w:type="dxa" w:w="3135"/>
            <w:shd w:val="clear" w:color="auto" w:fill="FFFFFF"/>
          </w:tcPr>
          <w:p>
            <w:r>
              <w:rPr>
                <w:sz w:val="18"/>
              </w:rPr>
              <w:t>Availability and cost for industry</w:t>
            </w:r>
          </w:p>
        </w:tc>
        <w:tc>
          <w:tcPr>
            <w:tcW w:type="dxa" w:w="3135"/>
            <w:shd w:val="clear" w:color="auto" w:fill="FFFFFF"/>
          </w:tcPr>
          <w:p>
            <w:r>
              <w:rPr>
                <w:sz w:val="18"/>
              </w:rPr>
              <w:t>National Water and Sewerage Corporation (NWSC); National Environment Management Authority (NEMA) framework</w:t>
            </w:r>
          </w:p>
        </w:tc>
      </w:tr>
      <w:tr>
        <w:tc>
          <w:tcPr>
            <w:tcW w:type="dxa" w:w="3135"/>
            <w:shd w:val="clear" w:color="auto" w:fill="EEF3F9"/>
          </w:tcPr>
          <w:p>
            <w:r>
              <w:rPr>
                <w:sz w:val="18"/>
              </w:rPr>
              <w:t>Logistics and transport</w:t>
            </w:r>
          </w:p>
        </w:tc>
        <w:tc>
          <w:tcPr>
            <w:tcW w:type="dxa" w:w="3135"/>
            <w:shd w:val="clear" w:color="auto" w:fill="EEF3F9"/>
          </w:tcPr>
          <w:p>
            <w:r>
              <w:rPr>
                <w:sz w:val="18"/>
              </w:rPr>
              <w:t>Transport cost, corridor and customs efficiency</w:t>
            </w:r>
          </w:p>
        </w:tc>
        <w:tc>
          <w:tcPr>
            <w:tcW w:type="dxa" w:w="3135"/>
            <w:shd w:val="clear" w:color="auto" w:fill="EEF3F9"/>
          </w:tcPr>
          <w:p>
            <w:r>
              <w:rPr>
                <w:sz w:val="18"/>
              </w:rPr>
              <w:t>Sector analyses (logistics ≈18–20% of sale price)</w:t>
            </w:r>
          </w:p>
        </w:tc>
      </w:tr>
      <w:tr>
        <w:tc>
          <w:tcPr>
            <w:tcW w:type="dxa" w:w="3135"/>
            <w:shd w:val="clear" w:color="auto" w:fill="FFFFFF"/>
          </w:tcPr>
          <w:p>
            <w:r>
              <w:rPr>
                <w:sz w:val="18"/>
              </w:rPr>
              <w:t>Waste and effluent management</w:t>
            </w:r>
          </w:p>
        </w:tc>
        <w:tc>
          <w:tcPr>
            <w:tcW w:type="dxa" w:w="3135"/>
            <w:shd w:val="clear" w:color="auto" w:fill="FFFFFF"/>
          </w:tcPr>
          <w:p>
            <w:r>
              <w:rPr>
                <w:sz w:val="18"/>
              </w:rPr>
              <w:t>Compliance cost, circular-economy options</w:t>
            </w:r>
          </w:p>
        </w:tc>
        <w:tc>
          <w:tcPr>
            <w:tcW w:type="dxa" w:w="3135"/>
            <w:shd w:val="clear" w:color="auto" w:fill="FFFFFF"/>
          </w:tcPr>
          <w:p>
            <w:r>
              <w:rPr>
                <w:sz w:val="18"/>
              </w:rPr>
              <w:t>NEMA Effluent Discharge Regulations 2020</w:t>
            </w:r>
          </w:p>
        </w:tc>
      </w:tr>
      <w:tr>
        <w:tc>
          <w:tcPr>
            <w:tcW w:type="dxa" w:w="3135"/>
            <w:shd w:val="clear" w:color="auto" w:fill="EEF3F9"/>
          </w:tcPr>
          <w:p>
            <w:r>
              <w:rPr>
                <w:sz w:val="18"/>
              </w:rPr>
              <w:t>Finance and investment</w:t>
            </w:r>
          </w:p>
        </w:tc>
        <w:tc>
          <w:tcPr>
            <w:tcW w:type="dxa" w:w="3135"/>
            <w:shd w:val="clear" w:color="auto" w:fill="EEF3F9"/>
          </w:tcPr>
          <w:p>
            <w:r>
              <w:rPr>
                <w:sz w:val="18"/>
              </w:rPr>
              <w:t>Long-term capital, rates, collateral</w:t>
            </w:r>
          </w:p>
        </w:tc>
        <w:tc>
          <w:tcPr>
            <w:tcW w:type="dxa" w:w="3135"/>
            <w:shd w:val="clear" w:color="auto" w:fill="EEF3F9"/>
          </w:tcPr>
          <w:p>
            <w:r>
              <w:rPr>
                <w:sz w:val="18"/>
              </w:rPr>
              <w:t>KPMG Budget Brief 2025/26; Uganda Development Bank (UDB)</w:t>
            </w:r>
          </w:p>
        </w:tc>
      </w:tr>
      <w:tr>
        <w:tc>
          <w:tcPr>
            <w:tcW w:type="dxa" w:w="3135"/>
            <w:shd w:val="clear" w:color="auto" w:fill="FFFFFF"/>
          </w:tcPr>
          <w:p>
            <w:r>
              <w:rPr>
                <w:sz w:val="18"/>
              </w:rPr>
              <w:t>Skills and workforce</w:t>
            </w:r>
          </w:p>
        </w:tc>
        <w:tc>
          <w:tcPr>
            <w:tcW w:type="dxa" w:w="3135"/>
            <w:shd w:val="clear" w:color="auto" w:fill="FFFFFF"/>
          </w:tcPr>
          <w:p>
            <w:r>
              <w:rPr>
                <w:sz w:val="18"/>
              </w:rPr>
              <w:t>Technical, vocational, managerial skills</w:t>
            </w:r>
          </w:p>
        </w:tc>
        <w:tc>
          <w:tcPr>
            <w:tcW w:type="dxa" w:w="3135"/>
            <w:shd w:val="clear" w:color="auto" w:fill="FFFFFF"/>
          </w:tcPr>
          <w:p>
            <w:r>
              <w:rPr>
                <w:sz w:val="18"/>
              </w:rPr>
              <w:t>UMA/UNIDO skills evidence</w:t>
            </w:r>
          </w:p>
        </w:tc>
      </w:tr>
      <w:tr>
        <w:tc>
          <w:tcPr>
            <w:tcW w:type="dxa" w:w="3135"/>
            <w:shd w:val="clear" w:color="auto" w:fill="EEF3F9"/>
          </w:tcPr>
          <w:p>
            <w:r>
              <w:rPr>
                <w:sz w:val="18"/>
              </w:rPr>
              <w:t>Standards and quality</w:t>
            </w:r>
          </w:p>
        </w:tc>
        <w:tc>
          <w:tcPr>
            <w:tcW w:type="dxa" w:w="3135"/>
            <w:shd w:val="clear" w:color="auto" w:fill="EEF3F9"/>
          </w:tcPr>
          <w:p>
            <w:r>
              <w:rPr>
                <w:sz w:val="18"/>
              </w:rPr>
              <w:t>UNBS and international compliance</w:t>
            </w:r>
          </w:p>
        </w:tc>
        <w:tc>
          <w:tcPr>
            <w:tcW w:type="dxa" w:w="3135"/>
            <w:shd w:val="clear" w:color="auto" w:fill="EEF3F9"/>
          </w:tcPr>
          <w:p>
            <w:r>
              <w:rPr>
                <w:sz w:val="18"/>
              </w:rPr>
              <w:t>UNBS</w:t>
            </w:r>
          </w:p>
        </w:tc>
      </w:tr>
      <w:tr>
        <w:tc>
          <w:tcPr>
            <w:tcW w:type="dxa" w:w="3135"/>
            <w:shd w:val="clear" w:color="auto" w:fill="FFFFFF"/>
          </w:tcPr>
          <w:p>
            <w:r>
              <w:rPr>
                <w:sz w:val="18"/>
              </w:rPr>
              <w:t>Policy and regulatory</w:t>
            </w:r>
          </w:p>
        </w:tc>
        <w:tc>
          <w:tcPr>
            <w:tcW w:type="dxa" w:w="3135"/>
            <w:shd w:val="clear" w:color="auto" w:fill="FFFFFF"/>
          </w:tcPr>
          <w:p>
            <w:r>
              <w:rPr>
                <w:sz w:val="18"/>
              </w:rPr>
              <w:t>Tariffs, Non-Tariff Barriers (NTBs), licensing, land, incentives</w:t>
            </w:r>
          </w:p>
        </w:tc>
        <w:tc>
          <w:tcPr>
            <w:tcW w:type="dxa" w:w="3135"/>
            <w:shd w:val="clear" w:color="auto" w:fill="FFFFFF"/>
          </w:tcPr>
          <w:p>
            <w:r>
              <w:rPr>
                <w:sz w:val="18"/>
              </w:rPr>
              <w:t>NIP 2020; sector Acts; East African Community (EAC) Common External Tariff (CET)</w:t>
            </w:r>
          </w:p>
        </w:tc>
      </w:tr>
    </w:tbl>
    <w:p/>
    <w:p>
      <w:pPr>
        <w:pStyle w:val="Heading2"/>
      </w:pPr>
      <w:r>
        <w:t>3.5 Prioritization Framework</w:t>
      </w:r>
    </w:p>
    <w:p>
      <w:r>
        <w:t xml:space="preserve">A transparent, criteria-based scoring framework was applied consistently across all three chains, reflecting the study's core principle: </w:t>
      </w:r>
      <w:r>
        <w:rPr>
          <w:b/>
        </w:rPr>
        <w:t>successful industrial economies are built around a small number of products done exceptionally well, not a broad catalogue of marginal interventions.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Size and growth of the domestic, regional, and export market Uganda can realistically access</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Raw-material availability, existing productive base, geographic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requirements, technology readiness, lead time, management capability</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 effects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Value of imports domestic production could displace; current-account benefit</w:t>
            </w:r>
          </w:p>
        </w:tc>
        <w:tc>
          <w:tcPr>
            <w:tcW w:type="dxa" w:w="3135"/>
            <w:shd w:val="clear" w:color="auto" w:fill="EEF3F9"/>
          </w:tcPr>
          <w:p>
            <w:r>
              <w:rPr>
                <w:sz w:val="18"/>
              </w:rPr>
              <w:t>15%</w:t>
            </w:r>
          </w:p>
        </w:tc>
      </w:tr>
    </w:tbl>
    <w:p/>
    <w:p>
      <w:r>
        <w:t xml:space="preserve">Each product/sub-sector is scored 1–5 per criterion and weighted into a composite score. Products scoring above 3.5 are designated priorities; those below 2.5 are explicitly deprioritized with rationale; those between are conditional priorities. </w:t>
      </w:r>
      <w:r>
        <w:rPr>
          <w:b/>
        </w:rPr>
        <w:t>Explicit deprioritization is a required output</w:t>
      </w:r>
      <w:r>
        <w:t xml:space="preserve"> for each chain — stating what Uganda should </w:t>
      </w:r>
      <w:r>
        <w:rPr>
          <w:i/>
        </w:rPr>
        <w:t>not</w:t>
      </w:r>
      <w:r>
        <w:t xml:space="preserve"> pursue at this stage is as important as stating what it should.</w:t>
      </w:r>
    </w:p>
    <w:p>
      <w:pPr>
        <w:pStyle w:val="Heading2"/>
      </w:pPr>
      <w:r>
        <w:t>3.6 The Value Chains Application</w:t>
      </w:r>
    </w:p>
    <w:p>
      <w:r>
        <w:t>To make the diagnostic usable beyond the written report, each value chain is modelled as a single underlying data graph that drives both this report and an interactive Value Chains application. The application renders each chain as a decomposition from finished product to inputs, with each node carrying its function, HS codes, live ITC TradeMap trade data, and sources. This ensures the report and the interactive tool remain consistent: the analysis is produced once and presented in both forms.</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through two further mechanisms:</w:t>
      </w:r>
    </w:p>
    <w:p>
      <w:r>
        <w:rPr>
          <w:b/>
        </w:rPr>
        <w:t>Key informant interviews (KIIs)</w:t>
      </w:r>
      <w:r>
        <w:t xml:space="preserve"> — structured interviews with public-sector institutions (MTIC, UIA, URA, UBOS, UNBS, MEMD/DGSM, UNMC, KMC), private-sector manufacturers across the three chains, industry associations (UMA), financial institutions (UDB, UDC, EADB), and research institutions (Makerere, UIRI), to deepen and corroborate the findings.</w:t>
      </w:r>
    </w:p>
    <w:p>
      <w:r>
        <w:rPr>
          <w:b/>
        </w:rPr>
        <w:t>Stakeholder validation workshop</w:t>
      </w:r>
      <w:r>
        <w:t xml:space="preserve"> — a structured workshop with the TWG, private-sector actors, financiers, and development partners to test the prioritization findings and action matrices, surface contested points, and agree the final priorities.</w:t>
      </w:r>
    </w:p>
    <w:p>
      <w:r>
        <w:t>Inputs from this continued process will be incorporated into the final version of the report.</w:t>
      </w:r>
    </w:p>
    <w:p>
      <w:pPr>
        <w:pStyle w:val="Heading2"/>
      </w:pPr>
      <w:r>
        <w:t>3.8 Limitations</w:t>
      </w:r>
    </w:p>
    <w:p>
      <w:pPr>
        <w:pStyle w:val="ListBullet"/>
      </w:pPr>
      <w:r>
        <w:rPr>
          <w:b/>
        </w:rPr>
        <w:t>Firm-level data completeness.</w:t>
      </w:r>
      <w:r>
        <w:t xml:space="preserve"> While TWG engagement provides strong current sector intelligence, Uganda's official statistics do not yet capture comprehensive, audited firm-level production and employment data for all chains; such figures are triangulated and flagged, and the continued KIIs and workshop (Section 3.7) test them further.</w:t>
      </w:r>
    </w:p>
    <w:p>
      <w:pPr>
        <w:pStyle w:val="ListBullet"/>
      </w:pPr>
      <w:r>
        <w:rPr>
          <w:b/>
        </w:rPr>
        <w:t>Uneven data depth across chains.</w:t>
      </w:r>
      <w:r>
        <w:t xml:space="preserve"> Iron &amp; Steel benefits from a recent, detailed NPA/UDC assessment (June 2025); Copper and Automotive rely more on official reserve/registration data, company disclosures, and trade data. This is noted where it affects precision.</w:t>
      </w:r>
    </w:p>
    <w:p>
      <w:pPr>
        <w:pStyle w:val="ListBullet"/>
      </w:pPr>
      <w:r>
        <w:rPr>
          <w:b/>
        </w:rPr>
        <w:t>Firm-level statistics.</w:t>
      </w:r>
      <w:r>
        <w:t xml:space="preserve"> Uganda's industrial statistics do not yet capture comprehensive, current firm-level production and employment data for all chains; estimates are triangulated across sources and flagged.</w:t>
      </w:r>
    </w:p>
    <w:p>
      <w:pPr>
        <w:pStyle w:val="ListBullet"/>
      </w:pPr>
      <w:r>
        <w:rPr>
          <w:b/>
        </w:rPr>
        <w:t>Indicative investment figures.</w:t>
      </w:r>
      <w:r>
        <w:t xml:space="preserve"> CAPEX/OPEX figures in the investment chapter are indicative and labelled as such; they are planning estimates, not appraised project costs.</w:t>
      </w:r>
    </w:p>
    <w:p>
      <w:pPr>
        <w:pStyle w:val="ListBullet"/>
      </w:pPr>
      <w:r>
        <w:rPr>
          <w:b/>
        </w:rPr>
        <w:t>Trade-data basis.</w:t>
      </w:r>
      <w:r>
        <w:t xml:space="preserve"> Trade figures are from ITC TradeMap for the latest available year (generally 2024); some partner-level cells are suppressed or lag, which TradeMap notes and which is reflected where relevant.</w:t>
      </w:r>
    </w:p>
    <w:p>
      <w:r>
        <w:t>These limitations define where the validation step and subsequent monitoring will most strengthen the evidence base. They do not alter the direction of the diagnostic's conclusions.</w:t>
      </w:r>
    </w:p>
    <w:p>
      <w:r>
        <w:br w:type="page"/>
      </w:r>
    </w:p>
    <w:p>
      <w:pPr>
        <w:pStyle w:val="Heading1"/>
      </w:pPr>
      <w:r>
        <w:t>Chapter 4: Iron &amp; Steel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NPA/UDC, </w:t>
      </w:r>
      <w:r>
        <w:rPr>
          <w:i/>
        </w:rPr>
        <w:t>Report on the Mapping and Value Chain Analysis for Uganda's Iron and Steel Industry</w:t>
      </w:r>
      <w:r>
        <w:t xml:space="preserve"> (June 2025) — firm-level capacities, locations, cost structures and competitiveness data; UBOS national/industrial statistics; ITC TradeMap (2024). Full sources are listed in the consolidated References at the end of this report.</w:t>
      </w:r>
    </w:p>
    <w:p>
      <w:pPr>
        <w:pStyle w:val="Heading2"/>
      </w:pPr>
      <w:r>
        <w:t>4.0 Why Iron &amp; Steel Matters for the Tenfold Growth Strategy</w:t>
      </w:r>
    </w:p>
    <w:p>
      <w:r>
        <w:t xml:space="preserve">Steel is the physical backbone of a ten-times-larger economy. Every pillar of the Tenfold Growth Strategy — industrialisation, infrastructure, urbanisation and agro-processing — consumes steel: rebar and sections for buildings, dams and railways; plate and coil for machinery and vehicles; wire and roofing for housing and agriculture. </w:t>
      </w:r>
      <w:r>
        <w:rPr>
          <w:b/>
        </w:rPr>
        <w:t>Uganda cannot grow its economy tenfold while importing the steel that growth is built from.</w:t>
      </w:r>
      <w:r>
        <w:t xml:space="preserve"> The country already holds the foundations — an estimated </w:t>
      </w:r>
      <w:r>
        <w:rPr>
          <w:b/>
        </w:rPr>
        <w:t>350 million tonnes of iron-ore reserves</w:t>
      </w:r>
      <w:r>
        <w:t xml:space="preserve"> (high-grade hematite in the south-west; magnetite in the east), over </w:t>
      </w:r>
      <w:r>
        <w:rPr>
          <w:b/>
        </w:rPr>
        <w:t>USD 1 billion</w:t>
      </w:r>
      <w:r>
        <w:t xml:space="preserve"> of installed industry investment, and a proven downstream manufacturing base — yet it still produces almost no steel from its own ore (NPA/UDC, 2025). Closing that gap is therefore not a sector ambition but a national precondition.</w:t>
      </w:r>
    </w:p>
    <w:p>
      <w:r>
        <w:t xml:space="preserve">This chapter runs in diagnostic order: </w:t>
      </w:r>
      <w:r>
        <w:rPr>
          <w:b/>
        </w:rPr>
        <w:t>what exists today (4.B) → what the market will demand to 2040 (4.C) → what constrains the chain (4.D) → how it grows green (4.E) → what to prioritise and build (4.F–4.H).</w:t>
      </w:r>
    </w:p>
    <w:p>
      <w:pPr>
        <w:pStyle w:val="Heading2"/>
      </w:pPr>
      <w:r>
        <w:t>4.A Value Chain Map</w:t>
      </w:r>
    </w:p>
    <w:p>
      <w:r>
        <w:t xml:space="preserve">The iron and steel value chain runs through six sequential phases. Uganda is strong </w:t>
      </w:r>
      <w:r>
        <w:rPr>
          <w:b/>
        </w:rPr>
        <w:t>downstream</w:t>
      </w:r>
      <w:r>
        <w:t xml:space="preserve"> (Phase V rolling and finishing) and critically weak </w:t>
      </w:r>
      <w:r>
        <w:rPr>
          <w:b/>
        </w:rPr>
        <w:t>upstream</w:t>
      </w:r>
      <w:r>
        <w:t xml:space="preserve"> (Phases I–III: mining, ironmaking, primary steelmaking) (NPA/UDC, 2025).</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Exploration &amp; mining</w:t>
            </w:r>
          </w:p>
        </w:tc>
        <w:tc>
          <w:tcPr>
            <w:tcW w:type="dxa" w:w="1881"/>
            <w:shd w:val="clear" w:color="auto" w:fill="EEF3F9"/>
          </w:tcPr>
          <w:p>
            <w:r>
              <w:rPr>
                <w:sz w:val="18"/>
              </w:rPr>
              <w:t>—</w:t>
            </w:r>
          </w:p>
        </w:tc>
        <w:tc>
          <w:tcPr>
            <w:tcW w:type="dxa" w:w="1881"/>
            <w:shd w:val="clear" w:color="auto" w:fill="EEF3F9"/>
          </w:tcPr>
          <w:p>
            <w:r>
              <w:rPr>
                <w:sz w:val="18"/>
              </w:rPr>
              <w:t>Beneficiated, graded iron ore</w:t>
            </w:r>
          </w:p>
        </w:tc>
        <w:tc>
          <w:tcPr>
            <w:tcW w:type="dxa" w:w="1881"/>
            <w:shd w:val="clear" w:color="auto" w:fill="EEF3F9"/>
          </w:tcPr>
          <w:p>
            <w:r>
              <w:rPr>
                <w:b/>
                <w:sz w:val="18"/>
              </w:rPr>
              <w:t>Gap</w:t>
            </w:r>
            <w:r>
              <w:rPr>
                <w:sz w:val="18"/>
              </w:rPr>
              <w:t xml:space="preserve"> — minimal commercial mining; small-scale only</w:t>
            </w:r>
          </w:p>
        </w:tc>
      </w:tr>
      <w:tr>
        <w:tc>
          <w:tcPr>
            <w:tcW w:type="dxa" w:w="1881"/>
            <w:shd w:val="clear" w:color="auto" w:fill="FFFFFF"/>
          </w:tcPr>
          <w:p>
            <w:r>
              <w:rPr>
                <w:sz w:val="18"/>
              </w:rPr>
              <w:t>II</w:t>
            </w:r>
          </w:p>
        </w:tc>
        <w:tc>
          <w:tcPr>
            <w:tcW w:type="dxa" w:w="1881"/>
            <w:shd w:val="clear" w:color="auto" w:fill="FFFFFF"/>
          </w:tcPr>
          <w:p>
            <w:r>
              <w:rPr>
                <w:sz w:val="18"/>
              </w:rPr>
              <w:t>Ironmaking</w:t>
            </w:r>
          </w:p>
        </w:tc>
        <w:tc>
          <w:tcPr>
            <w:tcW w:type="dxa" w:w="1881"/>
            <w:shd w:val="clear" w:color="auto" w:fill="FFFFFF"/>
          </w:tcPr>
          <w:p>
            <w:r>
              <w:rPr>
                <w:sz w:val="18"/>
              </w:rPr>
              <w:t>Iron ore, coal/charcoal, dolomite, limestone</w:t>
            </w:r>
          </w:p>
        </w:tc>
        <w:tc>
          <w:tcPr>
            <w:tcW w:type="dxa" w:w="1881"/>
            <w:shd w:val="clear" w:color="auto" w:fill="FFFFFF"/>
          </w:tcPr>
          <w:p>
            <w:r>
              <w:rPr>
                <w:sz w:val="18"/>
              </w:rPr>
              <w:t>Sponge iron (DRI) / pig iron</w:t>
            </w:r>
          </w:p>
        </w:tc>
        <w:tc>
          <w:tcPr>
            <w:tcW w:type="dxa" w:w="1881"/>
            <w:shd w:val="clear" w:color="auto" w:fill="FFFFFF"/>
          </w:tcPr>
          <w:p>
            <w:r>
              <w:rPr>
                <w:b/>
                <w:sz w:val="18"/>
              </w:rPr>
              <w:t>Emerging</w:t>
            </w:r>
            <w:r>
              <w:rPr>
                <w:sz w:val="18"/>
              </w:rPr>
              <w:t xml:space="preserve"> — ~5% of players; ~400,000 tpa</w:t>
            </w:r>
          </w:p>
        </w:tc>
      </w:tr>
      <w:tr>
        <w:tc>
          <w:tcPr>
            <w:tcW w:type="dxa" w:w="1881"/>
            <w:shd w:val="clear" w:color="auto" w:fill="EEF3F9"/>
          </w:tcPr>
          <w:p>
            <w:r>
              <w:rPr>
                <w:sz w:val="18"/>
              </w:rPr>
              <w:t>III</w:t>
            </w:r>
          </w:p>
        </w:tc>
        <w:tc>
          <w:tcPr>
            <w:tcW w:type="dxa" w:w="1881"/>
            <w:shd w:val="clear" w:color="auto" w:fill="EEF3F9"/>
          </w:tcPr>
          <w:p>
            <w:r>
              <w:rPr>
                <w:sz w:val="18"/>
              </w:rPr>
              <w:t>Steelmaking</w:t>
            </w:r>
          </w:p>
        </w:tc>
        <w:tc>
          <w:tcPr>
            <w:tcW w:type="dxa" w:w="1881"/>
            <w:shd w:val="clear" w:color="auto" w:fill="EEF3F9"/>
          </w:tcPr>
          <w:p>
            <w:r>
              <w:rPr>
                <w:sz w:val="18"/>
              </w:rPr>
              <w:t>Sponge iron, pig iron, scrap</w:t>
            </w:r>
          </w:p>
        </w:tc>
        <w:tc>
          <w:tcPr>
            <w:tcW w:type="dxa" w:w="1881"/>
            <w:shd w:val="clear" w:color="auto" w:fill="EEF3F9"/>
          </w:tcPr>
          <w:p>
            <w:r>
              <w:rPr>
                <w:sz w:val="18"/>
              </w:rPr>
              <w:t>Crude steel</w:t>
            </w:r>
          </w:p>
        </w:tc>
        <w:tc>
          <w:tcPr>
            <w:tcW w:type="dxa" w:w="1881"/>
            <w:shd w:val="clear" w:color="auto" w:fill="EEF3F9"/>
          </w:tcPr>
          <w:p>
            <w:r>
              <w:rPr>
                <w:b/>
                <w:sz w:val="18"/>
              </w:rPr>
              <w:t>Weak</w:t>
            </w:r>
            <w:r>
              <w:rPr>
                <w:sz w:val="18"/>
              </w:rPr>
              <w:t xml:space="preserve"> — largely scrap-based induction</w:t>
            </w:r>
          </w:p>
        </w:tc>
      </w:tr>
      <w:tr>
        <w:tc>
          <w:tcPr>
            <w:tcW w:type="dxa" w:w="1881"/>
            <w:shd w:val="clear" w:color="auto" w:fill="FFFFFF"/>
          </w:tcPr>
          <w:p>
            <w:r>
              <w:rPr>
                <w:sz w:val="18"/>
              </w:rPr>
              <w:t>IV</w:t>
            </w:r>
          </w:p>
        </w:tc>
        <w:tc>
          <w:tcPr>
            <w:tcW w:type="dxa" w:w="1881"/>
            <w:shd w:val="clear" w:color="auto" w:fill="FFFFFF"/>
          </w:tcPr>
          <w:p>
            <w:r>
              <w:rPr>
                <w:sz w:val="18"/>
              </w:rPr>
              <w:t>Continuous casting</w:t>
            </w:r>
          </w:p>
        </w:tc>
        <w:tc>
          <w:tcPr>
            <w:tcW w:type="dxa" w:w="1881"/>
            <w:shd w:val="clear" w:color="auto" w:fill="FFFFFF"/>
          </w:tcPr>
          <w:p>
            <w:r>
              <w:rPr>
                <w:sz w:val="18"/>
              </w:rPr>
              <w:t>Liquid steel</w:t>
            </w:r>
          </w:p>
        </w:tc>
        <w:tc>
          <w:tcPr>
            <w:tcW w:type="dxa" w:w="1881"/>
            <w:shd w:val="clear" w:color="auto" w:fill="FFFFFF"/>
          </w:tcPr>
          <w:p>
            <w:r>
              <w:rPr>
                <w:sz w:val="18"/>
              </w:rPr>
              <w:t>Billets, blooms, slabs</w:t>
            </w:r>
          </w:p>
        </w:tc>
        <w:tc>
          <w:tcPr>
            <w:tcW w:type="dxa" w:w="1881"/>
            <w:shd w:val="clear" w:color="auto" w:fill="FFFFFF"/>
          </w:tcPr>
          <w:p>
            <w:r>
              <w:rPr>
                <w:b/>
                <w:sz w:val="18"/>
              </w:rPr>
              <w:t>Partial</w:t>
            </w:r>
            <w:r>
              <w:rPr>
                <w:sz w:val="18"/>
              </w:rPr>
              <w:t xml:space="preserve"> — some billet casting</w:t>
            </w:r>
          </w:p>
        </w:tc>
      </w:tr>
      <w:tr>
        <w:tc>
          <w:tcPr>
            <w:tcW w:type="dxa" w:w="1881"/>
            <w:shd w:val="clear" w:color="auto" w:fill="EEF3F9"/>
          </w:tcPr>
          <w:p>
            <w:r>
              <w:rPr>
                <w:sz w:val="18"/>
              </w:rPr>
              <w:t>V</w:t>
            </w:r>
          </w:p>
        </w:tc>
        <w:tc>
          <w:tcPr>
            <w:tcW w:type="dxa" w:w="1881"/>
            <w:shd w:val="clear" w:color="auto" w:fill="EEF3F9"/>
          </w:tcPr>
          <w:p>
            <w:r>
              <w:rPr>
                <w:sz w:val="18"/>
              </w:rPr>
              <w:t>Rolling &amp; finishing</w:t>
            </w:r>
          </w:p>
        </w:tc>
        <w:tc>
          <w:tcPr>
            <w:tcW w:type="dxa" w:w="1881"/>
            <w:shd w:val="clear" w:color="auto" w:fill="EEF3F9"/>
          </w:tcPr>
          <w:p>
            <w:r>
              <w:rPr>
                <w:sz w:val="18"/>
              </w:rPr>
              <w:t>Billets, slabs, coil, wire rod</w:t>
            </w:r>
          </w:p>
        </w:tc>
        <w:tc>
          <w:tcPr>
            <w:tcW w:type="dxa" w:w="1881"/>
            <w:shd w:val="clear" w:color="auto" w:fill="EEF3F9"/>
          </w:tcPr>
          <w:p>
            <w:r>
              <w:rPr>
                <w:sz w:val="18"/>
              </w:rPr>
              <w:t>Long, flat, tubular, wire, structural &amp; roofing</w:t>
            </w:r>
          </w:p>
        </w:tc>
        <w:tc>
          <w:tcPr>
            <w:tcW w:type="dxa" w:w="1881"/>
            <w:shd w:val="clear" w:color="auto" w:fill="EEF3F9"/>
          </w:tcPr>
          <w:p>
            <w:r>
              <w:rPr>
                <w:b/>
                <w:sz w:val="18"/>
              </w:rPr>
              <w:t>Strong (long); absent (flat)</w:t>
            </w:r>
            <w:r>
              <w:rPr>
                <w:sz w:val="18"/>
              </w:rPr>
              <w:t xml:space="preserve"> — ~70% of capacity</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xml:space="preserve"> — domestic + S. Sudan/DRC export</w:t>
            </w:r>
          </w:p>
        </w:tc>
      </w:tr>
    </w:tbl>
    <w:p/>
    <w:p>
      <w:r>
        <w:rPr>
          <w:b/>
        </w:rPr>
        <w:t>Where value is captured and lost.</w:t>
      </w:r>
      <w:r>
        <w:t xml:space="preserve"> Uganda's mills concentrate in Phase V and run mostly on </w:t>
      </w:r>
      <w:r>
        <w:rPr>
          <w:b/>
        </w:rPr>
        <w:t>imported semi-finished steel</w:t>
      </w:r>
      <w:r>
        <w:t xml:space="preserve"> (billets/slabs, HS 7207) and </w:t>
      </w:r>
      <w:r>
        <w:rPr>
          <w:b/>
        </w:rPr>
        <w:t>scrap</w:t>
      </w:r>
      <w:r>
        <w:t xml:space="preserve"> (HS 7204), because Phase I–III capacity is minimal. The trade data is unambiguous: Uganda </w:t>
      </w:r>
      <w:r>
        <w:rPr>
          <w:b/>
        </w:rPr>
        <w:t>exported USD 35.8 million of raw iron ore (HS 2601) in 2024, almost entirely to Kenya, while importing essentially none</w:t>
      </w:r>
      <w:r>
        <w:t xml:space="preserve"> — ore leaves unprocessed and steel returns as imports — and </w:t>
      </w:r>
      <w:r>
        <w:rPr>
          <w:b/>
        </w:rPr>
        <w:t>imported USD 78.5 million of semi-finished steel (HS 7207)</w:t>
      </w:r>
      <w:r>
        <w:t>, up sharply from USD 43.0 million in 2023 (ITC TradeMap, 2024).</w:t>
      </w:r>
    </w:p>
    <w:p>
      <w:r>
        <w:rPr>
          <w:b/>
        </w:rPr>
        <w:t>The cost of the upstream gap is quantifiable.</w:t>
      </w:r>
      <w:r>
        <w:t xml:space="preserve"> NPA/UDC (2025) cost modelling shows the production route Uganda mostly uses — billet from </w:t>
      </w:r>
      <w:r>
        <w:rPr>
          <w:b/>
        </w:rPr>
        <w:t>imported scrap — is the most expensive of all at ~USD 676/tonne</w:t>
      </w:r>
      <w:r>
        <w:t xml:space="preserve">, while billet from a </w:t>
      </w:r>
      <w:r>
        <w:rPr>
          <w:b/>
        </w:rPr>
        <w:t>domestic gas-based DRI route costs ~USD 478/tonne</w:t>
      </w:r>
      <w:r>
        <w:t xml:space="preserve"> — roughly a </w:t>
      </w:r>
      <w:r>
        <w:rPr>
          <w:b/>
        </w:rPr>
        <w:t>30% cost penalty</w:t>
      </w:r>
      <w:r>
        <w:t xml:space="preserve"> for not making iron domestically: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Production route (per tonne)</w:t>
            </w:r>
          </w:p>
        </w:tc>
        <w:tc>
          <w:tcPr>
            <w:tcW w:type="dxa" w:w="1881"/>
            <w:shd w:val="clear" w:color="auto" w:fill="002B5B"/>
          </w:tcPr>
          <w:p>
            <w:r>
              <w:rPr>
                <w:b/>
                <w:color w:val="FFFFFF"/>
                <w:sz w:val="18"/>
              </w:rPr>
              <w:t>Material</w:t>
            </w:r>
          </w:p>
        </w:tc>
        <w:tc>
          <w:tcPr>
            <w:tcW w:type="dxa" w:w="1881"/>
            <w:shd w:val="clear" w:color="auto" w:fill="002B5B"/>
          </w:tcPr>
          <w:p>
            <w:r>
              <w:rPr>
                <w:b/>
                <w:color w:val="FFFFFF"/>
                <w:sz w:val="18"/>
              </w:rPr>
              <w:t>Energy</w:t>
            </w:r>
          </w:p>
        </w:tc>
        <w:tc>
          <w:tcPr>
            <w:tcW w:type="dxa" w:w="1881"/>
            <w:shd w:val="clear" w:color="auto" w:fill="002B5B"/>
          </w:tcPr>
          <w:p>
            <w:r>
              <w:rPr>
                <w:b/>
                <w:color w:val="FFFFFF"/>
                <w:sz w:val="18"/>
              </w:rPr>
              <w:t>Other</w:t>
            </w:r>
          </w:p>
        </w:tc>
        <w:tc>
          <w:tcPr>
            <w:tcW w:type="dxa" w:w="1881"/>
            <w:shd w:val="clear" w:color="auto" w:fill="002B5B"/>
          </w:tcPr>
          <w:p>
            <w:r>
              <w:rPr>
                <w:b/>
                <w:color w:val="FFFFFF"/>
                <w:sz w:val="18"/>
              </w:rPr>
              <w:t>Total (USD/t)</w:t>
            </w:r>
          </w:p>
        </w:tc>
      </w:tr>
      <w:tr>
        <w:tc>
          <w:tcPr>
            <w:tcW w:type="dxa" w:w="1881"/>
            <w:shd w:val="clear" w:color="auto" w:fill="EEF3F9"/>
          </w:tcPr>
          <w:p>
            <w:r>
              <w:rPr>
                <w:sz w:val="18"/>
              </w:rPr>
              <w:t>DRI (gas)</w:t>
            </w:r>
          </w:p>
        </w:tc>
        <w:tc>
          <w:tcPr>
            <w:tcW w:type="dxa" w:w="1881"/>
            <w:shd w:val="clear" w:color="auto" w:fill="EEF3F9"/>
          </w:tcPr>
          <w:p>
            <w:r>
              <w:rPr>
                <w:sz w:val="18"/>
              </w:rPr>
              <w:t>104</w:t>
            </w:r>
          </w:p>
        </w:tc>
        <w:tc>
          <w:tcPr>
            <w:tcW w:type="dxa" w:w="1881"/>
            <w:shd w:val="clear" w:color="auto" w:fill="EEF3F9"/>
          </w:tcPr>
          <w:p>
            <w:r>
              <w:rPr>
                <w:sz w:val="18"/>
              </w:rPr>
              <w:t>147</w:t>
            </w:r>
          </w:p>
        </w:tc>
        <w:tc>
          <w:tcPr>
            <w:tcW w:type="dxa" w:w="1881"/>
            <w:shd w:val="clear" w:color="auto" w:fill="EEF3F9"/>
          </w:tcPr>
          <w:p>
            <w:r>
              <w:rPr>
                <w:sz w:val="18"/>
              </w:rPr>
              <w:t>11</w:t>
            </w:r>
          </w:p>
        </w:tc>
        <w:tc>
          <w:tcPr>
            <w:tcW w:type="dxa" w:w="1881"/>
            <w:shd w:val="clear" w:color="auto" w:fill="EEF3F9"/>
          </w:tcPr>
          <w:p>
            <w:r>
              <w:rPr>
                <w:b/>
                <w:sz w:val="18"/>
              </w:rPr>
              <w:t>262</w:t>
            </w:r>
          </w:p>
        </w:tc>
      </w:tr>
      <w:tr>
        <w:tc>
          <w:tcPr>
            <w:tcW w:type="dxa" w:w="1881"/>
            <w:shd w:val="clear" w:color="auto" w:fill="FFFFFF"/>
          </w:tcPr>
          <w:p>
            <w:r>
              <w:rPr>
                <w:sz w:val="18"/>
              </w:rPr>
              <w:t>DRI (coal)</w:t>
            </w:r>
          </w:p>
        </w:tc>
        <w:tc>
          <w:tcPr>
            <w:tcW w:type="dxa" w:w="1881"/>
            <w:shd w:val="clear" w:color="auto" w:fill="FFFFFF"/>
          </w:tcPr>
          <w:p>
            <w:r>
              <w:rPr>
                <w:sz w:val="18"/>
              </w:rPr>
              <w:t>130</w:t>
            </w:r>
          </w:p>
        </w:tc>
        <w:tc>
          <w:tcPr>
            <w:tcW w:type="dxa" w:w="1881"/>
            <w:shd w:val="clear" w:color="auto" w:fill="FFFFFF"/>
          </w:tcPr>
          <w:p>
            <w:r>
              <w:rPr>
                <w:sz w:val="18"/>
              </w:rPr>
              <w:t>160</w:t>
            </w:r>
          </w:p>
        </w:tc>
        <w:tc>
          <w:tcPr>
            <w:tcW w:type="dxa" w:w="1881"/>
            <w:shd w:val="clear" w:color="auto" w:fill="FFFFFF"/>
          </w:tcPr>
          <w:p>
            <w:r>
              <w:rPr>
                <w:sz w:val="18"/>
              </w:rPr>
              <w:t>9</w:t>
            </w:r>
          </w:p>
        </w:tc>
        <w:tc>
          <w:tcPr>
            <w:tcW w:type="dxa" w:w="1881"/>
            <w:shd w:val="clear" w:color="auto" w:fill="FFFFFF"/>
          </w:tcPr>
          <w:p>
            <w:r>
              <w:rPr>
                <w:b/>
                <w:sz w:val="18"/>
              </w:rPr>
              <w:t>299</w:t>
            </w:r>
          </w:p>
        </w:tc>
      </w:tr>
      <w:tr>
        <w:tc>
          <w:tcPr>
            <w:tcW w:type="dxa" w:w="1881"/>
            <w:shd w:val="clear" w:color="auto" w:fill="EEF3F9"/>
          </w:tcPr>
          <w:p>
            <w:r>
              <w:rPr>
                <w:sz w:val="18"/>
              </w:rPr>
              <w:t>Liquid steel — 100% gas-DRI charge</w:t>
            </w:r>
          </w:p>
        </w:tc>
        <w:tc>
          <w:tcPr>
            <w:tcW w:type="dxa" w:w="1881"/>
            <w:shd w:val="clear" w:color="auto" w:fill="EEF3F9"/>
          </w:tcPr>
          <w:p>
            <w:r>
              <w:rPr>
                <w:sz w:val="18"/>
              </w:rPr>
              <w:t>318</w:t>
            </w:r>
          </w:p>
        </w:tc>
        <w:tc>
          <w:tcPr>
            <w:tcW w:type="dxa" w:w="1881"/>
            <w:shd w:val="clear" w:color="auto" w:fill="EEF3F9"/>
          </w:tcPr>
          <w:p>
            <w:r>
              <w:rPr>
                <w:sz w:val="18"/>
              </w:rPr>
              <w:t>100</w:t>
            </w:r>
          </w:p>
        </w:tc>
        <w:tc>
          <w:tcPr>
            <w:tcW w:type="dxa" w:w="1881"/>
            <w:shd w:val="clear" w:color="auto" w:fill="EEF3F9"/>
          </w:tcPr>
          <w:p>
            <w:r>
              <w:rPr>
                <w:sz w:val="18"/>
              </w:rPr>
              <w:t>38</w:t>
            </w:r>
          </w:p>
        </w:tc>
        <w:tc>
          <w:tcPr>
            <w:tcW w:type="dxa" w:w="1881"/>
            <w:shd w:val="clear" w:color="auto" w:fill="EEF3F9"/>
          </w:tcPr>
          <w:p>
            <w:r>
              <w:rPr>
                <w:b/>
                <w:sz w:val="18"/>
              </w:rPr>
              <w:t>456</w:t>
            </w:r>
          </w:p>
        </w:tc>
      </w:tr>
      <w:tr>
        <w:tc>
          <w:tcPr>
            <w:tcW w:type="dxa" w:w="1881"/>
            <w:shd w:val="clear" w:color="auto" w:fill="FFFFFF"/>
          </w:tcPr>
          <w:p>
            <w:r>
              <w:rPr>
                <w:sz w:val="18"/>
              </w:rPr>
              <w:t>Liquid steel — 100% local scrap</w:t>
            </w:r>
          </w:p>
        </w:tc>
        <w:tc>
          <w:tcPr>
            <w:tcW w:type="dxa" w:w="1881"/>
            <w:shd w:val="clear" w:color="auto" w:fill="FFFFFF"/>
          </w:tcPr>
          <w:p>
            <w:r>
              <w:rPr>
                <w:sz w:val="18"/>
              </w:rPr>
              <w:t>423</w:t>
            </w:r>
          </w:p>
        </w:tc>
        <w:tc>
          <w:tcPr>
            <w:tcW w:type="dxa" w:w="1881"/>
            <w:shd w:val="clear" w:color="auto" w:fill="FFFFFF"/>
          </w:tcPr>
          <w:p>
            <w:r>
              <w:rPr>
                <w:sz w:val="18"/>
              </w:rPr>
              <w:t>85</w:t>
            </w:r>
          </w:p>
        </w:tc>
        <w:tc>
          <w:tcPr>
            <w:tcW w:type="dxa" w:w="1881"/>
            <w:shd w:val="clear" w:color="auto" w:fill="FFFFFF"/>
          </w:tcPr>
          <w:p>
            <w:r>
              <w:rPr>
                <w:sz w:val="18"/>
              </w:rPr>
              <w:t>35</w:t>
            </w:r>
          </w:p>
        </w:tc>
        <w:tc>
          <w:tcPr>
            <w:tcW w:type="dxa" w:w="1881"/>
            <w:shd w:val="clear" w:color="auto" w:fill="FFFFFF"/>
          </w:tcPr>
          <w:p>
            <w:r>
              <w:rPr>
                <w:b/>
                <w:sz w:val="18"/>
              </w:rPr>
              <w:t>544</w:t>
            </w:r>
          </w:p>
        </w:tc>
      </w:tr>
      <w:tr>
        <w:tc>
          <w:tcPr>
            <w:tcW w:type="dxa" w:w="1881"/>
            <w:shd w:val="clear" w:color="auto" w:fill="EEF3F9"/>
          </w:tcPr>
          <w:p>
            <w:r>
              <w:rPr>
                <w:sz w:val="18"/>
              </w:rPr>
              <w:t>Liquid steel — 100% imported scrap</w:t>
            </w:r>
          </w:p>
        </w:tc>
        <w:tc>
          <w:tcPr>
            <w:tcW w:type="dxa" w:w="1881"/>
            <w:shd w:val="clear" w:color="auto" w:fill="EEF3F9"/>
          </w:tcPr>
          <w:p>
            <w:r>
              <w:rPr>
                <w:sz w:val="18"/>
              </w:rPr>
              <w:t>534</w:t>
            </w:r>
          </w:p>
        </w:tc>
        <w:tc>
          <w:tcPr>
            <w:tcW w:type="dxa" w:w="1881"/>
            <w:shd w:val="clear" w:color="auto" w:fill="EEF3F9"/>
          </w:tcPr>
          <w:p>
            <w:r>
              <w:rPr>
                <w:sz w:val="18"/>
              </w:rPr>
              <w:t>85</w:t>
            </w:r>
          </w:p>
        </w:tc>
        <w:tc>
          <w:tcPr>
            <w:tcW w:type="dxa" w:w="1881"/>
            <w:shd w:val="clear" w:color="auto" w:fill="EEF3F9"/>
          </w:tcPr>
          <w:p>
            <w:r>
              <w:rPr>
                <w:sz w:val="18"/>
              </w:rPr>
              <w:t>35</w:t>
            </w:r>
          </w:p>
        </w:tc>
        <w:tc>
          <w:tcPr>
            <w:tcW w:type="dxa" w:w="1881"/>
            <w:shd w:val="clear" w:color="auto" w:fill="EEF3F9"/>
          </w:tcPr>
          <w:p>
            <w:r>
              <w:rPr>
                <w:b/>
                <w:sz w:val="18"/>
              </w:rPr>
              <w:t>655</w:t>
            </w:r>
          </w:p>
        </w:tc>
      </w:tr>
      <w:tr>
        <w:tc>
          <w:tcPr>
            <w:tcW w:type="dxa" w:w="1881"/>
            <w:shd w:val="clear" w:color="auto" w:fill="FFFFFF"/>
          </w:tcPr>
          <w:p>
            <w:r>
              <w:rPr>
                <w:b/>
                <w:sz w:val="18"/>
              </w:rPr>
              <w:t>Billet — gas-DRI route</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b/>
                <w:sz w:val="18"/>
              </w:rPr>
              <w:t>478</w:t>
            </w:r>
          </w:p>
        </w:tc>
      </w:tr>
      <w:tr>
        <w:tc>
          <w:tcPr>
            <w:tcW w:type="dxa" w:w="1881"/>
            <w:shd w:val="clear" w:color="auto" w:fill="EEF3F9"/>
          </w:tcPr>
          <w:p>
            <w:r>
              <w:rPr>
                <w:b/>
                <w:sz w:val="18"/>
              </w:rPr>
              <w:t>Billet — imported-scrap route</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b/>
                <w:sz w:val="18"/>
              </w:rPr>
              <w:t>676</w:t>
            </w:r>
          </w:p>
        </w:tc>
      </w:tr>
    </w:tbl>
    <w:p/>
    <w:p>
      <w:r>
        <w:rPr>
          <w:i/>
        </w:rPr>
        <w:t>Source: NPA/UDC 2025 (cost modelling).</w:t>
      </w:r>
      <w:r>
        <w:t xml:space="preserve"> The single largest value-addition steps — </w:t>
      </w:r>
      <w:r>
        <w:rPr>
          <w:b/>
        </w:rPr>
        <w:t>ironmaking and steelmaking</w:t>
      </w:r>
      <w:r>
        <w:t xml:space="preserve"> — are precisely the steps Uganda has barely begun, and precisely where the cost and the tenfold opportunity concentrate.</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 (2024/25)</w:t>
            </w:r>
          </w:p>
        </w:tc>
        <w:tc>
          <w:tcPr>
            <w:tcW w:type="dxa" w:w="3135"/>
            <w:shd w:val="clear" w:color="auto" w:fill="002B5B"/>
          </w:tcPr>
          <w:p>
            <w:r>
              <w:rPr>
                <w:b/>
                <w:color w:val="FFFFFF"/>
                <w:sz w:val="18"/>
              </w:rPr>
              <w:t>Source</w:t>
            </w:r>
          </w:p>
        </w:tc>
      </w:tr>
      <w:tr>
        <w:tc>
          <w:tcPr>
            <w:tcW w:type="dxa" w:w="3135"/>
            <w:shd w:val="clear" w:color="auto" w:fill="EEF3F9"/>
          </w:tcPr>
          <w:p>
            <w:r>
              <w:rPr>
                <w:sz w:val="18"/>
              </w:rPr>
              <w:t>Total installed capacity</w:t>
            </w:r>
          </w:p>
        </w:tc>
        <w:tc>
          <w:tcPr>
            <w:tcW w:type="dxa" w:w="3135"/>
            <w:shd w:val="clear" w:color="auto" w:fill="EEF3F9"/>
          </w:tcPr>
          <w:p>
            <w:r>
              <w:rPr>
                <w:b/>
                <w:sz w:val="18"/>
              </w:rPr>
              <w:t>1,682,779 tpa</w:t>
            </w:r>
          </w:p>
        </w:tc>
        <w:tc>
          <w:tcPr>
            <w:tcW w:type="dxa" w:w="3135"/>
            <w:shd w:val="clear" w:color="auto" w:fill="EEF3F9"/>
          </w:tcPr>
          <w:p>
            <w:r>
              <w:rPr>
                <w:sz w:val="18"/>
              </w:rPr>
              <w:t>NPA/UDC 2025 (Table 5)</w:t>
            </w:r>
          </w:p>
        </w:tc>
      </w:tr>
      <w:tr>
        <w:tc>
          <w:tcPr>
            <w:tcW w:type="dxa" w:w="3135"/>
            <w:shd w:val="clear" w:color="auto" w:fill="FFFFFF"/>
          </w:tcPr>
          <w:p>
            <w:r>
              <w:rPr>
                <w:sz w:val="18"/>
              </w:rPr>
              <w:t>Capacity utilised</w:t>
            </w:r>
          </w:p>
        </w:tc>
        <w:tc>
          <w:tcPr>
            <w:tcW w:type="dxa" w:w="3135"/>
            <w:shd w:val="clear" w:color="auto" w:fill="FFFFFF"/>
          </w:tcPr>
          <w:p>
            <w:r>
              <w:rPr>
                <w:b/>
                <w:sz w:val="18"/>
              </w:rPr>
              <w:t>513,364 tpa (30.5%)</w:t>
            </w:r>
          </w:p>
        </w:tc>
        <w:tc>
          <w:tcPr>
            <w:tcW w:type="dxa" w:w="3135"/>
            <w:shd w:val="clear" w:color="auto" w:fill="FFFFFF"/>
          </w:tcPr>
          <w:p>
            <w:r>
              <w:rPr>
                <w:sz w:val="18"/>
              </w:rPr>
              <w:t>NPA/UDC 2025</w:t>
            </w:r>
          </w:p>
        </w:tc>
      </w:tr>
      <w:tr>
        <w:tc>
          <w:tcPr>
            <w:tcW w:type="dxa" w:w="3135"/>
            <w:shd w:val="clear" w:color="auto" w:fill="EEF3F9"/>
          </w:tcPr>
          <w:p>
            <w:r>
              <w:rPr>
                <w:sz w:val="18"/>
              </w:rPr>
              <w:t>Phase V (rolling) share of capacity</w:t>
            </w:r>
          </w:p>
        </w:tc>
        <w:tc>
          <w:tcPr>
            <w:tcW w:type="dxa" w:w="3135"/>
            <w:shd w:val="clear" w:color="auto" w:fill="EEF3F9"/>
          </w:tcPr>
          <w:p>
            <w:r>
              <w:rPr>
                <w:sz w:val="18"/>
              </w:rPr>
              <w:t>~70%</w:t>
            </w:r>
          </w:p>
        </w:tc>
        <w:tc>
          <w:tcPr>
            <w:tcW w:type="dxa" w:w="3135"/>
            <w:shd w:val="clear" w:color="auto" w:fill="EEF3F9"/>
          </w:tcPr>
          <w:p>
            <w:r>
              <w:rPr>
                <w:sz w:val="18"/>
              </w:rPr>
              <w:t>NPA/UDC 2025</w:t>
            </w:r>
          </w:p>
        </w:tc>
      </w:tr>
      <w:tr>
        <w:tc>
          <w:tcPr>
            <w:tcW w:type="dxa" w:w="3135"/>
            <w:shd w:val="clear" w:color="auto" w:fill="FFFFFF"/>
          </w:tcPr>
          <w:p>
            <w:r>
              <w:rPr>
                <w:sz w:val="18"/>
              </w:rPr>
              <w:t>Sponge-iron (Phase II) capacity</w:t>
            </w:r>
          </w:p>
        </w:tc>
        <w:tc>
          <w:tcPr>
            <w:tcW w:type="dxa" w:w="3135"/>
            <w:shd w:val="clear" w:color="auto" w:fill="FFFFFF"/>
          </w:tcPr>
          <w:p>
            <w:r>
              <w:rPr>
                <w:sz w:val="18"/>
              </w:rPr>
              <w:t>~400,000 tpa across 2 plants</w:t>
            </w:r>
          </w:p>
        </w:tc>
        <w:tc>
          <w:tcPr>
            <w:tcW w:type="dxa" w:w="3135"/>
            <w:shd w:val="clear" w:color="auto" w:fill="FFFFFF"/>
          </w:tcPr>
          <w:p>
            <w:r>
              <w:rPr>
                <w:sz w:val="18"/>
              </w:rPr>
              <w:t>NPA/UDC 2025</w:t>
            </w:r>
          </w:p>
        </w:tc>
      </w:tr>
      <w:tr>
        <w:tc>
          <w:tcPr>
            <w:tcW w:type="dxa" w:w="3135"/>
            <w:shd w:val="clear" w:color="auto" w:fill="EEF3F9"/>
          </w:tcPr>
          <w:p>
            <w:r>
              <w:rPr>
                <w:sz w:val="18"/>
              </w:rPr>
              <w:t>Iron-ore reserves (estimated)</w:t>
            </w:r>
          </w:p>
        </w:tc>
        <w:tc>
          <w:tcPr>
            <w:tcW w:type="dxa" w:w="3135"/>
            <w:shd w:val="clear" w:color="auto" w:fill="EEF3F9"/>
          </w:tcPr>
          <w:p>
            <w:r>
              <w:rPr>
                <w:sz w:val="18"/>
              </w:rPr>
              <w:t>~350 million tonnes</w:t>
            </w:r>
          </w:p>
        </w:tc>
        <w:tc>
          <w:tcPr>
            <w:tcW w:type="dxa" w:w="3135"/>
            <w:shd w:val="clear" w:color="auto" w:fill="EEF3F9"/>
          </w:tcPr>
          <w:p>
            <w:r>
              <w:rPr>
                <w:sz w:val="18"/>
              </w:rPr>
              <w:t>NPA/UDC 2025</w:t>
            </w:r>
          </w:p>
        </w:tc>
      </w:tr>
      <w:tr>
        <w:tc>
          <w:tcPr>
            <w:tcW w:type="dxa" w:w="3135"/>
            <w:shd w:val="clear" w:color="auto" w:fill="FFFFFF"/>
          </w:tcPr>
          <w:p>
            <w:r>
              <w:rPr>
                <w:sz w:val="18"/>
              </w:rPr>
              <w:t>Industry investment</w:t>
            </w:r>
          </w:p>
        </w:tc>
        <w:tc>
          <w:tcPr>
            <w:tcW w:type="dxa" w:w="3135"/>
            <w:shd w:val="clear" w:color="auto" w:fill="FFFFFF"/>
          </w:tcPr>
          <w:p>
            <w:r>
              <w:rPr>
                <w:b/>
                <w:sz w:val="18"/>
              </w:rPr>
              <w:t>&gt; USD 1 billion</w:t>
            </w:r>
          </w:p>
        </w:tc>
        <w:tc>
          <w:tcPr>
            <w:tcW w:type="dxa" w:w="3135"/>
            <w:shd w:val="clear" w:color="auto" w:fill="FFFFFF"/>
          </w:tcPr>
          <w:p>
            <w:r>
              <w:rPr>
                <w:sz w:val="18"/>
              </w:rPr>
              <w:t>NPA/UDC 2025</w:t>
            </w:r>
          </w:p>
        </w:tc>
      </w:tr>
      <w:tr>
        <w:tc>
          <w:tcPr>
            <w:tcW w:type="dxa" w:w="3135"/>
            <w:shd w:val="clear" w:color="auto" w:fill="EEF3F9"/>
          </w:tcPr>
          <w:p>
            <w:r>
              <w:rPr>
                <w:sz w:val="18"/>
              </w:rPr>
              <w:t>Direct employment</w:t>
            </w:r>
          </w:p>
        </w:tc>
        <w:tc>
          <w:tcPr>
            <w:tcW w:type="dxa" w:w="3135"/>
            <w:shd w:val="clear" w:color="auto" w:fill="EEF3F9"/>
          </w:tcPr>
          <w:p>
            <w:r>
              <w:rPr>
                <w:sz w:val="18"/>
              </w:rPr>
              <w:t>~2,500 (plus large indirect)</w:t>
            </w:r>
          </w:p>
        </w:tc>
        <w:tc>
          <w:tcPr>
            <w:tcW w:type="dxa" w:w="3135"/>
            <w:shd w:val="clear" w:color="auto" w:fill="EEF3F9"/>
          </w:tcPr>
          <w:p>
            <w:r>
              <w:rPr>
                <w:sz w:val="18"/>
              </w:rPr>
              <w:t>NPA/UDC 2025</w:t>
            </w:r>
          </w:p>
        </w:tc>
      </w:tr>
      <w:tr>
        <w:tc>
          <w:tcPr>
            <w:tcW w:type="dxa" w:w="3135"/>
            <w:shd w:val="clear" w:color="auto" w:fill="FFFFFF"/>
          </w:tcPr>
          <w:p>
            <w:r>
              <w:rPr>
                <w:sz w:val="18"/>
              </w:rPr>
              <w:t>Firms across the chain</w:t>
            </w:r>
          </w:p>
        </w:tc>
        <w:tc>
          <w:tcPr>
            <w:tcW w:type="dxa" w:w="3135"/>
            <w:shd w:val="clear" w:color="auto" w:fill="FFFFFF"/>
          </w:tcPr>
          <w:p>
            <w:r>
              <w:rPr>
                <w:sz w:val="18"/>
              </w:rPr>
              <w:t>~37 plants</w:t>
            </w:r>
          </w:p>
        </w:tc>
        <w:tc>
          <w:tcPr>
            <w:tcW w:type="dxa" w:w="3135"/>
            <w:shd w:val="clear" w:color="auto" w:fill="FFFFFF"/>
          </w:tcPr>
          <w:p>
            <w:r>
              <w:rPr>
                <w:sz w:val="18"/>
              </w:rPr>
              <w:t>NPA/UDC 2025 (plant register)</w:t>
            </w:r>
          </w:p>
        </w:tc>
      </w:tr>
      <w:tr>
        <w:tc>
          <w:tcPr>
            <w:tcW w:type="dxa" w:w="3135"/>
            <w:shd w:val="clear" w:color="auto" w:fill="EEF3F9"/>
          </w:tcPr>
          <w:p>
            <w:r>
              <w:rPr>
                <w:sz w:val="18"/>
              </w:rPr>
              <w:t>Largest import line</w:t>
            </w:r>
          </w:p>
        </w:tc>
        <w:tc>
          <w:tcPr>
            <w:tcW w:type="dxa" w:w="3135"/>
            <w:shd w:val="clear" w:color="auto" w:fill="EEF3F9"/>
          </w:tcPr>
          <w:p>
            <w:r>
              <w:rPr>
                <w:sz w:val="18"/>
              </w:rPr>
              <w:t>Flat-rolled steel (HS 7208) — USD 219.5m</w:t>
            </w:r>
          </w:p>
        </w:tc>
        <w:tc>
          <w:tcPr>
            <w:tcW w:type="dxa" w:w="3135"/>
            <w:shd w:val="clear" w:color="auto" w:fill="EEF3F9"/>
          </w:tcPr>
          <w:p>
            <w:r>
              <w:rPr>
                <w:sz w:val="18"/>
              </w:rPr>
              <w:t>ITC TradeMap 2024</w:t>
            </w:r>
          </w:p>
        </w:tc>
      </w:tr>
      <w:tr>
        <w:tc>
          <w:tcPr>
            <w:tcW w:type="dxa" w:w="3135"/>
            <w:shd w:val="clear" w:color="auto" w:fill="FFFFFF"/>
          </w:tcPr>
          <w:p>
            <w:r>
              <w:rPr>
                <w:sz w:val="18"/>
              </w:rPr>
              <w:t>Competitive export line</w:t>
            </w:r>
          </w:p>
        </w:tc>
        <w:tc>
          <w:tcPr>
            <w:tcW w:type="dxa" w:w="3135"/>
            <w:shd w:val="clear" w:color="auto" w:fill="FFFFFF"/>
          </w:tcPr>
          <w:p>
            <w:r>
              <w:rPr>
                <w:sz w:val="18"/>
              </w:rPr>
              <w:t>Rebar (HS 7214) — USD 55.8m</w:t>
            </w:r>
          </w:p>
        </w:tc>
        <w:tc>
          <w:tcPr>
            <w:tcW w:type="dxa" w:w="3135"/>
            <w:shd w:val="clear" w:color="auto" w:fill="FFFFFF"/>
          </w:tcPr>
          <w:p>
            <w:r>
              <w:rPr>
                <w:sz w:val="18"/>
              </w:rPr>
              <w:t>ITC TradeMap 2024</w:t>
            </w:r>
          </w:p>
        </w:tc>
      </w:tr>
    </w:tbl>
    <w:p/>
    <w:p>
      <w:r>
        <w:t xml:space="preserve">Only </w:t>
      </w:r>
      <w:r>
        <w:rPr>
          <w:b/>
        </w:rPr>
        <w:t>30.5% of installed capacity is in use</w:t>
      </w:r>
      <w:r>
        <w:t xml:space="preserve"> — two-thirds sits idle, driven (per the firms themselves) by power instability, limited market, import competition and tax-policy inconsistency. Raising utilisation toward 70–80% is itself a major near-term win requiring no new mills.</w:t>
      </w:r>
    </w:p>
    <w:p>
      <w:pPr>
        <w:pStyle w:val="Heading3"/>
      </w:pPr>
      <w:r>
        <w:t>Companies and plants (selected, by phase and location)</w:t>
      </w:r>
    </w:p>
    <w:p>
      <w:r>
        <w:t>NPA/UDC (2025) registers ~37 plants. Selected leading players: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Phase focus</w:t>
            </w:r>
          </w:p>
        </w:tc>
        <w:tc>
          <w:tcPr>
            <w:tcW w:type="dxa" w:w="2351"/>
            <w:shd w:val="clear" w:color="auto" w:fill="002B5B"/>
          </w:tcPr>
          <w:p>
            <w:r>
              <w:rPr>
                <w:b/>
                <w:color w:val="FFFFFF"/>
                <w:sz w:val="18"/>
              </w:rPr>
              <w:t>Capacity / note</w:t>
            </w:r>
          </w:p>
        </w:tc>
      </w:tr>
      <w:tr>
        <w:tc>
          <w:tcPr>
            <w:tcW w:type="dxa" w:w="2351"/>
            <w:shd w:val="clear" w:color="auto" w:fill="EEF3F9"/>
          </w:tcPr>
          <w:p>
            <w:r>
              <w:rPr>
                <w:b/>
                <w:sz w:val="18"/>
              </w:rPr>
              <w:t>Tembo Steels</w:t>
            </w:r>
          </w:p>
        </w:tc>
        <w:tc>
          <w:tcPr>
            <w:tcW w:type="dxa" w:w="2351"/>
            <w:shd w:val="clear" w:color="auto" w:fill="EEF3F9"/>
          </w:tcPr>
          <w:p>
            <w:r>
              <w:rPr>
                <w:sz w:val="18"/>
              </w:rPr>
              <w:t>Iganga; Lugazi (Najjembe)</w:t>
            </w:r>
          </w:p>
        </w:tc>
        <w:tc>
          <w:tcPr>
            <w:tcW w:type="dxa" w:w="2351"/>
            <w:shd w:val="clear" w:color="auto" w:fill="EEF3F9"/>
          </w:tcPr>
          <w:p>
            <w:r>
              <w:rPr>
                <w:sz w:val="18"/>
              </w:rPr>
              <w:t>II + V (integrated-leaning)</w:t>
            </w:r>
          </w:p>
        </w:tc>
        <w:tc>
          <w:tcPr>
            <w:tcW w:type="dxa" w:w="2351"/>
            <w:shd w:val="clear" w:color="auto" w:fill="EEF3F9"/>
          </w:tcPr>
          <w:p>
            <w:r>
              <w:rPr>
                <w:sz w:val="18"/>
              </w:rPr>
              <w:t xml:space="preserve">Sponge-iron plant Iganga </w:t>
            </w:r>
            <w:r>
              <w:rPr>
                <w:b/>
                <w:sz w:val="18"/>
              </w:rPr>
              <w:t>350,000 tpa</w:t>
            </w:r>
            <w:r>
              <w:rPr>
                <w:sz w:val="18"/>
              </w:rPr>
              <w:t>; large re-rolling</w:t>
            </w:r>
          </w:p>
        </w:tc>
      </w:tr>
      <w:tr>
        <w:tc>
          <w:tcPr>
            <w:tcW w:type="dxa" w:w="2351"/>
            <w:shd w:val="clear" w:color="auto" w:fill="FFFFFF"/>
          </w:tcPr>
          <w:p>
            <w:r>
              <w:rPr>
                <w:b/>
                <w:sz w:val="18"/>
              </w:rPr>
              <w:t>Abyssinia Iron &amp; Steel (U)</w:t>
            </w:r>
          </w:p>
        </w:tc>
        <w:tc>
          <w:tcPr>
            <w:tcW w:type="dxa" w:w="2351"/>
            <w:shd w:val="clear" w:color="auto" w:fill="FFFFFF"/>
          </w:tcPr>
          <w:p>
            <w:r>
              <w:rPr>
                <w:sz w:val="18"/>
              </w:rPr>
              <w:t>Masese Rd, Jinja</w:t>
            </w:r>
          </w:p>
        </w:tc>
        <w:tc>
          <w:tcPr>
            <w:tcW w:type="dxa" w:w="2351"/>
            <w:shd w:val="clear" w:color="auto" w:fill="FFFFFF"/>
          </w:tcPr>
          <w:p>
            <w:r>
              <w:rPr>
                <w:sz w:val="18"/>
              </w:rPr>
              <w:t>II + IV</w:t>
            </w:r>
          </w:p>
        </w:tc>
        <w:tc>
          <w:tcPr>
            <w:tcW w:type="dxa" w:w="2351"/>
            <w:shd w:val="clear" w:color="auto" w:fill="FFFFFF"/>
          </w:tcPr>
          <w:p>
            <w:r>
              <w:rPr>
                <w:sz w:val="18"/>
              </w:rPr>
              <w:t xml:space="preserve">Sponge iron </w:t>
            </w:r>
            <w:r>
              <w:rPr>
                <w:b/>
                <w:sz w:val="18"/>
              </w:rPr>
              <w:t>30,000 tpa</w:t>
            </w:r>
            <w:r>
              <w:rPr>
                <w:sz w:val="18"/>
              </w:rPr>
              <w:t>; billets supplied to AGI (Kenya parent)</w:t>
            </w:r>
          </w:p>
        </w:tc>
      </w:tr>
      <w:tr>
        <w:tc>
          <w:tcPr>
            <w:tcW w:type="dxa" w:w="2351"/>
            <w:shd w:val="clear" w:color="auto" w:fill="EEF3F9"/>
          </w:tcPr>
          <w:p>
            <w:r>
              <w:rPr>
                <w:b/>
                <w:sz w:val="18"/>
              </w:rPr>
              <w:t>Roofings Ltd</w:t>
            </w:r>
          </w:p>
        </w:tc>
        <w:tc>
          <w:tcPr>
            <w:tcW w:type="dxa" w:w="2351"/>
            <w:shd w:val="clear" w:color="auto" w:fill="EEF3F9"/>
          </w:tcPr>
          <w:p>
            <w:r>
              <w:rPr>
                <w:sz w:val="18"/>
              </w:rPr>
              <w:t>Lubowa, Wakiso</w:t>
            </w:r>
          </w:p>
        </w:tc>
        <w:tc>
          <w:tcPr>
            <w:tcW w:type="dxa" w:w="2351"/>
            <w:shd w:val="clear" w:color="auto" w:fill="EEF3F9"/>
          </w:tcPr>
          <w:p>
            <w:r>
              <w:rPr>
                <w:sz w:val="18"/>
              </w:rPr>
              <w:t>V (wire, pipes, roofing)</w:t>
            </w:r>
          </w:p>
        </w:tc>
        <w:tc>
          <w:tcPr>
            <w:tcW w:type="dxa" w:w="2351"/>
            <w:shd w:val="clear" w:color="auto" w:fill="EEF3F9"/>
          </w:tcPr>
          <w:p>
            <w:r>
              <w:rPr>
                <w:sz w:val="18"/>
              </w:rPr>
              <w:t>Major; ~1,850 employees (2021)</w:t>
            </w:r>
          </w:p>
        </w:tc>
      </w:tr>
      <w:tr>
        <w:tc>
          <w:tcPr>
            <w:tcW w:type="dxa" w:w="2351"/>
            <w:shd w:val="clear" w:color="auto" w:fill="FFFFFF"/>
          </w:tcPr>
          <w:p>
            <w:r>
              <w:rPr>
                <w:b/>
                <w:sz w:val="18"/>
              </w:rPr>
              <w:t>Roofings Rolling Mills</w:t>
            </w:r>
          </w:p>
        </w:tc>
        <w:tc>
          <w:tcPr>
            <w:tcW w:type="dxa" w:w="2351"/>
            <w:shd w:val="clear" w:color="auto" w:fill="FFFFFF"/>
          </w:tcPr>
          <w:p>
            <w:r>
              <w:rPr>
                <w:sz w:val="18"/>
              </w:rPr>
              <w:t>Namanve Industrial Park</w:t>
            </w:r>
          </w:p>
        </w:tc>
        <w:tc>
          <w:tcPr>
            <w:tcW w:type="dxa" w:w="2351"/>
            <w:shd w:val="clear" w:color="auto" w:fill="FFFFFF"/>
          </w:tcPr>
          <w:p>
            <w:r>
              <w:rPr>
                <w:sz w:val="18"/>
              </w:rPr>
              <w:t>V (rebar, wire, coated coil)</w:t>
            </w:r>
          </w:p>
        </w:tc>
        <w:tc>
          <w:tcPr>
            <w:tcW w:type="dxa" w:w="2351"/>
            <w:shd w:val="clear" w:color="auto" w:fill="FFFFFF"/>
          </w:tcPr>
          <w:p>
            <w:r>
              <w:rPr>
                <w:sz w:val="18"/>
              </w:rPr>
              <w:t>Major integrated finishing</w:t>
            </w:r>
          </w:p>
        </w:tc>
      </w:tr>
      <w:tr>
        <w:tc>
          <w:tcPr>
            <w:tcW w:type="dxa" w:w="2351"/>
            <w:shd w:val="clear" w:color="auto" w:fill="EEF3F9"/>
          </w:tcPr>
          <w:p>
            <w:r>
              <w:rPr>
                <w:b/>
                <w:sz w:val="18"/>
              </w:rPr>
              <w:t>Steel &amp; Tube Industries (STIL)</w:t>
            </w:r>
          </w:p>
        </w:tc>
        <w:tc>
          <w:tcPr>
            <w:tcW w:type="dxa" w:w="2351"/>
            <w:shd w:val="clear" w:color="auto" w:fill="EEF3F9"/>
          </w:tcPr>
          <w:p>
            <w:r>
              <w:rPr>
                <w:sz w:val="18"/>
              </w:rPr>
              <w:t>Namanve &amp; Nakawa, Kampala</w:t>
            </w:r>
          </w:p>
        </w:tc>
        <w:tc>
          <w:tcPr>
            <w:tcW w:type="dxa" w:w="2351"/>
            <w:shd w:val="clear" w:color="auto" w:fill="EEF3F9"/>
          </w:tcPr>
          <w:p>
            <w:r>
              <w:rPr>
                <w:sz w:val="18"/>
              </w:rPr>
              <w:t>V (bars, tubes, sections)</w:t>
            </w:r>
          </w:p>
        </w:tc>
        <w:tc>
          <w:tcPr>
            <w:tcW w:type="dxa" w:w="2351"/>
            <w:shd w:val="clear" w:color="auto" w:fill="EEF3F9"/>
          </w:tcPr>
          <w:p>
            <w:r>
              <w:rPr>
                <w:sz w:val="18"/>
              </w:rPr>
              <w:t>~1,080 staff; ~6,000 wider beneficiaries</w:t>
            </w:r>
          </w:p>
        </w:tc>
      </w:tr>
      <w:tr>
        <w:tc>
          <w:tcPr>
            <w:tcW w:type="dxa" w:w="2351"/>
            <w:shd w:val="clear" w:color="auto" w:fill="FFFFFF"/>
          </w:tcPr>
          <w:p>
            <w:r>
              <w:rPr>
                <w:b/>
                <w:sz w:val="18"/>
              </w:rPr>
              <w:t>Uganda Baati</w:t>
            </w:r>
          </w:p>
        </w:tc>
        <w:tc>
          <w:tcPr>
            <w:tcW w:type="dxa" w:w="2351"/>
            <w:shd w:val="clear" w:color="auto" w:fill="FFFFFF"/>
          </w:tcPr>
          <w:p>
            <w:r>
              <w:rPr>
                <w:sz w:val="18"/>
              </w:rPr>
              <w:t>Industrial Area, Kampala (Safal)</w:t>
            </w:r>
          </w:p>
        </w:tc>
        <w:tc>
          <w:tcPr>
            <w:tcW w:type="dxa" w:w="2351"/>
            <w:shd w:val="clear" w:color="auto" w:fill="FFFFFF"/>
          </w:tcPr>
          <w:p>
            <w:r>
              <w:rPr>
                <w:sz w:val="18"/>
              </w:rPr>
              <w:t>V (roofing, coated sheet)</w:t>
            </w:r>
          </w:p>
        </w:tc>
        <w:tc>
          <w:tcPr>
            <w:tcW w:type="dxa" w:w="2351"/>
            <w:shd w:val="clear" w:color="auto" w:fill="FFFFFF"/>
          </w:tcPr>
          <w:p>
            <w:r>
              <w:rPr>
                <w:sz w:val="18"/>
              </w:rPr>
              <w:t>Leading roofing maker</w:t>
            </w:r>
          </w:p>
        </w:tc>
      </w:tr>
      <w:tr>
        <w:tc>
          <w:tcPr>
            <w:tcW w:type="dxa" w:w="2351"/>
            <w:shd w:val="clear" w:color="auto" w:fill="EEF3F9"/>
          </w:tcPr>
          <w:p>
            <w:r>
              <w:rPr>
                <w:b/>
                <w:sz w:val="18"/>
              </w:rPr>
              <w:t>Tororo Cement – Steel Division</w:t>
            </w:r>
          </w:p>
        </w:tc>
        <w:tc>
          <w:tcPr>
            <w:tcW w:type="dxa" w:w="2351"/>
            <w:shd w:val="clear" w:color="auto" w:fill="EEF3F9"/>
          </w:tcPr>
          <w:p>
            <w:r>
              <w:rPr>
                <w:sz w:val="18"/>
              </w:rPr>
              <w:t>Tororo (Jinja–Malaba Rd)</w:t>
            </w:r>
          </w:p>
        </w:tc>
        <w:tc>
          <w:tcPr>
            <w:tcW w:type="dxa" w:w="2351"/>
            <w:shd w:val="clear" w:color="auto" w:fill="EEF3F9"/>
          </w:tcPr>
          <w:p>
            <w:r>
              <w:rPr>
                <w:sz w:val="18"/>
              </w:rPr>
              <w:t>V</w:t>
            </w:r>
          </w:p>
        </w:tc>
        <w:tc>
          <w:tcPr>
            <w:tcW w:type="dxa" w:w="2351"/>
            <w:shd w:val="clear" w:color="auto" w:fill="EEF3F9"/>
          </w:tcPr>
          <w:p>
            <w:r>
              <w:rPr>
                <w:sz w:val="18"/>
              </w:rPr>
              <w:t>Long products</w:t>
            </w:r>
          </w:p>
        </w:tc>
      </w:tr>
      <w:tr>
        <w:tc>
          <w:tcPr>
            <w:tcW w:type="dxa" w:w="2351"/>
            <w:shd w:val="clear" w:color="auto" w:fill="FFFFFF"/>
          </w:tcPr>
          <w:p>
            <w:r>
              <w:rPr>
                <w:b/>
                <w:sz w:val="18"/>
              </w:rPr>
              <w:t>BM Steel (GLISCO)</w:t>
            </w:r>
          </w:p>
        </w:tc>
        <w:tc>
          <w:tcPr>
            <w:tcW w:type="dxa" w:w="2351"/>
            <w:shd w:val="clear" w:color="auto" w:fill="FFFFFF"/>
          </w:tcPr>
          <w:p>
            <w:r>
              <w:rPr>
                <w:sz w:val="18"/>
              </w:rPr>
              <w:t>Mbarara</w:t>
            </w:r>
          </w:p>
        </w:tc>
        <w:tc>
          <w:tcPr>
            <w:tcW w:type="dxa" w:w="2351"/>
            <w:shd w:val="clear" w:color="auto" w:fill="FFFFFF"/>
          </w:tcPr>
          <w:p>
            <w:r>
              <w:rPr>
                <w:sz w:val="18"/>
              </w:rPr>
              <w:t>V</w:t>
            </w:r>
          </w:p>
        </w:tc>
        <w:tc>
          <w:tcPr>
            <w:tcW w:type="dxa" w:w="2351"/>
            <w:shd w:val="clear" w:color="auto" w:fill="FFFFFF"/>
          </w:tcPr>
          <w:p>
            <w:r>
              <w:rPr>
                <w:sz w:val="18"/>
              </w:rPr>
              <w:t>Sections, bars</w:t>
            </w:r>
          </w:p>
        </w:tc>
      </w:tr>
      <w:tr>
        <w:tc>
          <w:tcPr>
            <w:tcW w:type="dxa" w:w="2351"/>
            <w:shd w:val="clear" w:color="auto" w:fill="EEF3F9"/>
          </w:tcPr>
          <w:p>
            <w:r>
              <w:rPr>
                <w:b/>
                <w:sz w:val="18"/>
              </w:rPr>
              <w:t>SINO Minerals; GLISCO</w:t>
            </w:r>
          </w:p>
        </w:tc>
        <w:tc>
          <w:tcPr>
            <w:tcW w:type="dxa" w:w="2351"/>
            <w:shd w:val="clear" w:color="auto" w:fill="EEF3F9"/>
          </w:tcPr>
          <w:p>
            <w:r>
              <w:rPr>
                <w:sz w:val="18"/>
              </w:rPr>
              <w:t>Kabale</w:t>
            </w:r>
          </w:p>
        </w:tc>
        <w:tc>
          <w:tcPr>
            <w:tcW w:type="dxa" w:w="2351"/>
            <w:shd w:val="clear" w:color="auto" w:fill="EEF3F9"/>
          </w:tcPr>
          <w:p>
            <w:r>
              <w:rPr>
                <w:sz w:val="18"/>
              </w:rPr>
              <w:t>I (mining)</w:t>
            </w:r>
          </w:p>
        </w:tc>
        <w:tc>
          <w:tcPr>
            <w:tcW w:type="dxa" w:w="2351"/>
            <w:shd w:val="clear" w:color="auto" w:fill="EEF3F9"/>
          </w:tcPr>
          <w:p>
            <w:r>
              <w:rPr>
                <w:sz w:val="18"/>
              </w:rPr>
              <w:t>Iron-ore mining base</w:t>
            </w:r>
          </w:p>
        </w:tc>
      </w:tr>
      <w:tr>
        <w:tc>
          <w:tcPr>
            <w:tcW w:type="dxa" w:w="2351"/>
            <w:shd w:val="clear" w:color="auto" w:fill="FFFFFF"/>
          </w:tcPr>
          <w:p>
            <w:r>
              <w:rPr>
                <w:sz w:val="18"/>
              </w:rPr>
              <w:t>Pramukh, Yogi, Madhvani, Tian Tang, Diamond, others</w:t>
            </w:r>
          </w:p>
        </w:tc>
        <w:tc>
          <w:tcPr>
            <w:tcW w:type="dxa" w:w="2351"/>
            <w:shd w:val="clear" w:color="auto" w:fill="FFFFFF"/>
          </w:tcPr>
          <w:p>
            <w:r>
              <w:rPr>
                <w:sz w:val="18"/>
              </w:rPr>
              <w:t>Jinja/Njeru/Mukono belt</w:t>
            </w:r>
          </w:p>
        </w:tc>
        <w:tc>
          <w:tcPr>
            <w:tcW w:type="dxa" w:w="2351"/>
            <w:shd w:val="clear" w:color="auto" w:fill="FFFFFF"/>
          </w:tcPr>
          <w:p>
            <w:r>
              <w:rPr>
                <w:sz w:val="18"/>
              </w:rPr>
              <w:t>V</w:t>
            </w:r>
          </w:p>
        </w:tc>
        <w:tc>
          <w:tcPr>
            <w:tcW w:type="dxa" w:w="2351"/>
            <w:shd w:val="clear" w:color="auto" w:fill="FFFFFF"/>
          </w:tcPr>
          <w:p>
            <w:r>
              <w:rPr>
                <w:sz w:val="18"/>
              </w:rPr>
              <w:t>Re-rolling, sections, wire, nails</w:t>
            </w:r>
          </w:p>
        </w:tc>
      </w:tr>
    </w:tbl>
    <w:p/>
    <w:p>
      <w:r>
        <w:t xml:space="preserve">Two </w:t>
      </w:r>
      <w:r>
        <w:rPr>
          <w:b/>
        </w:rPr>
        <w:t>sponge-iron (Phase II)</w:t>
      </w:r>
      <w:r>
        <w:t xml:space="preserve"> plants exist — Tembo (Iganga, 350,000 tpa) and Abyssinia (Jinja, 30,000 tpa) — together ~400,000 tpa, but they lack sufficient domestic ore and so cannot run at scale; Phase II is just ~5% of players (NPA/UDC, 2025).</w:t>
      </w:r>
    </w:p>
    <w:p>
      <w:r>
        <w:rPr>
          <w:b/>
        </w:rPr>
        <w:t>Upstream (mining) is licensed but undeveloped.</w:t>
      </w:r>
      <w:r>
        <w:t xml:space="preserve"> Active iron-ore exploration and location licences are concentrated in </w:t>
      </w:r>
      <w:r>
        <w:rPr>
          <w:b/>
        </w:rPr>
        <w:t>Kigezi (Rubanda, Rukiga, Kabale, Kisoro)</w:t>
      </w:r>
      <w:r>
        <w:t xml:space="preserve">, held by firms including Diamond Steel Uganda, Kamuntu Investments and others (NPA/UDC, 2025) — the south-western mining frontier — yet commercial-scale extraction has not followed. NPA/UDC estimates that establishing a </w:t>
      </w:r>
      <w:r>
        <w:rPr>
          <w:b/>
        </w:rPr>
        <w:t>1,000,000 tpa (≈4,000 t/day) commercial iron-ore mine would cost ~USD 6.73 million</w:t>
      </w:r>
      <w:r>
        <w:t xml:space="preserve"> — a modest sum relative to the downstream value it unlocks.</w:t>
      </w:r>
    </w:p>
    <w:p>
      <w:pPr>
        <w:pStyle w:val="Heading3"/>
      </w:pPr>
      <w: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Exports 2024</w:t>
            </w:r>
          </w:p>
        </w:tc>
        <w:tc>
          <w:tcPr>
            <w:tcW w:type="dxa" w:w="2351"/>
            <w:shd w:val="clear" w:color="auto" w:fill="002B5B"/>
          </w:tcPr>
          <w:p>
            <w:r>
              <w:rPr>
                <w:b/>
                <w:color w:val="FFFFFF"/>
                <w:sz w:val="18"/>
              </w:rPr>
              <w:t>Reading</w:t>
            </w:r>
          </w:p>
        </w:tc>
      </w:tr>
      <w:tr>
        <w:tc>
          <w:tcPr>
            <w:tcW w:type="dxa" w:w="2351"/>
            <w:shd w:val="clear" w:color="auto" w:fill="EEF3F9"/>
          </w:tcPr>
          <w:p>
            <w:r>
              <w:rPr>
                <w:sz w:val="18"/>
              </w:rPr>
              <w:t>Flat-rolled, hot-rolled (7208)</w:t>
            </w:r>
          </w:p>
        </w:tc>
        <w:tc>
          <w:tcPr>
            <w:tcW w:type="dxa" w:w="2351"/>
            <w:shd w:val="clear" w:color="auto" w:fill="EEF3F9"/>
          </w:tcPr>
          <w:p>
            <w:r>
              <w:rPr>
                <w:sz w:val="18"/>
              </w:rPr>
              <w:t>USD 219.5m (China, Japan, Korea)</w:t>
            </w:r>
          </w:p>
        </w:tc>
        <w:tc>
          <w:tcPr>
            <w:tcW w:type="dxa" w:w="2351"/>
            <w:shd w:val="clear" w:color="auto" w:fill="EEF3F9"/>
          </w:tcPr>
          <w:p>
            <w:r>
              <w:rPr>
                <w:sz w:val="18"/>
              </w:rPr>
              <w:t>USD 2.9m</w:t>
            </w:r>
          </w:p>
        </w:tc>
        <w:tc>
          <w:tcPr>
            <w:tcW w:type="dxa" w:w="2351"/>
            <w:shd w:val="clear" w:color="auto" w:fill="EEF3F9"/>
          </w:tcPr>
          <w:p>
            <w:r>
              <w:rPr>
                <w:sz w:val="18"/>
              </w:rPr>
              <w:t xml:space="preserve">Large deficit — </w:t>
            </w:r>
            <w:r>
              <w:rPr>
                <w:b/>
                <w:sz w:val="18"/>
              </w:rPr>
              <w:t>no domestic flat-rolling</w:t>
            </w:r>
          </w:p>
        </w:tc>
      </w:tr>
      <w:tr>
        <w:tc>
          <w:tcPr>
            <w:tcW w:type="dxa" w:w="2351"/>
            <w:shd w:val="clear" w:color="auto" w:fill="FFFFFF"/>
          </w:tcPr>
          <w:p>
            <w:r>
              <w:rPr>
                <w:sz w:val="18"/>
              </w:rPr>
              <w:t>Bars &amp; rods in coil (7213)</w:t>
            </w:r>
          </w:p>
        </w:tc>
        <w:tc>
          <w:tcPr>
            <w:tcW w:type="dxa" w:w="2351"/>
            <w:shd w:val="clear" w:color="auto" w:fill="FFFFFF"/>
          </w:tcPr>
          <w:p>
            <w:r>
              <w:rPr>
                <w:sz w:val="18"/>
              </w:rPr>
              <w:t>USD 34.1m (China, Egypt, S. Africa)</w:t>
            </w:r>
          </w:p>
        </w:tc>
        <w:tc>
          <w:tcPr>
            <w:tcW w:type="dxa" w:w="2351"/>
            <w:shd w:val="clear" w:color="auto" w:fill="FFFFFF"/>
          </w:tcPr>
          <w:p>
            <w:r>
              <w:rPr>
                <w:sz w:val="18"/>
              </w:rPr>
              <w:t>USD 0.5m</w:t>
            </w:r>
          </w:p>
        </w:tc>
        <w:tc>
          <w:tcPr>
            <w:tcW w:type="dxa" w:w="2351"/>
            <w:shd w:val="clear" w:color="auto" w:fill="FFFFFF"/>
          </w:tcPr>
          <w:p>
            <w:r>
              <w:rPr>
                <w:sz w:val="18"/>
              </w:rPr>
              <w:t>Net importer of wire rod</w:t>
            </w:r>
          </w:p>
        </w:tc>
      </w:tr>
      <w:tr>
        <w:tc>
          <w:tcPr>
            <w:tcW w:type="dxa" w:w="2351"/>
            <w:shd w:val="clear" w:color="auto" w:fill="EEF3F9"/>
          </w:tcPr>
          <w:p>
            <w:r>
              <w:rPr>
                <w:sz w:val="18"/>
              </w:rPr>
              <w:t>Other bars &amp; rods (7214 — rebar)</w:t>
            </w:r>
          </w:p>
        </w:tc>
        <w:tc>
          <w:tcPr>
            <w:tcW w:type="dxa" w:w="2351"/>
            <w:shd w:val="clear" w:color="auto" w:fill="EEF3F9"/>
          </w:tcPr>
          <w:p>
            <w:r>
              <w:rPr>
                <w:sz w:val="18"/>
              </w:rPr>
              <w:t>USD 2.7m</w:t>
            </w:r>
          </w:p>
        </w:tc>
        <w:tc>
          <w:tcPr>
            <w:tcW w:type="dxa" w:w="2351"/>
            <w:shd w:val="clear" w:color="auto" w:fill="EEF3F9"/>
          </w:tcPr>
          <w:p>
            <w:r>
              <w:rPr>
                <w:b/>
                <w:sz w:val="18"/>
              </w:rPr>
              <w:t>USD 55.8m</w:t>
            </w:r>
            <w:r>
              <w:rPr>
                <w:sz w:val="18"/>
              </w:rPr>
              <w:t xml:space="preserve"> (S. Sudan, DRC, Kenya)</w:t>
            </w:r>
          </w:p>
        </w:tc>
        <w:tc>
          <w:tcPr>
            <w:tcW w:type="dxa" w:w="2351"/>
            <w:shd w:val="clear" w:color="auto" w:fill="EEF3F9"/>
          </w:tcPr>
          <w:p>
            <w:r>
              <w:rPr>
                <w:b/>
                <w:sz w:val="18"/>
              </w:rPr>
              <w:t>Net exporter — competitive</w:t>
            </w:r>
          </w:p>
        </w:tc>
      </w:tr>
      <w:tr>
        <w:tc>
          <w:tcPr>
            <w:tcW w:type="dxa" w:w="2351"/>
            <w:shd w:val="clear" w:color="auto" w:fill="FFFFFF"/>
          </w:tcPr>
          <w:p>
            <w:r>
              <w:rPr>
                <w:sz w:val="18"/>
              </w:rPr>
              <w:t>Semi-finished (7207, billet/slab)</w:t>
            </w:r>
          </w:p>
        </w:tc>
        <w:tc>
          <w:tcPr>
            <w:tcW w:type="dxa" w:w="2351"/>
            <w:shd w:val="clear" w:color="auto" w:fill="FFFFFF"/>
          </w:tcPr>
          <w:p>
            <w:r>
              <w:rPr>
                <w:sz w:val="18"/>
              </w:rPr>
              <w:t>USD 78.5m (S. Africa, China, Oman)</w:t>
            </w:r>
          </w:p>
        </w:tc>
        <w:tc>
          <w:tcPr>
            <w:tcW w:type="dxa" w:w="2351"/>
            <w:shd w:val="clear" w:color="auto" w:fill="FFFFFF"/>
          </w:tcPr>
          <w:p>
            <w:r>
              <w:rPr>
                <w:sz w:val="18"/>
              </w:rPr>
              <w:t>USD 2.5m</w:t>
            </w:r>
          </w:p>
        </w:tc>
        <w:tc>
          <w:tcPr>
            <w:tcW w:type="dxa" w:w="2351"/>
            <w:shd w:val="clear" w:color="auto" w:fill="FFFFFF"/>
          </w:tcPr>
          <w:p>
            <w:r>
              <w:rPr>
                <w:sz w:val="18"/>
              </w:rPr>
              <w:t xml:space="preserve">Large deficit — </w:t>
            </w:r>
            <w:r>
              <w:rPr>
                <w:b/>
                <w:sz w:val="18"/>
              </w:rPr>
              <w:t>no primary steelmaking</w:t>
            </w:r>
          </w:p>
        </w:tc>
      </w:tr>
      <w:tr>
        <w:tc>
          <w:tcPr>
            <w:tcW w:type="dxa" w:w="2351"/>
            <w:shd w:val="clear" w:color="auto" w:fill="EEF3F9"/>
          </w:tcPr>
          <w:p>
            <w:r>
              <w:rPr>
                <w:sz w:val="18"/>
              </w:rPr>
              <w:t>Ferrous scrap (7204)</w:t>
            </w:r>
          </w:p>
        </w:tc>
        <w:tc>
          <w:tcPr>
            <w:tcW w:type="dxa" w:w="2351"/>
            <w:shd w:val="clear" w:color="auto" w:fill="EEF3F9"/>
          </w:tcPr>
          <w:p>
            <w:r>
              <w:rPr>
                <w:sz w:val="18"/>
              </w:rPr>
              <w:t>USD 72.8m (S. Sudan, Kenya, UK)</w:t>
            </w:r>
          </w:p>
        </w:tc>
        <w:tc>
          <w:tcPr>
            <w:tcW w:type="dxa" w:w="2351"/>
            <w:shd w:val="clear" w:color="auto" w:fill="EEF3F9"/>
          </w:tcPr>
          <w:p>
            <w:r>
              <w:rPr>
                <w:sz w:val="18"/>
              </w:rPr>
              <w:t>negligible</w:t>
            </w:r>
          </w:p>
        </w:tc>
        <w:tc>
          <w:tcPr>
            <w:tcW w:type="dxa" w:w="2351"/>
            <w:shd w:val="clear" w:color="auto" w:fill="EEF3F9"/>
          </w:tcPr>
          <w:p>
            <w:r>
              <w:rPr>
                <w:sz w:val="18"/>
              </w:rPr>
              <w:t>Feedstock dependence on imported scrap</w:t>
            </w:r>
          </w:p>
        </w:tc>
      </w:tr>
      <w:tr>
        <w:tc>
          <w:tcPr>
            <w:tcW w:type="dxa" w:w="2351"/>
            <w:shd w:val="clear" w:color="auto" w:fill="FFFFFF"/>
          </w:tcPr>
          <w:p>
            <w:r>
              <w:rPr>
                <w:sz w:val="18"/>
              </w:rPr>
              <w:t>Iron ore (2601)</w:t>
            </w:r>
          </w:p>
        </w:tc>
        <w:tc>
          <w:tcPr>
            <w:tcW w:type="dxa" w:w="2351"/>
            <w:shd w:val="clear" w:color="auto" w:fill="FFFFFF"/>
          </w:tcPr>
          <w:p>
            <w:r>
              <w:rPr>
                <w:sz w:val="18"/>
              </w:rPr>
              <w:t>~0</w:t>
            </w:r>
          </w:p>
        </w:tc>
        <w:tc>
          <w:tcPr>
            <w:tcW w:type="dxa" w:w="2351"/>
            <w:shd w:val="clear" w:color="auto" w:fill="FFFFFF"/>
          </w:tcPr>
          <w:p>
            <w:r>
              <w:rPr>
                <w:b/>
                <w:sz w:val="18"/>
              </w:rPr>
              <w:t>USD 35.8m</w:t>
            </w:r>
            <w:r>
              <w:rPr>
                <w:sz w:val="18"/>
              </w:rPr>
              <w:t xml:space="preserve"> (Kenya)</w:t>
            </w:r>
          </w:p>
        </w:tc>
        <w:tc>
          <w:tcPr>
            <w:tcW w:type="dxa" w:w="2351"/>
            <w:shd w:val="clear" w:color="auto" w:fill="FFFFFF"/>
          </w:tcPr>
          <w:p>
            <w:r>
              <w:rPr>
                <w:b/>
                <w:sz w:val="18"/>
              </w:rPr>
              <w:t>Raw ore exported unprocessed</w:t>
            </w:r>
          </w:p>
        </w:tc>
      </w:tr>
    </w:tbl>
    <w:p/>
    <w:p>
      <w:r>
        <w:t xml:space="preserve">Uganda is </w:t>
      </w:r>
      <w:r>
        <w:rPr>
          <w:b/>
        </w:rPr>
        <w:t>competitive in finished long products (rebar)</w:t>
      </w:r>
      <w:r>
        <w:t xml:space="preserve"> — ~USD 56m exported in 2024 to South Sudan and the DRC — but a </w:t>
      </w:r>
      <w:r>
        <w:rPr>
          <w:b/>
        </w:rPr>
        <w:t>major net importer of the upstream and flat-steel segments</w:t>
      </w:r>
      <w:r>
        <w:t xml:space="preserve"> it cannot yet produce, and it </w:t>
      </w:r>
      <w:r>
        <w:rPr>
          <w:b/>
        </w:rPr>
        <w:t>exports its iron ore raw</w:t>
      </w:r>
      <w:r>
        <w:t>.</w:t>
      </w:r>
    </w:p>
    <w:p>
      <w:pPr>
        <w:pStyle w:val="Heading3"/>
      </w:pPr>
      <w:r>
        <w:t>Investment momentum (2025)</w:t>
      </w:r>
    </w:p>
    <w:p>
      <w:pPr>
        <w:pStyle w:val="ListBullet"/>
      </w:pPr>
      <w:r>
        <w:rPr>
          <w:b/>
        </w:rPr>
        <w:t>Tembo Steel</w:t>
      </w:r>
      <w:r>
        <w:t xml:space="preserve"> commissioned a second DRI (sponge iron) plant in January 2025 (~250,000 t), deepening Phase II (State House Uganda, 2025).</w:t>
      </w:r>
    </w:p>
    <w:p>
      <w:pPr>
        <w:pStyle w:val="ListBullet"/>
      </w:pPr>
      <w:r>
        <w:rPr>
          <w:b/>
        </w:rPr>
        <w:t>Devki Group</w:t>
      </w:r>
      <w:r>
        <w:t xml:space="preserve"> broke ground in November 2025 on a </w:t>
      </w:r>
      <w:r>
        <w:rPr>
          <w:b/>
        </w:rPr>
        <w:t>USD 500 million</w:t>
      </w:r>
      <w:r>
        <w:t xml:space="preserve"> vertically integrated steel complex (Tororo/Mbarara), projected to create ~15,000 jobs (GMK Center, 2025; The Independent, 2025).</w:t>
      </w:r>
    </w:p>
    <w:p>
      <w:pPr>
        <w:pStyle w:val="ListBullet"/>
      </w:pPr>
      <w:r>
        <w:t xml:space="preserve">Government is also pursuing a </w:t>
      </w:r>
      <w:r>
        <w:rPr>
          <w:b/>
        </w:rPr>
        <w:t>partnership with a Kenyan steel manufacturer</w:t>
      </w:r>
      <w:r>
        <w:t xml:space="preserve"> to help bridge Phase II (NPA/UDC, 2025).</w:t>
      </w:r>
    </w:p>
    <w:p>
      <w:r>
        <w:t>These target exactly the missing upstream steps — the foundation any tenfold-scale plan should build on.</w:t>
      </w:r>
    </w:p>
    <w:p>
      <w:pPr>
        <w:pStyle w:val="Heading2"/>
      </w:pPr>
      <w:r>
        <w:t>4.C Market Analysis (four levels) and 2040 Projection</w:t>
      </w:r>
    </w:p>
    <w:p>
      <w:pPr>
        <w:pStyle w:val="Heading3"/>
      </w:pPr>
      <w:r>
        <w:t>Current demand is real and documented</w:t>
      </w:r>
    </w:p>
    <w:p>
      <w:r>
        <w:t>Public infrastructure alone is a large, concrete steel market (NPA/UDC, 2025):</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Project</w:t>
            </w:r>
          </w:p>
        </w:tc>
        <w:tc>
          <w:tcPr>
            <w:tcW w:type="dxa" w:w="2351"/>
            <w:shd w:val="clear" w:color="auto" w:fill="002B5B"/>
          </w:tcPr>
          <w:p>
            <w:r>
              <w:rPr>
                <w:b/>
                <w:color w:val="FFFFFF"/>
                <w:sz w:val="18"/>
              </w:rPr>
              <w:t>Scale</w:t>
            </w:r>
          </w:p>
        </w:tc>
        <w:tc>
          <w:tcPr>
            <w:tcW w:type="dxa" w:w="2351"/>
            <w:shd w:val="clear" w:color="auto" w:fill="002B5B"/>
          </w:tcPr>
          <w:p>
            <w:r>
              <w:rPr>
                <w:b/>
                <w:color w:val="FFFFFF"/>
                <w:sz w:val="18"/>
              </w:rPr>
              <w:t>Steel (tonnes)</w:t>
            </w:r>
          </w:p>
        </w:tc>
        <w:tc>
          <w:tcPr>
            <w:tcW w:type="dxa" w:w="2351"/>
            <w:shd w:val="clear" w:color="auto" w:fill="002B5B"/>
          </w:tcPr>
          <w:p>
            <w:r>
              <w:rPr>
                <w:b/>
                <w:color w:val="FFFFFF"/>
                <w:sz w:val="18"/>
              </w:rPr>
              <w:t>Status</w:t>
            </w:r>
          </w:p>
        </w:tc>
      </w:tr>
      <w:tr>
        <w:tc>
          <w:tcPr>
            <w:tcW w:type="dxa" w:w="2351"/>
            <w:shd w:val="clear" w:color="auto" w:fill="EEF3F9"/>
          </w:tcPr>
          <w:p>
            <w:r>
              <w:rPr>
                <w:sz w:val="18"/>
              </w:rPr>
              <w:t>Karuma Dam</w:t>
            </w:r>
          </w:p>
        </w:tc>
        <w:tc>
          <w:tcPr>
            <w:tcW w:type="dxa" w:w="2351"/>
            <w:shd w:val="clear" w:color="auto" w:fill="EEF3F9"/>
          </w:tcPr>
          <w:p>
            <w:r>
              <w:rPr>
                <w:sz w:val="18"/>
              </w:rPr>
              <w:t>600 MW</w:t>
            </w:r>
          </w:p>
        </w:tc>
        <w:tc>
          <w:tcPr>
            <w:tcW w:type="dxa" w:w="2351"/>
            <w:shd w:val="clear" w:color="auto" w:fill="EEF3F9"/>
          </w:tcPr>
          <w:p>
            <w:r>
              <w:rPr>
                <w:sz w:val="18"/>
              </w:rPr>
              <w:t>36,000</w:t>
            </w:r>
          </w:p>
        </w:tc>
        <w:tc>
          <w:tcPr>
            <w:tcW w:type="dxa" w:w="2351"/>
            <w:shd w:val="clear" w:color="auto" w:fill="EEF3F9"/>
          </w:tcPr>
          <w:p>
            <w:r>
              <w:rPr>
                <w:sz w:val="18"/>
              </w:rPr>
              <w:t>Completed</w:t>
            </w:r>
          </w:p>
        </w:tc>
      </w:tr>
      <w:tr>
        <w:tc>
          <w:tcPr>
            <w:tcW w:type="dxa" w:w="2351"/>
            <w:shd w:val="clear" w:color="auto" w:fill="FFFFFF"/>
          </w:tcPr>
          <w:p>
            <w:r>
              <w:rPr>
                <w:sz w:val="18"/>
              </w:rPr>
              <w:t>Bujagali Dam</w:t>
            </w:r>
          </w:p>
        </w:tc>
        <w:tc>
          <w:tcPr>
            <w:tcW w:type="dxa" w:w="2351"/>
            <w:shd w:val="clear" w:color="auto" w:fill="FFFFFF"/>
          </w:tcPr>
          <w:p>
            <w:r>
              <w:rPr>
                <w:sz w:val="18"/>
              </w:rPr>
              <w:t>250 MW</w:t>
            </w:r>
          </w:p>
        </w:tc>
        <w:tc>
          <w:tcPr>
            <w:tcW w:type="dxa" w:w="2351"/>
            <w:shd w:val="clear" w:color="auto" w:fill="FFFFFF"/>
          </w:tcPr>
          <w:p>
            <w:r>
              <w:rPr>
                <w:sz w:val="18"/>
              </w:rPr>
              <w:t>15,000</w:t>
            </w:r>
          </w:p>
        </w:tc>
        <w:tc>
          <w:tcPr>
            <w:tcW w:type="dxa" w:w="2351"/>
            <w:shd w:val="clear" w:color="auto" w:fill="FFFFFF"/>
          </w:tcPr>
          <w:p>
            <w:r>
              <w:rPr>
                <w:sz w:val="18"/>
              </w:rPr>
              <w:t>Completed</w:t>
            </w:r>
          </w:p>
        </w:tc>
      </w:tr>
      <w:tr>
        <w:tc>
          <w:tcPr>
            <w:tcW w:type="dxa" w:w="2351"/>
            <w:shd w:val="clear" w:color="auto" w:fill="EEF3F9"/>
          </w:tcPr>
          <w:p>
            <w:r>
              <w:rPr>
                <w:sz w:val="18"/>
              </w:rPr>
              <w:t>Isimba Dam</w:t>
            </w:r>
          </w:p>
        </w:tc>
        <w:tc>
          <w:tcPr>
            <w:tcW w:type="dxa" w:w="2351"/>
            <w:shd w:val="clear" w:color="auto" w:fill="EEF3F9"/>
          </w:tcPr>
          <w:p>
            <w:r>
              <w:rPr>
                <w:sz w:val="18"/>
              </w:rPr>
              <w:t>183 MW</w:t>
            </w:r>
          </w:p>
        </w:tc>
        <w:tc>
          <w:tcPr>
            <w:tcW w:type="dxa" w:w="2351"/>
            <w:shd w:val="clear" w:color="auto" w:fill="EEF3F9"/>
          </w:tcPr>
          <w:p>
            <w:r>
              <w:rPr>
                <w:sz w:val="18"/>
              </w:rPr>
              <w:t>11,000</w:t>
            </w:r>
          </w:p>
        </w:tc>
        <w:tc>
          <w:tcPr>
            <w:tcW w:type="dxa" w:w="2351"/>
            <w:shd w:val="clear" w:color="auto" w:fill="EEF3F9"/>
          </w:tcPr>
          <w:p>
            <w:r>
              <w:rPr>
                <w:sz w:val="18"/>
              </w:rPr>
              <w:t>Completed</w:t>
            </w:r>
          </w:p>
        </w:tc>
      </w:tr>
      <w:tr>
        <w:tc>
          <w:tcPr>
            <w:tcW w:type="dxa" w:w="2351"/>
            <w:shd w:val="clear" w:color="auto" w:fill="FFFFFF"/>
          </w:tcPr>
          <w:p>
            <w:r>
              <w:rPr>
                <w:sz w:val="18"/>
              </w:rPr>
              <w:t>Entebbe Expressway</w:t>
            </w:r>
          </w:p>
        </w:tc>
        <w:tc>
          <w:tcPr>
            <w:tcW w:type="dxa" w:w="2351"/>
            <w:shd w:val="clear" w:color="auto" w:fill="FFFFFF"/>
          </w:tcPr>
          <w:p>
            <w:r>
              <w:rPr>
                <w:sz w:val="18"/>
              </w:rPr>
              <w:t>51.36 km</w:t>
            </w:r>
          </w:p>
        </w:tc>
        <w:tc>
          <w:tcPr>
            <w:tcW w:type="dxa" w:w="2351"/>
            <w:shd w:val="clear" w:color="auto" w:fill="FFFFFF"/>
          </w:tcPr>
          <w:p>
            <w:r>
              <w:rPr>
                <w:sz w:val="18"/>
              </w:rPr>
              <w:t>21,472</w:t>
            </w:r>
          </w:p>
        </w:tc>
        <w:tc>
          <w:tcPr>
            <w:tcW w:type="dxa" w:w="2351"/>
            <w:shd w:val="clear" w:color="auto" w:fill="FFFFFF"/>
          </w:tcPr>
          <w:p>
            <w:r>
              <w:rPr>
                <w:sz w:val="18"/>
              </w:rPr>
              <w:t>Completed</w:t>
            </w:r>
          </w:p>
        </w:tc>
      </w:tr>
      <w:tr>
        <w:tc>
          <w:tcPr>
            <w:tcW w:type="dxa" w:w="2351"/>
            <w:shd w:val="clear" w:color="auto" w:fill="EEF3F9"/>
          </w:tcPr>
          <w:p>
            <w:r>
              <w:rPr>
                <w:sz w:val="18"/>
              </w:rPr>
              <w:t>Jinja Nile Bridge</w:t>
            </w:r>
          </w:p>
        </w:tc>
        <w:tc>
          <w:tcPr>
            <w:tcW w:type="dxa" w:w="2351"/>
            <w:shd w:val="clear" w:color="auto" w:fill="EEF3F9"/>
          </w:tcPr>
          <w:p>
            <w:r>
              <w:rPr>
                <w:sz w:val="18"/>
              </w:rPr>
              <w:t>0.525 km</w:t>
            </w:r>
          </w:p>
        </w:tc>
        <w:tc>
          <w:tcPr>
            <w:tcW w:type="dxa" w:w="2351"/>
            <w:shd w:val="clear" w:color="auto" w:fill="EEF3F9"/>
          </w:tcPr>
          <w:p>
            <w:r>
              <w:rPr>
                <w:sz w:val="18"/>
              </w:rPr>
              <w:t>4,487</w:t>
            </w:r>
          </w:p>
        </w:tc>
        <w:tc>
          <w:tcPr>
            <w:tcW w:type="dxa" w:w="2351"/>
            <w:shd w:val="clear" w:color="auto" w:fill="EEF3F9"/>
          </w:tcPr>
          <w:p>
            <w:r>
              <w:rPr>
                <w:sz w:val="18"/>
              </w:rPr>
              <w:t>Completed</w:t>
            </w:r>
          </w:p>
        </w:tc>
      </w:tr>
      <w:tr>
        <w:tc>
          <w:tcPr>
            <w:tcW w:type="dxa" w:w="2351"/>
            <w:shd w:val="clear" w:color="auto" w:fill="FFFFFF"/>
          </w:tcPr>
          <w:p>
            <w:r>
              <w:rPr>
                <w:b/>
                <w:sz w:val="18"/>
              </w:rPr>
              <w:t>Standard Gauge Railway</w:t>
            </w:r>
            <w:r>
              <w:rPr>
                <w:sz w:val="18"/>
              </w:rPr>
              <w:t xml:space="preserve"> (Kampala–Malaba)</w:t>
            </w:r>
          </w:p>
        </w:tc>
        <w:tc>
          <w:tcPr>
            <w:tcW w:type="dxa" w:w="2351"/>
            <w:shd w:val="clear" w:color="auto" w:fill="FFFFFF"/>
          </w:tcPr>
          <w:p>
            <w:r>
              <w:rPr>
                <w:sz w:val="18"/>
              </w:rPr>
              <w:t>338 km</w:t>
            </w:r>
          </w:p>
        </w:tc>
        <w:tc>
          <w:tcPr>
            <w:tcW w:type="dxa" w:w="2351"/>
            <w:shd w:val="clear" w:color="auto" w:fill="FFFFFF"/>
          </w:tcPr>
          <w:p>
            <w:r>
              <w:rPr>
                <w:b/>
                <w:sz w:val="18"/>
              </w:rPr>
              <w:t>92,000</w:t>
            </w:r>
            <w:r>
              <w:rPr>
                <w:sz w:val="18"/>
              </w:rPr>
              <w:t xml:space="preserve"> (86,000 rebar + 6,000 structural)</w:t>
            </w:r>
          </w:p>
        </w:tc>
        <w:tc>
          <w:tcPr>
            <w:tcW w:type="dxa" w:w="2351"/>
            <w:shd w:val="clear" w:color="auto" w:fill="FFFFFF"/>
          </w:tcPr>
          <w:p>
            <w:r>
              <w:rPr>
                <w:sz w:val="18"/>
              </w:rPr>
              <w:t>Planned</w:t>
            </w:r>
          </w:p>
        </w:tc>
      </w:tr>
    </w:tbl>
    <w:p/>
    <w:p>
      <w:r>
        <w:t xml:space="preserve">And domestic vehicle manufacturing is an emerging steel buyer: Kiira Motors' bus programme alone is projected to need </w:t>
      </w:r>
      <w:r>
        <w:rPr>
          <w:b/>
        </w:rPr>
        <w:t>~37,300 tonnes of steel for bus frames by 2027/28</w:t>
      </w:r>
      <w:r>
        <w:t xml:space="preserve">, implying </w:t>
      </w:r>
      <w:r>
        <w:rPr>
          <w:b/>
        </w:rPr>
        <w:t>~USD 75 million of steel imports for bus frames alone by 2028</w:t>
      </w:r>
      <w:r>
        <w:t xml:space="preserve"> if not produced domestically (NPA/UDC, 2025).</w:t>
      </w:r>
    </w:p>
    <w:p>
      <w:pPr>
        <w:pStyle w:val="Heading3"/>
      </w:pPr>
      <w:r>
        <w:t>Market by level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~0.9–1.1 Mtpa apparent consumption (confirm: UBOS); long products met domestically, flat &amp; semi-finished imported</w:t>
            </w:r>
          </w:p>
        </w:tc>
        <w:tc>
          <w:tcPr>
            <w:tcW w:type="dxa" w:w="3135"/>
            <w:shd w:val="clear" w:color="auto" w:fill="EEF3F9"/>
          </w:tcPr>
          <w:p>
            <w:r>
              <w:rPr>
                <w:sz w:val="18"/>
              </w:rPr>
              <w:t>Construction, infrastructure (SGR, dams, roads, housing), urbanisation</w:t>
            </w:r>
          </w:p>
        </w:tc>
      </w:tr>
      <w:tr>
        <w:tc>
          <w:tcPr>
            <w:tcW w:type="dxa" w:w="3135"/>
            <w:shd w:val="clear" w:color="auto" w:fill="FFFFFF"/>
          </w:tcPr>
          <w:p>
            <w:r>
              <w:rPr>
                <w:b/>
                <w:sz w:val="18"/>
              </w:rPr>
              <w:t>Regional (EAC + COMESA)</w:t>
            </w:r>
          </w:p>
        </w:tc>
        <w:tc>
          <w:tcPr>
            <w:tcW w:type="dxa" w:w="3135"/>
            <w:shd w:val="clear" w:color="auto" w:fill="FFFFFF"/>
          </w:tcPr>
          <w:p>
            <w:r>
              <w:rPr>
                <w:sz w:val="18"/>
              </w:rPr>
              <w:t>Intra-EAC trade ~USD 12bn (2023), rising toward ~USD 18bn by mid-2025; Uganda competitive in rebar to S. Sudan &amp; eastern DRC (USD 55.8m, 2024)</w:t>
            </w:r>
          </w:p>
        </w:tc>
        <w:tc>
          <w:tcPr>
            <w:tcW w:type="dxa" w:w="3135"/>
            <w:shd w:val="clear" w:color="auto" w:fill="FFFFFF"/>
          </w:tcPr>
          <w:p>
            <w:r>
              <w:rPr>
                <w:sz w:val="18"/>
              </w:rPr>
              <w:t>Reconstruction (S. Sudan, DRC), CET protection</w:t>
            </w:r>
          </w:p>
        </w:tc>
      </w:tr>
      <w:tr>
        <w:tc>
          <w:tcPr>
            <w:tcW w:type="dxa" w:w="3135"/>
            <w:shd w:val="clear" w:color="auto" w:fill="EEF3F9"/>
          </w:tcPr>
          <w:p>
            <w:r>
              <w:rPr>
                <w:b/>
                <w:sz w:val="18"/>
              </w:rPr>
              <w:t>Continental (Africa)</w:t>
            </w:r>
          </w:p>
        </w:tc>
        <w:tc>
          <w:tcPr>
            <w:tcW w:type="dxa" w:w="3135"/>
            <w:shd w:val="clear" w:color="auto" w:fill="EEF3F9"/>
          </w:tcPr>
          <w:p>
            <w:r>
              <w:rPr>
                <w:sz w:val="18"/>
              </w:rPr>
              <w:t>African steel demand ~35–40 Mtpa with a large import-met deficit; AfCFTA opens access</w:t>
            </w:r>
          </w:p>
        </w:tc>
        <w:tc>
          <w:tcPr>
            <w:tcW w:type="dxa" w:w="3135"/>
            <w:shd w:val="clear" w:color="auto" w:fill="EEF3F9"/>
          </w:tcPr>
          <w:p>
            <w:r>
              <w:rPr>
                <w:sz w:val="18"/>
              </w:rPr>
              <w:t>Africa-wide infrastructure deficit, AfCFTA</w:t>
            </w:r>
          </w:p>
        </w:tc>
      </w:tr>
      <w:tr>
        <w:tc>
          <w:tcPr>
            <w:tcW w:type="dxa" w:w="3135"/>
            <w:shd w:val="clear" w:color="auto" w:fill="FFFFFF"/>
          </w:tcPr>
          <w:p>
            <w:r>
              <w:rPr>
                <w:b/>
                <w:sz w:val="18"/>
              </w:rPr>
              <w:t>Global</w:t>
            </w:r>
          </w:p>
        </w:tc>
        <w:tc>
          <w:tcPr>
            <w:tcW w:type="dxa" w:w="3135"/>
            <w:shd w:val="clear" w:color="auto" w:fill="FFFFFF"/>
          </w:tcPr>
          <w:p>
            <w:r>
              <w:rPr>
                <w:sz w:val="18"/>
              </w:rPr>
              <w:t>~1,892 Mt/yr (World Steel 2025), China-dominated; commodity scale Uganda cannot match</w:t>
            </w:r>
          </w:p>
        </w:tc>
        <w:tc>
          <w:tcPr>
            <w:tcW w:type="dxa" w:w="3135"/>
            <w:shd w:val="clear" w:color="auto" w:fill="FFFFFF"/>
          </w:tcPr>
          <w:p>
            <w:r>
              <w:rPr>
                <w:sz w:val="18"/>
              </w:rPr>
              <w:t>Not accessible for Ugandan commodity-steel export</w:t>
            </w:r>
          </w:p>
        </w:tc>
      </w:tr>
    </w:tbl>
    <w:p/>
    <w:p>
      <w:pPr>
        <w:pStyle w:val="Heading3"/>
      </w:pPr>
      <w:r>
        <w:t>2040 projection — Uganda on the Tenfold logic</w:t>
      </w:r>
    </w:p>
    <w:p>
      <w:r>
        <w:t>Not "today × 10." Steel intensity rises with income then plateaus. Uganda uses ~</w:t>
      </w:r>
      <w:r>
        <w:rPr>
          <w:b/>
        </w:rPr>
        <w:t>20–25 kg of steel per capita</w:t>
      </w:r>
      <w:r>
        <w:t xml:space="preserve"> today, far below the world average (~230 kg) and below lower-middle-income peers (~100–150 kg). A tenfold economy implies structural transformation that pulls per-capita use toward peer levels: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Driver</w:t>
            </w:r>
          </w:p>
        </w:tc>
        <w:tc>
          <w:tcPr>
            <w:tcW w:type="dxa" w:w="3135"/>
            <w:shd w:val="clear" w:color="auto" w:fill="002B5B"/>
          </w:tcPr>
          <w:p>
            <w:r>
              <w:rPr>
                <w:b/>
                <w:color w:val="FFFFFF"/>
                <w:sz w:val="18"/>
              </w:rPr>
              <w:t>Today</w:t>
            </w:r>
          </w:p>
        </w:tc>
        <w:tc>
          <w:tcPr>
            <w:tcW w:type="dxa" w:w="3135"/>
            <w:shd w:val="clear" w:color="auto" w:fill="002B5B"/>
          </w:tcPr>
          <w:p>
            <w:r>
              <w:rPr>
                <w:b/>
                <w:color w:val="FFFFFF"/>
                <w:sz w:val="18"/>
              </w:rPr>
              <w:t>2040 (tenfold logic)</w:t>
            </w:r>
          </w:p>
        </w:tc>
      </w:tr>
      <w:tr>
        <w:tc>
          <w:tcPr>
            <w:tcW w:type="dxa" w:w="3135"/>
            <w:shd w:val="clear" w:color="auto" w:fill="EEF3F9"/>
          </w:tcPr>
          <w:p>
            <w:r>
              <w:rPr>
                <w:sz w:val="18"/>
              </w:rPr>
              <w:t>Per-capita steel use</w:t>
            </w:r>
          </w:p>
        </w:tc>
        <w:tc>
          <w:tcPr>
            <w:tcW w:type="dxa" w:w="3135"/>
            <w:shd w:val="clear" w:color="auto" w:fill="EEF3F9"/>
          </w:tcPr>
          <w:p>
            <w:r>
              <w:rPr>
                <w:sz w:val="18"/>
              </w:rPr>
              <w:t>~20–25 kg</w:t>
            </w:r>
          </w:p>
        </w:tc>
        <w:tc>
          <w:tcPr>
            <w:tcW w:type="dxa" w:w="3135"/>
            <w:shd w:val="clear" w:color="auto" w:fill="EEF3F9"/>
          </w:tcPr>
          <w:p>
            <w:r>
              <w:rPr>
                <w:sz w:val="18"/>
              </w:rPr>
              <w:t>~90–130 kg</w:t>
            </w:r>
          </w:p>
        </w:tc>
      </w:tr>
      <w:tr>
        <w:tc>
          <w:tcPr>
            <w:tcW w:type="dxa" w:w="3135"/>
            <w:shd w:val="clear" w:color="auto" w:fill="FFFFFF"/>
          </w:tcPr>
          <w:p>
            <w:r>
              <w:rPr>
                <w:sz w:val="18"/>
              </w:rPr>
              <w:t>Population</w:t>
            </w:r>
          </w:p>
        </w:tc>
        <w:tc>
          <w:tcPr>
            <w:tcW w:type="dxa" w:w="3135"/>
            <w:shd w:val="clear" w:color="auto" w:fill="FFFFFF"/>
          </w:tcPr>
          <w:p>
            <w:r>
              <w:rPr>
                <w:sz w:val="18"/>
              </w:rPr>
              <w:t>~46–48m</w:t>
            </w:r>
          </w:p>
        </w:tc>
        <w:tc>
          <w:tcPr>
            <w:tcW w:type="dxa" w:w="3135"/>
            <w:shd w:val="clear" w:color="auto" w:fill="FFFFFF"/>
          </w:tcPr>
          <w:p>
            <w:r>
              <w:rPr>
                <w:sz w:val="18"/>
              </w:rPr>
              <w:t>~60m+</w:t>
            </w:r>
          </w:p>
        </w:tc>
      </w:tr>
      <w:tr>
        <w:tc>
          <w:tcPr>
            <w:tcW w:type="dxa" w:w="3135"/>
            <w:shd w:val="clear" w:color="auto" w:fill="EEF3F9"/>
          </w:tcPr>
          <w:p>
            <w:r>
              <w:rPr>
                <w:b/>
                <w:sz w:val="18"/>
              </w:rPr>
              <w:t>Implied annual steel demand</w:t>
            </w:r>
          </w:p>
        </w:tc>
        <w:tc>
          <w:tcPr>
            <w:tcW w:type="dxa" w:w="3135"/>
            <w:shd w:val="clear" w:color="auto" w:fill="EEF3F9"/>
          </w:tcPr>
          <w:p>
            <w:r>
              <w:rPr>
                <w:b/>
                <w:sz w:val="18"/>
              </w:rPr>
              <w:t>~1 Mtpa</w:t>
            </w:r>
          </w:p>
        </w:tc>
        <w:tc>
          <w:tcPr>
            <w:tcW w:type="dxa" w:w="3135"/>
            <w:shd w:val="clear" w:color="auto" w:fill="EEF3F9"/>
          </w:tcPr>
          <w:p>
            <w:r>
              <w:rPr>
                <w:b/>
                <w:sz w:val="18"/>
              </w:rPr>
              <w:t>~5.5–8 Mtpa</w:t>
            </w:r>
          </w:p>
        </w:tc>
      </w:tr>
    </w:tbl>
    <w:p/>
    <w:p>
      <w:r>
        <w:rPr>
          <w:b/>
        </w:rPr>
        <w:t>Strategic implication:</w:t>
      </w:r>
      <w:r>
        <w:t xml:space="preserve"> Uganda must plan now to </w:t>
      </w:r>
      <w:r>
        <w:rPr>
          <w:i/>
        </w:rPr>
        <w:t>create and secure</w:t>
      </w:r>
      <w:r>
        <w:t xml:space="preserve"> a 5–8 Mtpa steel market — first by substituting today's flat and semi-finished imports, then by anchoring integrated, ore-based capacity ahead of demand. Other markets are projected on business-as-usual growth (~3–5%/yr regionally), where Uganda's realistic role is finished long products to neighbouring reconstruction markets, not commodity export.</w:t>
      </w:r>
    </w:p>
    <w:p>
      <w:pPr>
        <w:pStyle w:val="Heading2"/>
      </w:pPr>
      <w:r>
        <w:t>4.D Binding Constraints — Weighted and Data-Backed</w:t>
      </w:r>
    </w:p>
    <w:p>
      <w:r>
        <w:t xml:space="preserve">Constraints are weighted by how decisive they are to unlocking the chain (1 = low, 5 = critical). Weights reflect the issues the firms themselves rank highest (NPA/UDC, 2025), backed by NPA/UDC's regional-competitiveness data. </w:t>
      </w:r>
      <w:r>
        <w:rPr>
          <w:b/>
        </w:rPr>
        <w:t>Notably, existing players do not rank financing among their top five issues</w:t>
      </w:r>
      <w:r>
        <w:t xml:space="preserve"> — but capital is decisive specifically for the </w:t>
      </w:r>
      <w:r>
        <w:rPr>
          <w:i/>
        </w:rPr>
        <w:t>upstream</w:t>
      </w:r>
      <w:r>
        <w:t xml:space="preserve"> (mining + sponge-iron) build-out. Cross-cutting constraints are elaborated in Chapter 7.</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Upstream feedstock &amp; market gap (inputs)</w:t>
            </w:r>
          </w:p>
        </w:tc>
        <w:tc>
          <w:tcPr>
            <w:tcW w:type="dxa" w:w="2351"/>
            <w:shd w:val="clear" w:color="auto" w:fill="EEF3F9"/>
          </w:tcPr>
          <w:p>
            <w:r>
              <w:rPr>
                <w:b/>
                <w:sz w:val="18"/>
              </w:rPr>
              <w:t>5</w:t>
            </w:r>
          </w:p>
        </w:tc>
        <w:tc>
          <w:tcPr>
            <w:tcW w:type="dxa" w:w="2351"/>
            <w:shd w:val="clear" w:color="auto" w:fill="EEF3F9"/>
          </w:tcPr>
          <w:p>
            <w:r>
              <w:rPr>
                <w:sz w:val="18"/>
              </w:rPr>
              <w:t xml:space="preserve">No commercial ironmaking from domestic ore; mills run on imported scrap/billet — the </w:t>
            </w:r>
            <w:r>
              <w:rPr>
                <w:b/>
                <w:sz w:val="18"/>
              </w:rPr>
              <w:t>most expensive route (~USD 676/t vs ~USD 478/t for domestic gas-DRI)</w:t>
            </w:r>
            <w:r>
              <w:rPr>
                <w:sz w:val="18"/>
              </w:rPr>
              <w:t>; ore exported raw (USD 35.8m); sponge-iron plants starved of ore</w:t>
            </w:r>
          </w:p>
        </w:tc>
      </w:tr>
      <w:tr>
        <w:tc>
          <w:tcPr>
            <w:tcW w:type="dxa" w:w="2351"/>
            <w:shd w:val="clear" w:color="auto" w:fill="FFFFFF"/>
          </w:tcPr>
          <w:p>
            <w:r>
              <w:rPr>
                <w:sz w:val="18"/>
              </w:rPr>
              <w:t>2</w:t>
            </w:r>
          </w:p>
        </w:tc>
        <w:tc>
          <w:tcPr>
            <w:tcW w:type="dxa" w:w="2351"/>
            <w:shd w:val="clear" w:color="auto" w:fill="FFFFFF"/>
          </w:tcPr>
          <w:p>
            <w:r>
              <w:rPr>
                <w:b/>
                <w:sz w:val="18"/>
              </w:rPr>
              <w:t>Electricity reliability &amp; cost (energy)</w:t>
            </w:r>
          </w:p>
        </w:tc>
        <w:tc>
          <w:tcPr>
            <w:tcW w:type="dxa" w:w="2351"/>
            <w:shd w:val="clear" w:color="auto" w:fill="FFFFFF"/>
          </w:tcPr>
          <w:p>
            <w:r>
              <w:rPr>
                <w:b/>
                <w:sz w:val="18"/>
              </w:rPr>
              <w:t>5</w:t>
            </w:r>
          </w:p>
        </w:tc>
        <w:tc>
          <w:tcPr>
            <w:tcW w:type="dxa" w:w="2351"/>
            <w:shd w:val="clear" w:color="auto" w:fill="FFFFFF"/>
          </w:tcPr>
          <w:p>
            <w:r>
              <w:rPr>
                <w:sz w:val="18"/>
              </w:rPr>
              <w:t xml:space="preserve">The </w:t>
            </w:r>
            <w:r>
              <w:rPr>
                <w:b/>
                <w:sz w:val="18"/>
              </w:rPr>
              <w:t>#1 issue cited by firms</w:t>
            </w:r>
            <w:r>
              <w:rPr>
                <w:sz w:val="18"/>
              </w:rPr>
              <w:t xml:space="preserve">: instability and low quality. Uganda's industrial tariff </w:t>
            </w:r>
            <w:r>
              <w:rPr>
                <w:b/>
                <w:sz w:val="18"/>
              </w:rPr>
              <w:t>~8–10 US¢/kWh vs Kenya 5–7, Tanzania 6–8, Egypt 4–5</w:t>
            </w:r>
            <w:r>
              <w:rPr>
                <w:sz w:val="18"/>
              </w:rPr>
              <w:t xml:space="preserve"> (NPA/UDC 2025); a dedicated extra-large tariff (~5.5¢, ERA) helps the biggest loads only</w:t>
            </w:r>
          </w:p>
        </w:tc>
      </w:tr>
      <w:tr>
        <w:tc>
          <w:tcPr>
            <w:tcW w:type="dxa" w:w="2351"/>
            <w:shd w:val="clear" w:color="auto" w:fill="EEF3F9"/>
          </w:tcPr>
          <w:p>
            <w:r>
              <w:rPr>
                <w:sz w:val="18"/>
              </w:rPr>
              <w:t>3</w:t>
            </w:r>
          </w:p>
        </w:tc>
        <w:tc>
          <w:tcPr>
            <w:tcW w:type="dxa" w:w="2351"/>
            <w:shd w:val="clear" w:color="auto" w:fill="EEF3F9"/>
          </w:tcPr>
          <w:p>
            <w:r>
              <w:rPr>
                <w:b/>
                <w:sz w:val="18"/>
              </w:rPr>
              <w:t>Market access &amp; standards enforcement (standards/market)</w:t>
            </w:r>
          </w:p>
        </w:tc>
        <w:tc>
          <w:tcPr>
            <w:tcW w:type="dxa" w:w="2351"/>
            <w:shd w:val="clear" w:color="auto" w:fill="EEF3F9"/>
          </w:tcPr>
          <w:p>
            <w:r>
              <w:rPr>
                <w:b/>
                <w:sz w:val="18"/>
              </w:rPr>
              <w:t>4</w:t>
            </w:r>
          </w:p>
        </w:tc>
        <w:tc>
          <w:tcPr>
            <w:tcW w:type="dxa" w:w="2351"/>
            <w:shd w:val="clear" w:color="auto" w:fill="EEF3F9"/>
          </w:tcPr>
          <w:p>
            <w:r>
              <w:rPr>
                <w:sz w:val="18"/>
              </w:rPr>
              <w:t>Firms cite limited market and weak enforcement against substandard imports; idle capacity (only 30.5% utilised) is partly a demand-access problem</w:t>
            </w:r>
          </w:p>
        </w:tc>
      </w:tr>
      <w:tr>
        <w:tc>
          <w:tcPr>
            <w:tcW w:type="dxa" w:w="2351"/>
            <w:shd w:val="clear" w:color="auto" w:fill="FFFFFF"/>
          </w:tcPr>
          <w:p>
            <w:r>
              <w:rPr>
                <w:sz w:val="18"/>
              </w:rPr>
              <w:t>4</w:t>
            </w:r>
          </w:p>
        </w:tc>
        <w:tc>
          <w:tcPr>
            <w:tcW w:type="dxa" w:w="2351"/>
            <w:shd w:val="clear" w:color="auto" w:fill="FFFFFF"/>
          </w:tcPr>
          <w:p>
            <w:r>
              <w:rPr>
                <w:b/>
                <w:sz w:val="18"/>
              </w:rPr>
              <w:t>Import competition (policy/market)</w:t>
            </w:r>
          </w:p>
        </w:tc>
        <w:tc>
          <w:tcPr>
            <w:tcW w:type="dxa" w:w="2351"/>
            <w:shd w:val="clear" w:color="auto" w:fill="FFFFFF"/>
          </w:tcPr>
          <w:p>
            <w:r>
              <w:rPr>
                <w:b/>
                <w:sz w:val="18"/>
              </w:rPr>
              <w:t>4</w:t>
            </w:r>
          </w:p>
        </w:tc>
        <w:tc>
          <w:tcPr>
            <w:tcW w:type="dxa" w:w="2351"/>
            <w:shd w:val="clear" w:color="auto" w:fill="FFFFFF"/>
          </w:tcPr>
          <w:p>
            <w:r>
              <w:rPr>
                <w:sz w:val="18"/>
              </w:rPr>
              <w:t>Finished and semi-finished imports undercut domestic mills; flat steel (USD 219.5m) wholly imported</w:t>
            </w:r>
          </w:p>
        </w:tc>
      </w:tr>
      <w:tr>
        <w:tc>
          <w:tcPr>
            <w:tcW w:type="dxa" w:w="2351"/>
            <w:shd w:val="clear" w:color="auto" w:fill="EEF3F9"/>
          </w:tcPr>
          <w:p>
            <w:r>
              <w:rPr>
                <w:sz w:val="18"/>
              </w:rPr>
              <w:t>5</w:t>
            </w:r>
          </w:p>
        </w:tc>
        <w:tc>
          <w:tcPr>
            <w:tcW w:type="dxa" w:w="2351"/>
            <w:shd w:val="clear" w:color="auto" w:fill="EEF3F9"/>
          </w:tcPr>
          <w:p>
            <w:r>
              <w:rPr>
                <w:b/>
                <w:sz w:val="18"/>
              </w:rPr>
              <w:t>Capital for upstream integration (finance)</w:t>
            </w:r>
          </w:p>
        </w:tc>
        <w:tc>
          <w:tcPr>
            <w:tcW w:type="dxa" w:w="2351"/>
            <w:shd w:val="clear" w:color="auto" w:fill="EEF3F9"/>
          </w:tcPr>
          <w:p>
            <w:r>
              <w:rPr>
                <w:b/>
                <w:sz w:val="18"/>
              </w:rPr>
              <w:t>4</w:t>
            </w:r>
          </w:p>
        </w:tc>
        <w:tc>
          <w:tcPr>
            <w:tcW w:type="dxa" w:w="2351"/>
            <w:shd w:val="clear" w:color="auto" w:fill="EEF3F9"/>
          </w:tcPr>
          <w:p>
            <w:r>
              <w:rPr>
                <w:sz w:val="18"/>
              </w:rPr>
              <w:t xml:space="preserve">Not a top-five issue for existing players, but decisive for mining/sponge-iron; Uganda's commercial interest </w:t>
            </w:r>
            <w:r>
              <w:rPr>
                <w:b/>
                <w:sz w:val="18"/>
              </w:rPr>
              <w:t>18–23% — the highest among regional peers</w:t>
            </w:r>
            <w:r>
              <w:rPr>
                <w:sz w:val="18"/>
              </w:rPr>
              <w:t xml:space="preserve"> (Kenya 13–17, Egypt 10–12, S. Africa 9–11)</w:t>
            </w:r>
          </w:p>
        </w:tc>
      </w:tr>
      <w:tr>
        <w:tc>
          <w:tcPr>
            <w:tcW w:type="dxa" w:w="2351"/>
            <w:shd w:val="clear" w:color="auto" w:fill="FFFFFF"/>
          </w:tcPr>
          <w:p>
            <w:r>
              <w:rPr>
                <w:sz w:val="18"/>
              </w:rPr>
              <w:t>6</w:t>
            </w:r>
          </w:p>
        </w:tc>
        <w:tc>
          <w:tcPr>
            <w:tcW w:type="dxa" w:w="2351"/>
            <w:shd w:val="clear" w:color="auto" w:fill="FFFFFF"/>
          </w:tcPr>
          <w:p>
            <w:r>
              <w:rPr>
                <w:b/>
                <w:sz w:val="18"/>
              </w:rPr>
              <w:t>Tax-policy inconsistency (policy/regulatory)</w:t>
            </w:r>
          </w:p>
        </w:tc>
        <w:tc>
          <w:tcPr>
            <w:tcW w:type="dxa" w:w="2351"/>
            <w:shd w:val="clear" w:color="auto" w:fill="FFFFFF"/>
          </w:tcPr>
          <w:p>
            <w:r>
              <w:rPr>
                <w:b/>
                <w:sz w:val="18"/>
              </w:rPr>
              <w:t>3</w:t>
            </w:r>
          </w:p>
        </w:tc>
        <w:tc>
          <w:tcPr>
            <w:tcW w:type="dxa" w:w="2351"/>
            <w:shd w:val="clear" w:color="auto" w:fill="FFFFFF"/>
          </w:tcPr>
          <w:p>
            <w:r>
              <w:rPr>
                <w:sz w:val="18"/>
              </w:rPr>
              <w:t>Firms cite inconsistent, customer-targeted tax measures (CPC letters from MoFPED targeting individual importers); VAT on coal inputs raises ironmaking cost</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Transport ~USD 0.08–0.12/tonne-km (highest tier regionally); rail to ore deposits absent; ~18–20% of sale price</w:t>
            </w:r>
          </w:p>
        </w:tc>
      </w:tr>
      <w:tr>
        <w:tc>
          <w:tcPr>
            <w:tcW w:type="dxa" w:w="2351"/>
            <w:shd w:val="clear" w:color="auto" w:fill="FFFFFF"/>
          </w:tcPr>
          <w:p>
            <w:r>
              <w:rPr>
                <w:sz w:val="18"/>
              </w:rPr>
              <w:t>8</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Metallurgical/process-engineering shortage; ~68% of manufacturers report difficulty finding technical skills (UMA)</w:t>
            </w:r>
          </w:p>
        </w:tc>
      </w:tr>
      <w:tr>
        <w:tc>
          <w:tcPr>
            <w:tcW w:type="dxa" w:w="2351"/>
            <w:shd w:val="clear" w:color="auto" w:fill="EEF3F9"/>
          </w:tcPr>
          <w:p>
            <w:r>
              <w:rPr>
                <w:sz w:val="18"/>
              </w:rPr>
              <w:t>9</w:t>
            </w:r>
          </w:p>
        </w:tc>
        <w:tc>
          <w:tcPr>
            <w:tcW w:type="dxa" w:w="2351"/>
            <w:shd w:val="clear" w:color="auto" w:fill="EEF3F9"/>
          </w:tcPr>
          <w:p>
            <w:r>
              <w:rPr>
                <w:b/>
                <w:sz w:val="18"/>
              </w:rPr>
              <w:t>Technology &amp; productivity (technology)</w:t>
            </w:r>
          </w:p>
        </w:tc>
        <w:tc>
          <w:tcPr>
            <w:tcW w:type="dxa" w:w="2351"/>
            <w:shd w:val="clear" w:color="auto" w:fill="EEF3F9"/>
          </w:tcPr>
          <w:p>
            <w:r>
              <w:rPr>
                <w:b/>
                <w:sz w:val="18"/>
              </w:rPr>
              <w:t>3</w:t>
            </w:r>
          </w:p>
        </w:tc>
        <w:tc>
          <w:tcPr>
            <w:tcW w:type="dxa" w:w="2351"/>
            <w:shd w:val="clear" w:color="auto" w:fill="EEF3F9"/>
          </w:tcPr>
          <w:p>
            <w:r>
              <w:rPr>
                <w:sz w:val="18"/>
              </w:rPr>
              <w:t>Predominantly induction/re-rolling; little integrated DRI/EAF</w:t>
            </w:r>
          </w:p>
        </w:tc>
      </w:tr>
    </w:tbl>
    <w:p/>
    <w:p>
      <w:r>
        <w:rPr>
          <w:b/>
        </w:rPr>
        <w:t>Uganda's only regional cost advantage is labour</w:t>
      </w:r>
      <w:r>
        <w:t xml:space="preserve"> (~USD 150–250/worker, the lowest among peers); finance, electricity and logistics are all </w:t>
      </w:r>
      <w:r>
        <w:rPr>
          <w:i/>
        </w:rPr>
        <w:t>more</w:t>
      </w:r>
      <w:r>
        <w:t xml:space="preserve"> expensive than in Kenya, Tanzania, Egypt or South Africa (NPA/UDC 2025). Competitiveness therefore depends on fixing power, securing domestic feedstock, and lowering the cost of capital for upstream investment — not on cheap labour alone.</w:t>
      </w:r>
    </w:p>
    <w:p>
      <w:pPr>
        <w:pStyle w:val="Heading2"/>
      </w:pPr>
      <w:r>
        <w:t>4.E Greening &amp; Sustainability</w:t>
      </w:r>
    </w:p>
    <w:p>
      <w:r>
        <w:t xml:space="preserve">Green steel is a </w:t>
      </w:r>
      <w:r>
        <w:rPr>
          <w:b/>
        </w:rPr>
        <w:t>competitiveness and market-access advantage</w:t>
      </w:r>
      <w:r>
        <w:t xml:space="preserve"> for Uganda, not just an environmental duty: the grid is hydro-dominant (low-carbon), and carbon-border measures (e.g. EU CBAM) increasingly penalise high-carbon steel in export markets.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Scrap-based induction melting (lower CO₂ than blast-furnace but energy-inefficient); slag, dust and scale managed under NEMA Effluent Discharge Regulations 2020</w:t>
            </w:r>
          </w:p>
        </w:tc>
      </w:tr>
      <w:tr>
        <w:tc>
          <w:tcPr>
            <w:tcW w:type="dxa" w:w="4703"/>
            <w:shd w:val="clear" w:color="auto" w:fill="FFFFFF"/>
          </w:tcPr>
          <w:p>
            <w:r>
              <w:rPr>
                <w:b/>
                <w:sz w:val="18"/>
              </w:rPr>
              <w:t>Current solutions</w:t>
            </w:r>
          </w:p>
        </w:tc>
        <w:tc>
          <w:tcPr>
            <w:tcW w:type="dxa" w:w="4703"/>
            <w:shd w:val="clear" w:color="auto" w:fill="FFFFFF"/>
          </w:tcPr>
          <w:p>
            <w:r>
              <w:rPr>
                <w:sz w:val="18"/>
              </w:rPr>
              <w:t>Electric melting on a hydro grid; scrap recycling (circular by nature); coated coil/roofing extends asset life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Gas/green-hydrogen DRI</w:t>
            </w:r>
            <w:r>
              <w:rPr>
                <w:sz w:val="18"/>
              </w:rPr>
              <w:t xml:space="preserve"> rather than coal — the NPA/UDC cost data already shows </w:t>
            </w:r>
            <w:r>
              <w:rPr>
                <w:b/>
                <w:sz w:val="18"/>
              </w:rPr>
              <w:t>gas-DRI (USD 262/t) beats coal-DRI (USD 299/t)</w:t>
            </w:r>
            <w:r>
              <w:rPr>
                <w:sz w:val="18"/>
              </w:rPr>
              <w:t xml:space="preserve">, so the green route is also the </w:t>
            </w:r>
            <w:r>
              <w:rPr>
                <w:i/>
                <w:sz w:val="18"/>
              </w:rPr>
              <w:t>cheap</w:t>
            </w:r>
            <w:r>
              <w:rPr>
                <w:sz w:val="18"/>
              </w:rPr>
              <w:t xml:space="preserve"> route; (2) </w:t>
            </w:r>
            <w:r>
              <w:rPr>
                <w:b/>
                <w:sz w:val="18"/>
              </w:rPr>
              <w:t>scrap-based EAF on hydro power</w:t>
            </w:r>
            <w:r>
              <w:rPr>
                <w:sz w:val="18"/>
              </w:rPr>
              <w:t xml:space="preserve"> for near-zero-carbon long products; (3) </w:t>
            </w:r>
            <w:r>
              <w:rPr>
                <w:b/>
                <w:sz w:val="18"/>
              </w:rPr>
              <w:t>slag valorisation</w:t>
            </w:r>
            <w:r>
              <w:rPr>
                <w:sz w:val="18"/>
              </w:rPr>
              <w:t xml:space="preserve"> into cement/aggregate (links to the Cement chain); (4) </w:t>
            </w:r>
            <w:r>
              <w:rPr>
                <w:b/>
                <w:sz w:val="18"/>
              </w:rPr>
              <w:t>energy-efficiency and solar process heat</w:t>
            </w:r>
            <w:r>
              <w:rPr>
                <w:sz w:val="18"/>
              </w:rPr>
              <w:t xml:space="preserve"> to cut the electricity cost that erodes competitiveness</w:t>
            </w:r>
          </w:p>
        </w:tc>
      </w:tr>
    </w:tbl>
    <w:p/>
    <w:p>
      <w:r>
        <w:rPr>
          <w:b/>
        </w:rPr>
        <w:t>Why it pays:</w:t>
      </w:r>
      <w:r>
        <w:t xml:space="preserve"> a hydro-powered, gas-DRI/scrap-EAF route lets Uganda market </w:t>
      </w:r>
      <w:r>
        <w:rPr>
          <w:b/>
        </w:rPr>
        <w:t>low-carbon regional steel</w:t>
      </w:r>
      <w:r>
        <w:t xml:space="preserve"> — a differentiator in EAC/COMESA tenders and a hedge against carbon-border costs — while slag reuse turns a waste liability into saleable input. Here, green and cheapest coincide.</w:t>
      </w:r>
    </w:p>
    <w:p>
      <w:pPr>
        <w:pStyle w:val="Heading2"/>
      </w:pPr>
      <w:r>
        <w:t>4.F Prioritized Products — through the Tenfold Lens</w:t>
      </w:r>
    </w:p>
    <w:p>
      <w:r>
        <w:t xml:space="preserve">The prioritisation question: </w:t>
      </w:r>
      <w:r>
        <w:rPr>
          <w:b/>
        </w:rPr>
        <w:t>which products build durable competitive advantage, link to Uganda's resource base, create jobs at scale, can grow with the regional/continental market, and are green by design — i.e. which get Uganda to tenfold growth sustainably?</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Sponge iron / DRI (ironmaking)</w:t>
            </w:r>
          </w:p>
        </w:tc>
        <w:tc>
          <w:tcPr>
            <w:tcW w:type="dxa" w:w="1176"/>
            <w:shd w:val="clear" w:color="auto" w:fill="EEF3F9"/>
          </w:tcPr>
          <w:p>
            <w:r>
              <w:rPr>
                <w:sz w:val="18"/>
              </w:rPr>
              <w:t>High</w:t>
            </w:r>
          </w:p>
        </w:tc>
        <w:tc>
          <w:tcPr>
            <w:tcW w:type="dxa" w:w="1176"/>
            <w:shd w:val="clear" w:color="auto" w:fill="EEF3F9"/>
          </w:tcPr>
          <w:p>
            <w:r>
              <w:rPr>
                <w:sz w:val="18"/>
              </w:rPr>
              <w:t>High (350 Mt ore base)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(gas/H₂)</w:t>
            </w:r>
          </w:p>
        </w:tc>
        <w:tc>
          <w:tcPr>
            <w:tcW w:type="dxa" w:w="1176"/>
            <w:shd w:val="clear" w:color="auto" w:fill="EEF3F9"/>
          </w:tcPr>
          <w:p>
            <w:r>
              <w:rPr>
                <w:b/>
                <w:sz w:val="18"/>
              </w:rPr>
              <w:t>Priority</w:t>
            </w:r>
          </w:p>
        </w:tc>
      </w:tr>
      <w:tr>
        <w:tc>
          <w:tcPr>
            <w:tcW w:type="dxa" w:w="1176"/>
            <w:shd w:val="clear" w:color="auto" w:fill="FFFFFF"/>
          </w:tcPr>
          <w:p>
            <w:r>
              <w:rPr>
                <w:b/>
                <w:sz w:val="18"/>
              </w:rPr>
              <w:t>Flat products (hot/cold-rolled)</w:t>
            </w:r>
          </w:p>
        </w:tc>
        <w:tc>
          <w:tcPr>
            <w:tcW w:type="dxa" w:w="1176"/>
            <w:shd w:val="clear" w:color="auto" w:fill="FFFFFF"/>
          </w:tcPr>
          <w:p>
            <w:r>
              <w:rPr>
                <w:sz w:val="18"/>
              </w:rPr>
              <w:t>High (USD 219m imports)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Long products (rebar, sections)</w:t>
            </w:r>
          </w:p>
        </w:tc>
        <w:tc>
          <w:tcPr>
            <w:tcW w:type="dxa" w:w="1176"/>
            <w:shd w:val="clear" w:color="auto" w:fill="EEF3F9"/>
          </w:tcPr>
          <w:p>
            <w:r>
              <w:rPr>
                <w:sz w:val="18"/>
              </w:rPr>
              <w:t>High (regional export)</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Achieved</w:t>
            </w:r>
          </w:p>
        </w:tc>
        <w:tc>
          <w:tcPr>
            <w:tcW w:type="dxa" w:w="1176"/>
            <w:shd w:val="clear" w:color="auto" w:fill="EEF3F9"/>
          </w:tcPr>
          <w:p>
            <w:r>
              <w:rPr>
                <w:sz w:val="18"/>
              </w:rPr>
              <w:t>High (scrap-EAF)</w:t>
            </w:r>
          </w:p>
        </w:tc>
        <w:tc>
          <w:tcPr>
            <w:tcW w:type="dxa" w:w="1176"/>
            <w:shd w:val="clear" w:color="auto" w:fill="EEF3F9"/>
          </w:tcPr>
          <w:p>
            <w:r>
              <w:rPr>
                <w:b/>
                <w:sz w:val="18"/>
              </w:rPr>
              <w:t>Priority (defend &amp; expand)</w:t>
            </w:r>
          </w:p>
        </w:tc>
      </w:tr>
      <w:tr>
        <w:tc>
          <w:tcPr>
            <w:tcW w:type="dxa" w:w="1176"/>
            <w:shd w:val="clear" w:color="auto" w:fill="FFFFFF"/>
          </w:tcPr>
          <w:p>
            <w:r>
              <w:rPr>
                <w:b/>
                <w:sz w:val="18"/>
              </w:rPr>
              <w:t>Iron-ore mining &amp; beneficiation</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Enabler</w:t>
            </w:r>
          </w:p>
        </w:tc>
        <w:tc>
          <w:tcPr>
            <w:tcW w:type="dxa" w:w="1176"/>
            <w:shd w:val="clear" w:color="auto" w:fill="FFFFFF"/>
          </w:tcPr>
          <w:p>
            <w:r>
              <w:rPr>
                <w:sz w:val="18"/>
              </w:rPr>
              <w:t>Medium</w:t>
            </w:r>
          </w:p>
        </w:tc>
        <w:tc>
          <w:tcPr>
            <w:tcW w:type="dxa" w:w="1176"/>
            <w:shd w:val="clear" w:color="auto" w:fill="FFFFFF"/>
          </w:tcPr>
          <w:p>
            <w:r>
              <w:rPr>
                <w:b/>
                <w:sz w:val="18"/>
              </w:rPr>
              <w:t>Priority (enabler)</w:t>
            </w:r>
          </w:p>
        </w:tc>
      </w:tr>
      <w:tr>
        <w:tc>
          <w:tcPr>
            <w:tcW w:type="dxa" w:w="1176"/>
            <w:shd w:val="clear" w:color="auto" w:fill="EEF3F9"/>
          </w:tcPr>
          <w:p>
            <w:r>
              <w:rPr>
                <w:sz w:val="18"/>
              </w:rPr>
              <w:t>Specialty / alloy steels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r>
        <w:tc>
          <w:tcPr>
            <w:tcW w:type="dxa" w:w="1176"/>
            <w:shd w:val="clear" w:color="auto" w:fill="FFFFFF"/>
          </w:tcPr>
          <w:p>
            <w:r>
              <w:rPr>
                <w:sz w:val="18"/>
              </w:rPr>
              <w:t>Tinplate / niche coated</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Deprioritize (for now)</w:t>
            </w:r>
          </w:p>
        </w:tc>
      </w:tr>
    </w:tbl>
    <w:p/>
    <w:p>
      <w:r>
        <w:rPr>
          <w:b/>
        </w:rPr>
        <w:t>The three-to-four priorities for Iron &amp; Steel:</w:t>
      </w:r>
    </w:p>
    <w:p>
      <w:pPr>
        <w:pStyle w:val="ListNumber"/>
      </w:pPr>
      <w:r>
        <w:rPr>
          <w:b/>
        </w:rPr>
        <w:t>Ironmaking (sponge iron/DRI) anchored on domestic ore</w:t>
      </w:r>
      <w:r>
        <w:t xml:space="preserve"> — the missing midstream step; unlocks the whole chain, stops raw-ore leakage, removes the ~30% imported-scrap cost penalty, and is the biggest lever toward tenfold-scale domestic steel. Tembo and Abyssinia exist but are ore-starved; NPA/UDC calls for a </w:t>
      </w:r>
      <w:r>
        <w:rPr>
          <w:b/>
        </w:rPr>
        <w:t>≥1,000,000 tpa commercial iron-ore mine</w:t>
      </w:r>
      <w:r>
        <w:t xml:space="preserve"> to feed them.</w:t>
      </w:r>
    </w:p>
    <w:p>
      <w:pPr>
        <w:pStyle w:val="ListNumber"/>
      </w:pPr>
      <w:r>
        <w:rPr>
          <w:b/>
        </w:rPr>
        <w:t>Flat-steel production</w:t>
      </w:r>
      <w:r>
        <w:t xml:space="preserve"> — the largest import line (USD 219.5m, 2024) with no domestic production; the clearest import-substitution prize and essential for machinery/vehicles in a tenfold economy.</w:t>
      </w:r>
    </w:p>
    <w:p>
      <w:pPr>
        <w:pStyle w:val="ListNumber"/>
      </w:pPr>
      <w:r>
        <w:rPr>
          <w:b/>
        </w:rPr>
        <w:t>Long products (rebar/sections)</w:t>
      </w:r>
      <w:r>
        <w:t xml:space="preserve"> — already competitive and exporting regionally; defend and scale this proven, green (scrap-EAF) position.</w:t>
      </w:r>
    </w:p>
    <w:p>
      <w:pPr>
        <w:pStyle w:val="ListNumber"/>
      </w:pPr>
      <w:r>
        <w:rPr>
          <w:b/>
        </w:rPr>
        <w:t>Iron-ore mining &amp; beneficiation</w:t>
      </w:r>
      <w:r>
        <w:t xml:space="preserve"> — the enabling upstream step; NPA/UDC recommends Government lead via the Uganda National Mining Company (UNMC) or partner with private miners through UDC.</w:t>
      </w:r>
    </w:p>
    <w:p>
      <w:r>
        <w:rPr>
          <w:b/>
        </w:rPr>
        <w:t>Explicit deprioritization.</w:t>
      </w:r>
      <w:r>
        <w:t xml:space="preserve"> Uganda should </w:t>
      </w:r>
      <w:r>
        <w:rPr>
          <w:b/>
        </w:rPr>
        <w:t>not</w:t>
      </w:r>
      <w:r>
        <w:t xml:space="preserve"> pursue specialty/alloy steels, large-diameter seamless pipe, or globally traded commodity flat steel for export at this stage — these need scale, technology and capital Uganda cannot competitively marshal now. Focus belongs on the integrated </w:t>
      </w:r>
      <w:r>
        <w:rPr>
          <w:b/>
        </w:rPr>
        <w:t>ore→DRI→flat/long</w:t>
      </w:r>
      <w:r>
        <w:t xml:space="preserve"> pathway for domestic and regional markets.</w:t>
      </w:r>
    </w:p>
    <w:p>
      <w:pPr>
        <w:pStyle w:val="Heading2"/>
      </w:pPr>
      <w:r>
        <w:t>4.G Project Profiles</w:t>
      </w:r>
    </w:p>
    <w:p>
      <w:r>
        <w:t xml:space="preserve">Each profile is screened on three criteria simultaneously: </w:t>
      </w:r>
      <w:r>
        <w:rPr>
          <w:b/>
        </w:rPr>
        <w:t>strategic alignment to tenfold growth, quick-win potential, and green design.</w:t>
      </w:r>
    </w:p>
    <w:p>
      <w:r>
        <w:rPr>
          <w:b/>
        </w:rPr>
        <w:t>P1 — Commercial iron-ore mine (≥1,000,000 tpa) + sponge-iron supply (strategic anchor).</w:t>
      </w:r>
    </w:p>
    <w:p>
      <w:pPr>
        <w:pStyle w:val="ListBullet"/>
      </w:pPr>
      <w:r>
        <w:rPr>
          <w:i/>
        </w:rPr>
        <w:t>Strategic:</w:t>
      </w:r>
      <w:r>
        <w:t xml:space="preserve"> removes the feedstock gap that starves Tembo/Abyssinia and underpins all downstream growth; NPA/UDC's first recommendation.</w:t>
      </w:r>
    </w:p>
    <w:p>
      <w:pPr>
        <w:pStyle w:val="ListBullet"/>
      </w:pPr>
      <w:r>
        <w:rPr>
          <w:i/>
        </w:rPr>
        <w:t>Quick-win element:</w:t>
      </w:r>
      <w:r>
        <w:t xml:space="preserve"> can begin by expanding an existing private miner via UDC, or scaling SINO Minerals (Kabale).</w:t>
      </w:r>
    </w:p>
    <w:p>
      <w:pPr>
        <w:pStyle w:val="ListBullet"/>
      </w:pPr>
      <w:r>
        <w:rPr>
          <w:i/>
        </w:rPr>
        <w:t>Green:</w:t>
      </w:r>
      <w:r>
        <w:t xml:space="preserve"> gas/green-H₂ DRI (also the lowest-cost route at USD 262/t); ore beneficiation on site.</w:t>
      </w:r>
    </w:p>
    <w:p>
      <w:pPr>
        <w:pStyle w:val="ListBullet"/>
      </w:pPr>
      <w:r>
        <w:rPr>
          <w:i/>
        </w:rPr>
        <w:t>Lead:</w:t>
      </w:r>
      <w:r>
        <w:t xml:space="preserve"> UNMC/UDC + private. </w:t>
      </w:r>
      <w:r>
        <w:rPr>
          <w:i/>
        </w:rPr>
        <w:t>Indicative cost:</w:t>
      </w:r>
      <w:r>
        <w:t xml:space="preserve"> see Ch.8.</w:t>
      </w:r>
    </w:p>
    <w:p>
      <w:r>
        <w:rPr>
          <w:b/>
        </w:rPr>
        <w:t>P2 — Flat-rolling mill for import substitution (strategic).</w:t>
      </w:r>
    </w:p>
    <w:p>
      <w:pPr>
        <w:pStyle w:val="ListBullet"/>
      </w:pPr>
      <w:r>
        <w:rPr>
          <w:i/>
        </w:rPr>
        <w:t>Strategic:</w:t>
      </w:r>
      <w:r>
        <w:t xml:space="preserve"> substitutes the USD 219.5m flat-steel import line; supplies machinery, vehicles, appliances.</w:t>
      </w:r>
    </w:p>
    <w:p>
      <w:pPr>
        <w:pStyle w:val="ListBullet"/>
      </w:pPr>
      <w:r>
        <w:rPr>
          <w:i/>
        </w:rPr>
        <w:t>Quick-win element:</w:t>
      </w:r>
      <w:r>
        <w:t xml:space="preserve"> a cold-rolling/coating line can start on imported coil and localise over time.</w:t>
      </w:r>
    </w:p>
    <w:p>
      <w:pPr>
        <w:pStyle w:val="ListBullet"/>
      </w:pPr>
      <w:r>
        <w:rPr>
          <w:i/>
        </w:rPr>
        <w:t>Green:</w:t>
      </w:r>
      <w:r>
        <w:t xml:space="preserve"> hydro-powered, energy-efficient lines.</w:t>
      </w:r>
    </w:p>
    <w:p>
      <w:r>
        <w:rPr>
          <w:b/>
        </w:rPr>
        <w:t>P3 — Scrap-based green EAF for long products (quick win + green).</w:t>
      </w:r>
    </w:p>
    <w:p>
      <w:pPr>
        <w:pStyle w:val="ListBullet"/>
      </w:pPr>
      <w:r>
        <w:rPr>
          <w:i/>
        </w:rPr>
        <w:t>Strategic:</w:t>
      </w:r>
      <w:r>
        <w:t xml:space="preserve"> scales Uganda's proven rebar competitiveness for regional export.</w:t>
      </w:r>
    </w:p>
    <w:p>
      <w:pPr>
        <w:pStyle w:val="ListBullet"/>
      </w:pPr>
      <w:r>
        <w:rPr>
          <w:i/>
        </w:rPr>
        <w:t>Quick-win element:</w:t>
      </w:r>
      <w:r>
        <w:t xml:space="preserve"> shortest lead time; builds on existing players and idle capacity.</w:t>
      </w:r>
    </w:p>
    <w:p>
      <w:pPr>
        <w:pStyle w:val="ListBullet"/>
      </w:pPr>
      <w:r>
        <w:rPr>
          <w:i/>
        </w:rPr>
        <w:t>Green:</w:t>
      </w:r>
      <w:r>
        <w:t xml:space="preserve"> near-zero-carbon long products on the hydro grid — a low-carbon regional selling point.</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Stabilise power supply/quality for steel loads; extend the dedicated large-load (~5.5¢) tariff and guarantee reliability</w:t>
            </w:r>
          </w:p>
        </w:tc>
        <w:tc>
          <w:tcPr>
            <w:tcW w:type="dxa" w:w="2351"/>
            <w:shd w:val="clear" w:color="auto" w:fill="EEF3F9"/>
          </w:tcPr>
          <w:p>
            <w:r>
              <w:rPr>
                <w:sz w:val="18"/>
              </w:rPr>
              <w:t>ERA, UEDCL, MEMD</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Enforce UNBS standards against substandard imports; direct public-infrastructure steel procurement (SGR, dams) to compliant domestic mills to lift the 30.5% utilisation</w:t>
            </w:r>
          </w:p>
        </w:tc>
        <w:tc>
          <w:tcPr>
            <w:tcW w:type="dxa" w:w="2351"/>
            <w:shd w:val="clear" w:color="auto" w:fill="FFFFFF"/>
          </w:tcPr>
          <w:p>
            <w:r>
              <w:rPr>
                <w:sz w:val="18"/>
              </w:rPr>
              <w:t>UNBS, MTIC, MoWT, MoFPED</w:t>
            </w:r>
          </w:p>
        </w:tc>
        <w:tc>
          <w:tcPr>
            <w:tcW w:type="dxa" w:w="2351"/>
            <w:shd w:val="clear" w:color="auto" w:fill="FFFFFF"/>
          </w:tcPr>
          <w:p>
            <w:r>
              <w:rPr>
                <w:sz w:val="18"/>
              </w:rPr>
              <w:t>Low</w:t>
            </w:r>
          </w:p>
        </w:tc>
      </w:tr>
      <w:tr>
        <w:tc>
          <w:tcPr>
            <w:tcW w:type="dxa" w:w="2351"/>
            <w:shd w:val="clear" w:color="auto" w:fill="EEF3F9"/>
          </w:tcPr>
          <w:p>
            <w:r>
              <w:rPr>
                <w:sz w:val="18"/>
              </w:rPr>
              <w:t>Quick win (0–12m)</w:t>
            </w:r>
          </w:p>
        </w:tc>
        <w:tc>
          <w:tcPr>
            <w:tcW w:type="dxa" w:w="2351"/>
            <w:shd w:val="clear" w:color="auto" w:fill="EEF3F9"/>
          </w:tcPr>
          <w:p>
            <w:r>
              <w:rPr>
                <w:sz w:val="18"/>
              </w:rPr>
              <w:t>Restrict/tax raw iron-ore exports (HS 2601); stabilise and industry-wide (not customer-targeted) tax treatment, incl. VAT on coal inputs</w:t>
            </w:r>
          </w:p>
        </w:tc>
        <w:tc>
          <w:tcPr>
            <w:tcW w:type="dxa" w:w="2351"/>
            <w:shd w:val="clear" w:color="auto" w:fill="EEF3F9"/>
          </w:tcPr>
          <w:p>
            <w:r>
              <w:rPr>
                <w:sz w:val="18"/>
              </w:rPr>
              <w:t>MEMD, MoFPED, URA</w:t>
            </w:r>
          </w:p>
        </w:tc>
        <w:tc>
          <w:tcPr>
            <w:tcW w:type="dxa" w:w="2351"/>
            <w:shd w:val="clear" w:color="auto" w:fill="EEF3F9"/>
          </w:tcPr>
          <w:p>
            <w:r>
              <w:rPr>
                <w:sz w:val="18"/>
              </w:rPr>
              <w:t>Low (policy)</w:t>
            </w:r>
          </w:p>
        </w:tc>
      </w:tr>
      <w:tr>
        <w:tc>
          <w:tcPr>
            <w:tcW w:type="dxa" w:w="2351"/>
            <w:shd w:val="clear" w:color="auto" w:fill="FFFFFF"/>
          </w:tcPr>
          <w:p>
            <w:r>
              <w:rPr>
                <w:b/>
                <w:sz w:val="18"/>
              </w:rPr>
              <w:t>Reform (1–3y)</w:t>
            </w:r>
          </w:p>
        </w:tc>
        <w:tc>
          <w:tcPr>
            <w:tcW w:type="dxa" w:w="2351"/>
            <w:shd w:val="clear" w:color="auto" w:fill="FFFFFF"/>
          </w:tcPr>
          <w:p>
            <w:r>
              <w:rPr>
                <w:sz w:val="18"/>
              </w:rPr>
              <w:t>Establish a ≥1,000,000 tpa commercial iron-ore mine (UNMC/UDC or scale SINO Minerals); resolve land access at Muko/Mutaka &amp; Kigezi licences</w:t>
            </w:r>
          </w:p>
        </w:tc>
        <w:tc>
          <w:tcPr>
            <w:tcW w:type="dxa" w:w="2351"/>
            <w:shd w:val="clear" w:color="auto" w:fill="FFFFFF"/>
          </w:tcPr>
          <w:p>
            <w:r>
              <w:rPr>
                <w:sz w:val="18"/>
              </w:rPr>
              <w:t>MEMD/DGSM, UNMC, UDC</w:t>
            </w:r>
          </w:p>
        </w:tc>
        <w:tc>
          <w:tcPr>
            <w:tcW w:type="dxa" w:w="2351"/>
            <w:shd w:val="clear" w:color="auto" w:fill="FFFFFF"/>
          </w:tcPr>
          <w:p>
            <w:r>
              <w:rPr>
                <w:sz w:val="18"/>
              </w:rPr>
              <w:t>~USD 6.73m (mine, NPA/UDC)</w:t>
            </w:r>
          </w:p>
        </w:tc>
      </w:tr>
      <w:tr>
        <w:tc>
          <w:tcPr>
            <w:tcW w:type="dxa" w:w="2351"/>
            <w:shd w:val="clear" w:color="auto" w:fill="EEF3F9"/>
          </w:tcPr>
          <w:p>
            <w:r>
              <w:rPr>
                <w:sz w:val="18"/>
              </w:rPr>
              <w:t>Reform (1–3y)</w:t>
            </w:r>
          </w:p>
        </w:tc>
        <w:tc>
          <w:tcPr>
            <w:tcW w:type="dxa" w:w="2351"/>
            <w:shd w:val="clear" w:color="auto" w:fill="EEF3F9"/>
          </w:tcPr>
          <w:p>
            <w:r>
              <w:rPr>
                <w:sz w:val="18"/>
              </w:rPr>
              <w:t>Concessional long-term finance for upstream integration (counter 18–23% commercial rates)</w:t>
            </w:r>
          </w:p>
        </w:tc>
        <w:tc>
          <w:tcPr>
            <w:tcW w:type="dxa" w:w="2351"/>
            <w:shd w:val="clear" w:color="auto" w:fill="EEF3F9"/>
          </w:tcPr>
          <w:p>
            <w:r>
              <w:rPr>
                <w:sz w:val="18"/>
              </w:rPr>
              <w:t>UDB, MoFPED, DFIs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Skills programme in metallurgy/process engineering with UIRI, Makerere, TVET</w:t>
            </w:r>
          </w:p>
        </w:tc>
        <w:tc>
          <w:tcPr>
            <w:tcW w:type="dxa" w:w="2351"/>
            <w:shd w:val="clear" w:color="auto" w:fill="FFFFFF"/>
          </w:tcPr>
          <w:p>
            <w:r>
              <w:rPr>
                <w:sz w:val="18"/>
              </w:rPr>
              <w:t>MoES, UIRI</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Integrated ore→DRI→steel→flat-rolling capacity (e.g. Devki complex; Tembo expansion)</w:t>
            </w:r>
          </w:p>
        </w:tc>
        <w:tc>
          <w:tcPr>
            <w:tcW w:type="dxa" w:w="2351"/>
            <w:shd w:val="clear" w:color="auto" w:fill="EEF3F9"/>
          </w:tcPr>
          <w:p>
            <w:r>
              <w:rPr>
                <w:sz w:val="18"/>
              </w:rPr>
              <w:t>Private-led + PPP</w:t>
            </w:r>
          </w:p>
        </w:tc>
        <w:tc>
          <w:tcPr>
            <w:tcW w:type="dxa" w:w="2351"/>
            <w:shd w:val="clear" w:color="auto" w:fill="EEF3F9"/>
          </w:tcPr>
          <w:p>
            <w:r>
              <w:rPr>
                <w:sz w:val="18"/>
              </w:rPr>
              <w:t>Indicative USD 0.5–1.0bn (see Ch.8)</w:t>
            </w:r>
          </w:p>
        </w:tc>
      </w:tr>
      <w:tr>
        <w:tc>
          <w:tcPr>
            <w:tcW w:type="dxa" w:w="2351"/>
            <w:shd w:val="clear" w:color="auto" w:fill="FFFFFF"/>
          </w:tcPr>
          <w:p>
            <w:r>
              <w:rPr>
                <w:sz w:val="18"/>
              </w:rPr>
              <w:t>Investment (3–5y)</w:t>
            </w:r>
          </w:p>
        </w:tc>
        <w:tc>
          <w:tcPr>
            <w:tcW w:type="dxa" w:w="2351"/>
            <w:shd w:val="clear" w:color="auto" w:fill="FFFFFF"/>
          </w:tcPr>
          <w:p>
            <w:r>
              <w:rPr>
                <w:sz w:val="18"/>
              </w:rPr>
              <w:t>Rail link to ore deposits (Kigezi–Kampala/Jinja); flat-rolling mill to substitute HS 7208 imports</w:t>
            </w:r>
          </w:p>
        </w:tc>
        <w:tc>
          <w:tcPr>
            <w:tcW w:type="dxa" w:w="2351"/>
            <w:shd w:val="clear" w:color="auto" w:fill="FFFFFF"/>
          </w:tcPr>
          <w:p>
            <w:r>
              <w:rPr>
                <w:sz w:val="18"/>
              </w:rPr>
              <w:t>MoWT; private-led</w:t>
            </w:r>
          </w:p>
        </w:tc>
        <w:tc>
          <w:tcPr>
            <w:tcW w:type="dxa" w:w="2351"/>
            <w:shd w:val="clear" w:color="auto" w:fill="FFFFFF"/>
          </w:tcPr>
          <w:p>
            <w:r>
              <w:rPr>
                <w:sz w:val="18"/>
              </w:rPr>
              <w:t>See Ch.8</w:t>
            </w:r>
          </w:p>
        </w:tc>
      </w:tr>
    </w:tbl>
    <w:p/>
    <w:p>
      <w:r>
        <w:rPr>
          <w:i/>
        </w:rPr>
        <w:t>Sources for this chapter are listed in the consolidated References at the end of this report.</w:t>
      </w:r>
    </w:p>
    <w:p>
      <w:r>
        <w:br w:type="page"/>
      </w:r>
    </w:p>
    <w:p>
      <w:pPr>
        <w:pStyle w:val="Heading1"/>
      </w:pPr>
      <w:r>
        <w:t>Chapter 5: Copper &amp; Allied Metals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Directorate of Geological Survey and Mines (DGSM) reserve and licensing data; UBOS; ITC TradeMap (2024); International Copper Study Group, </w:t>
      </w:r>
      <w:r>
        <w:rPr>
          <w:i/>
        </w:rPr>
        <w:t>World Copper Factbook 2025</w:t>
      </w:r>
      <w:r>
        <w:t>. Full sources are in the consolidated References at the end of this report.</w:t>
      </w:r>
    </w:p>
    <w:p>
      <w:pPr>
        <w:pStyle w:val="Heading2"/>
      </w:pPr>
      <w:r>
        <w:t>5.0 Why Copper &amp; Allied Metals Matters for the Tenfold Growth Strategy</w:t>
      </w:r>
    </w:p>
    <w:p>
      <w:r>
        <w:t xml:space="preserve">Copper is the metal of electrification, and electrification is a precondition for tenfold growth. Uganda has grid access of just </w:t>
      </w:r>
      <w:r>
        <w:rPr>
          <w:b/>
        </w:rPr>
        <w:t>25.3% (UBOS 2024)</w:t>
      </w:r>
      <w:r>
        <w:t xml:space="preserve"> — rural access only 9.1% — against a national universal-access ambition; every kilometre of new grid, every new factory and building, and the energy transition itself run on copper wire and cable. A ten-times-larger, electrified economy will need many multiples of today's cable. Uganda is unusual: it holds a </w:t>
      </w:r>
      <w:r>
        <w:rPr>
          <w:b/>
        </w:rPr>
        <w:t>dormant world-class copper–cobalt resource (Kilembe)</w:t>
      </w:r>
      <w:r>
        <w:t xml:space="preserve"> </w:t>
      </w:r>
      <w:r>
        <w:rPr>
          <w:i/>
        </w:rPr>
        <w:t>and</w:t>
      </w:r>
      <w:r>
        <w:t xml:space="preserve"> an </w:t>
      </w:r>
      <w:r>
        <w:rPr>
          <w:b/>
        </w:rPr>
        <w:t>established, competitive cable industry</w:t>
      </w:r>
      <w:r>
        <w:t xml:space="preserve"> that currently runs on imported metal. Joining the two — reviving the mine to feed the mills — is the tenfold opportunity in this chain, with </w:t>
      </w:r>
      <w:r>
        <w:rPr>
          <w:b/>
        </w:rPr>
        <w:t>cobalt</w:t>
      </w:r>
      <w:r>
        <w:t xml:space="preserve"> a high-value battery-mineral bonus.</w:t>
      </w:r>
    </w:p>
    <w:p>
      <w:r>
        <w:t>This chapter runs in diagnostic order: status (5.B) → market to 2040 (5.C) → constraints (5.D) → greening (5.E) → priorities and projects (5.F–5.H).</w:t>
      </w:r>
    </w:p>
    <w:p>
      <w:pPr>
        <w:pStyle w:val="Heading2"/>
      </w:pPr>
      <w:r>
        <w:t>5.A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Mining &amp; concentration</w:t>
            </w:r>
          </w:p>
        </w:tc>
        <w:tc>
          <w:tcPr>
            <w:tcW w:type="dxa" w:w="1881"/>
            <w:shd w:val="clear" w:color="auto" w:fill="EEF3F9"/>
          </w:tcPr>
          <w:p>
            <w:r>
              <w:rPr>
                <w:sz w:val="18"/>
              </w:rPr>
              <w:t>Copper ore (+ cobalt)</w:t>
            </w:r>
          </w:p>
        </w:tc>
        <w:tc>
          <w:tcPr>
            <w:tcW w:type="dxa" w:w="1881"/>
            <w:shd w:val="clear" w:color="auto" w:fill="EEF3F9"/>
          </w:tcPr>
          <w:p>
            <w:r>
              <w:rPr>
                <w:sz w:val="18"/>
              </w:rPr>
              <w:t>Copper concentrate</w:t>
            </w:r>
          </w:p>
        </w:tc>
        <w:tc>
          <w:tcPr>
            <w:tcW w:type="dxa" w:w="1881"/>
            <w:shd w:val="clear" w:color="auto" w:fill="EEF3F9"/>
          </w:tcPr>
          <w:p>
            <w:r>
              <w:rPr>
                <w:b/>
                <w:sz w:val="18"/>
              </w:rPr>
              <w:t>Dormant</w:t>
            </w:r>
            <w:r>
              <w:rPr>
                <w:sz w:val="18"/>
              </w:rPr>
              <w:t xml:space="preserve"> (Kilembe)</w:t>
            </w:r>
          </w:p>
        </w:tc>
      </w:tr>
      <w:tr>
        <w:tc>
          <w:tcPr>
            <w:tcW w:type="dxa" w:w="1881"/>
            <w:shd w:val="clear" w:color="auto" w:fill="FFFFFF"/>
          </w:tcPr>
          <w:p>
            <w:r>
              <w:rPr>
                <w:sz w:val="18"/>
              </w:rPr>
              <w:t>II</w:t>
            </w:r>
          </w:p>
        </w:tc>
        <w:tc>
          <w:tcPr>
            <w:tcW w:type="dxa" w:w="1881"/>
            <w:shd w:val="clear" w:color="auto" w:fill="FFFFFF"/>
          </w:tcPr>
          <w:p>
            <w:r>
              <w:rPr>
                <w:sz w:val="18"/>
              </w:rPr>
              <w:t>Smelting</w:t>
            </w:r>
          </w:p>
        </w:tc>
        <w:tc>
          <w:tcPr>
            <w:tcW w:type="dxa" w:w="1881"/>
            <w:shd w:val="clear" w:color="auto" w:fill="FFFFFF"/>
          </w:tcPr>
          <w:p>
            <w:r>
              <w:rPr>
                <w:sz w:val="18"/>
              </w:rPr>
              <w:t>Concentrate</w:t>
            </w:r>
          </w:p>
        </w:tc>
        <w:tc>
          <w:tcPr>
            <w:tcW w:type="dxa" w:w="1881"/>
            <w:shd w:val="clear" w:color="auto" w:fill="FFFFFF"/>
          </w:tcPr>
          <w:p>
            <w:r>
              <w:rPr>
                <w:sz w:val="18"/>
              </w:rPr>
              <w:t>Blister/anode copper</w:t>
            </w:r>
          </w:p>
        </w:tc>
        <w:tc>
          <w:tcPr>
            <w:tcW w:type="dxa" w:w="1881"/>
            <w:shd w:val="clear" w:color="auto" w:fill="FFFFFF"/>
          </w:tcPr>
          <w:p>
            <w:r>
              <w:rPr>
                <w:b/>
                <w:sz w:val="18"/>
              </w:rPr>
              <w:t>Absent</w:t>
            </w:r>
          </w:p>
        </w:tc>
      </w:tr>
      <w:tr>
        <w:tc>
          <w:tcPr>
            <w:tcW w:type="dxa" w:w="1881"/>
            <w:shd w:val="clear" w:color="auto" w:fill="EEF3F9"/>
          </w:tcPr>
          <w:p>
            <w:r>
              <w:rPr>
                <w:sz w:val="18"/>
              </w:rPr>
              <w:t>III</w:t>
            </w:r>
          </w:p>
        </w:tc>
        <w:tc>
          <w:tcPr>
            <w:tcW w:type="dxa" w:w="1881"/>
            <w:shd w:val="clear" w:color="auto" w:fill="EEF3F9"/>
          </w:tcPr>
          <w:p>
            <w:r>
              <w:rPr>
                <w:sz w:val="18"/>
              </w:rPr>
              <w:t>Refining</w:t>
            </w:r>
          </w:p>
        </w:tc>
        <w:tc>
          <w:tcPr>
            <w:tcW w:type="dxa" w:w="1881"/>
            <w:shd w:val="clear" w:color="auto" w:fill="EEF3F9"/>
          </w:tcPr>
          <w:p>
            <w:r>
              <w:rPr>
                <w:sz w:val="18"/>
              </w:rPr>
              <w:t>Blister copper</w:t>
            </w:r>
          </w:p>
        </w:tc>
        <w:tc>
          <w:tcPr>
            <w:tcW w:type="dxa" w:w="1881"/>
            <w:shd w:val="clear" w:color="auto" w:fill="EEF3F9"/>
          </w:tcPr>
          <w:p>
            <w:r>
              <w:rPr>
                <w:sz w:val="18"/>
              </w:rPr>
              <w:t>Refined cathode (HS 7403)</w:t>
            </w:r>
          </w:p>
        </w:tc>
        <w:tc>
          <w:tcPr>
            <w:tcW w:type="dxa" w:w="1881"/>
            <w:shd w:val="clear" w:color="auto" w:fill="EEF3F9"/>
          </w:tcPr>
          <w:p>
            <w:r>
              <w:rPr>
                <w:b/>
                <w:sz w:val="18"/>
              </w:rPr>
              <w:t>Absent</w:t>
            </w:r>
            <w:r>
              <w:rPr>
                <w:sz w:val="18"/>
              </w:rPr>
              <w:t xml:space="preserve"> — cathode imported</w:t>
            </w:r>
          </w:p>
        </w:tc>
      </w:tr>
      <w:tr>
        <w:tc>
          <w:tcPr>
            <w:tcW w:type="dxa" w:w="1881"/>
            <w:shd w:val="clear" w:color="auto" w:fill="FFFFFF"/>
          </w:tcPr>
          <w:p>
            <w:r>
              <w:rPr>
                <w:sz w:val="18"/>
              </w:rPr>
              <w:t>IV</w:t>
            </w:r>
          </w:p>
        </w:tc>
        <w:tc>
          <w:tcPr>
            <w:tcW w:type="dxa" w:w="1881"/>
            <w:shd w:val="clear" w:color="auto" w:fill="FFFFFF"/>
          </w:tcPr>
          <w:p>
            <w:r>
              <w:rPr>
                <w:sz w:val="18"/>
              </w:rPr>
              <w:t>Semi-fabrication</w:t>
            </w:r>
          </w:p>
        </w:tc>
        <w:tc>
          <w:tcPr>
            <w:tcW w:type="dxa" w:w="1881"/>
            <w:shd w:val="clear" w:color="auto" w:fill="FFFFFF"/>
          </w:tcPr>
          <w:p>
            <w:r>
              <w:rPr>
                <w:sz w:val="18"/>
              </w:rPr>
              <w:t>Cathode</w:t>
            </w:r>
          </w:p>
        </w:tc>
        <w:tc>
          <w:tcPr>
            <w:tcW w:type="dxa" w:w="1881"/>
            <w:shd w:val="clear" w:color="auto" w:fill="FFFFFF"/>
          </w:tcPr>
          <w:p>
            <w:r>
              <w:rPr>
                <w:sz w:val="18"/>
              </w:rPr>
              <w:t>Wire rod, bars, profiles (HS 7408)</w:t>
            </w:r>
          </w:p>
        </w:tc>
        <w:tc>
          <w:tcPr>
            <w:tcW w:type="dxa" w:w="1881"/>
            <w:shd w:val="clear" w:color="auto" w:fill="FFFFFF"/>
          </w:tcPr>
          <w:p>
            <w:r>
              <w:rPr>
                <w:b/>
                <w:sz w:val="18"/>
              </w:rPr>
              <w:t>Weak</w:t>
            </w:r>
            <w:r>
              <w:rPr>
                <w:sz w:val="18"/>
              </w:rPr>
              <w:t xml:space="preserve"> — rod imported</w:t>
            </w:r>
          </w:p>
        </w:tc>
      </w:tr>
      <w:tr>
        <w:tc>
          <w:tcPr>
            <w:tcW w:type="dxa" w:w="1881"/>
            <w:shd w:val="clear" w:color="auto" w:fill="EEF3F9"/>
          </w:tcPr>
          <w:p>
            <w:r>
              <w:rPr>
                <w:sz w:val="18"/>
              </w:rPr>
              <w:t>V</w:t>
            </w:r>
          </w:p>
        </w:tc>
        <w:tc>
          <w:tcPr>
            <w:tcW w:type="dxa" w:w="1881"/>
            <w:shd w:val="clear" w:color="auto" w:fill="EEF3F9"/>
          </w:tcPr>
          <w:p>
            <w:r>
              <w:rPr>
                <w:sz w:val="18"/>
              </w:rPr>
              <w:t>Fabrication</w:t>
            </w:r>
          </w:p>
        </w:tc>
        <w:tc>
          <w:tcPr>
            <w:tcW w:type="dxa" w:w="1881"/>
            <w:shd w:val="clear" w:color="auto" w:fill="EEF3F9"/>
          </w:tcPr>
          <w:p>
            <w:r>
              <w:rPr>
                <w:sz w:val="18"/>
              </w:rPr>
              <w:t>Wire rod / cathode</w:t>
            </w:r>
          </w:p>
        </w:tc>
        <w:tc>
          <w:tcPr>
            <w:tcW w:type="dxa" w:w="1881"/>
            <w:shd w:val="clear" w:color="auto" w:fill="EEF3F9"/>
          </w:tcPr>
          <w:p>
            <w:r>
              <w:rPr>
                <w:sz w:val="18"/>
              </w:rPr>
              <w:t>Insulated wire &amp; cable, alloy goods (HS 8544)</w:t>
            </w:r>
          </w:p>
        </w:tc>
        <w:tc>
          <w:tcPr>
            <w:tcW w:type="dxa" w:w="1881"/>
            <w:shd w:val="clear" w:color="auto" w:fill="EEF3F9"/>
          </w:tcPr>
          <w:p>
            <w:r>
              <w:rPr>
                <w:b/>
                <w:sz w:val="18"/>
              </w:rPr>
              <w:t>Strong</w:t>
            </w:r>
            <w:r>
              <w:rPr>
                <w:sz w:val="18"/>
              </w:rPr>
              <w:t xml:space="preserve"> — Cable Corporation et al.</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import-supplemented</w:t>
            </w:r>
          </w:p>
        </w:tc>
      </w:tr>
    </w:tbl>
    <w:p/>
    <w:p>
      <w:r>
        <w:rPr>
          <w:b/>
        </w:rPr>
        <w:t>Where value is captured and lost.</w:t>
      </w:r>
      <w:r>
        <w:t xml:space="preserve"> Kilembe (Phases I–III) has been </w:t>
      </w:r>
      <w:r>
        <w:rPr>
          <w:b/>
        </w:rPr>
        <w:t>dormant for decades</w:t>
      </w:r>
      <w:r>
        <w:t xml:space="preserve">, so the cable industry (Phases IV–V) runs on </w:t>
      </w:r>
      <w:r>
        <w:rPr>
          <w:b/>
        </w:rPr>
        <w:t>imported copper rod and cathode</w:t>
      </w:r>
      <w:r>
        <w:t xml:space="preserve">, and Uganda still imports most </w:t>
      </w:r>
      <w:r>
        <w:rPr>
          <w:b/>
        </w:rPr>
        <w:t>finished insulated cable</w:t>
      </w:r>
      <w:r>
        <w:t xml:space="preserve">. Trade data quantifies the leak: Uganda imported </w:t>
      </w:r>
      <w:r>
        <w:rPr>
          <w:b/>
        </w:rPr>
        <w:t>USD 57.7 million of insulated wire and cable (HS 8544) in 2024</w:t>
      </w:r>
      <w:r>
        <w:t xml:space="preserve"> — its largest copper-related import and rising fast (from USD 48.3m in 2023) — plus </w:t>
      </w:r>
      <w:r>
        <w:rPr>
          <w:b/>
        </w:rPr>
        <w:t>USD 6.9m of refined copper/cathode (HS 7403)</w:t>
      </w:r>
      <w:r>
        <w:t xml:space="preserve"> and </w:t>
      </w:r>
      <w:r>
        <w:rPr>
          <w:b/>
        </w:rPr>
        <w:t>USD 3.1m of copper wire (HS 7408)</w:t>
      </w:r>
      <w:r>
        <w:t xml:space="preserve"> (ITC TradeMap, 2024). Almost all upstream value is forgone.</w:t>
      </w:r>
    </w:p>
    <w:p>
      <w:pPr>
        <w:pStyle w:val="Heading2"/>
      </w:pPr>
      <w:r>
        <w:t>5.B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Kilembe reserves</w:t>
            </w:r>
          </w:p>
        </w:tc>
        <w:tc>
          <w:tcPr>
            <w:tcW w:type="dxa" w:w="3135"/>
            <w:shd w:val="clear" w:color="auto" w:fill="EEF3F9"/>
          </w:tcPr>
          <w:p>
            <w:r>
              <w:rPr>
                <w:b/>
                <w:sz w:val="18"/>
              </w:rPr>
              <w:t>&gt;6.5 Mt ore @ 1.77% Cu</w:t>
            </w:r>
            <w:r>
              <w:rPr>
                <w:sz w:val="18"/>
              </w:rPr>
              <w:t>; ~5.5 Mt @ 0.17% cobalt</w:t>
            </w:r>
          </w:p>
        </w:tc>
        <w:tc>
          <w:tcPr>
            <w:tcW w:type="dxa" w:w="3135"/>
            <w:shd w:val="clear" w:color="auto" w:fill="EEF3F9"/>
          </w:tcPr>
          <w:p>
            <w:r>
              <w:rPr>
                <w:sz w:val="18"/>
              </w:rPr>
              <w:t>DGSM</w:t>
            </w:r>
          </w:p>
        </w:tc>
      </w:tr>
      <w:tr>
        <w:tc>
          <w:tcPr>
            <w:tcW w:type="dxa" w:w="3135"/>
            <w:shd w:val="clear" w:color="auto" w:fill="FFFFFF"/>
          </w:tcPr>
          <w:p>
            <w:r>
              <w:rPr>
                <w:sz w:val="18"/>
              </w:rPr>
              <w:t>Mine status</w:t>
            </w:r>
          </w:p>
        </w:tc>
        <w:tc>
          <w:tcPr>
            <w:tcW w:type="dxa" w:w="3135"/>
            <w:shd w:val="clear" w:color="auto" w:fill="FFFFFF"/>
          </w:tcPr>
          <w:p>
            <w:r>
              <w:rPr>
                <w:sz w:val="18"/>
              </w:rPr>
              <w:t xml:space="preserve">Dormant since 1980s; </w:t>
            </w:r>
            <w:r>
              <w:rPr>
                <w:b/>
                <w:sz w:val="18"/>
              </w:rPr>
              <w:t>production-sharing agreement signed 3 Mar 2025</w:t>
            </w:r>
          </w:p>
        </w:tc>
        <w:tc>
          <w:tcPr>
            <w:tcW w:type="dxa" w:w="3135"/>
            <w:shd w:val="clear" w:color="auto" w:fill="FFFFFF"/>
          </w:tcPr>
          <w:p>
            <w:r>
              <w:rPr>
                <w:sz w:val="18"/>
              </w:rPr>
              <w:t>DGSM; Mining Weekly 2025</w:t>
            </w:r>
          </w:p>
        </w:tc>
      </w:tr>
      <w:tr>
        <w:tc>
          <w:tcPr>
            <w:tcW w:type="dxa" w:w="3135"/>
            <w:shd w:val="clear" w:color="auto" w:fill="EEF3F9"/>
          </w:tcPr>
          <w:p>
            <w:r>
              <w:rPr>
                <w:sz w:val="18"/>
              </w:rPr>
              <w:t>Largest import line</w:t>
            </w:r>
          </w:p>
        </w:tc>
        <w:tc>
          <w:tcPr>
            <w:tcW w:type="dxa" w:w="3135"/>
            <w:shd w:val="clear" w:color="auto" w:fill="EEF3F9"/>
          </w:tcPr>
          <w:p>
            <w:r>
              <w:rPr>
                <w:sz w:val="18"/>
              </w:rPr>
              <w:t xml:space="preserve">Insulated cable (HS 8544) — </w:t>
            </w:r>
            <w:r>
              <w:rPr>
                <w:b/>
                <w:sz w:val="18"/>
              </w:rPr>
              <w:t>USD 57.7m</w:t>
            </w:r>
            <w:r>
              <w:rPr>
                <w:sz w:val="18"/>
              </w:rPr>
              <w:t xml:space="preserve"> (2024)</w:t>
            </w:r>
          </w:p>
        </w:tc>
        <w:tc>
          <w:tcPr>
            <w:tcW w:type="dxa" w:w="3135"/>
            <w:shd w:val="clear" w:color="auto" w:fill="EEF3F9"/>
          </w:tcPr>
          <w:p>
            <w:r>
              <w:rPr>
                <w:sz w:val="18"/>
              </w:rPr>
              <w:t>ITC TradeMap</w:t>
            </w:r>
          </w:p>
        </w:tc>
      </w:tr>
      <w:tr>
        <w:tc>
          <w:tcPr>
            <w:tcW w:type="dxa" w:w="3135"/>
            <w:shd w:val="clear" w:color="auto" w:fill="FFFFFF"/>
          </w:tcPr>
          <w:p>
            <w:r>
              <w:rPr>
                <w:sz w:val="18"/>
              </w:rPr>
              <w:t>Cathode/rod imports (feedstock)</w:t>
            </w:r>
          </w:p>
        </w:tc>
        <w:tc>
          <w:tcPr>
            <w:tcW w:type="dxa" w:w="3135"/>
            <w:shd w:val="clear" w:color="auto" w:fill="FFFFFF"/>
          </w:tcPr>
          <w:p>
            <w:r>
              <w:rPr>
                <w:sz w:val="18"/>
              </w:rPr>
              <w:t>USD 6.9m (7403) + USD 3.1m (7408)</w:t>
            </w:r>
          </w:p>
        </w:tc>
        <w:tc>
          <w:tcPr>
            <w:tcW w:type="dxa" w:w="3135"/>
            <w:shd w:val="clear" w:color="auto" w:fill="FFFFFF"/>
          </w:tcPr>
          <w:p>
            <w:r>
              <w:rPr>
                <w:sz w:val="18"/>
              </w:rPr>
              <w:t>ITC TradeMap</w:t>
            </w:r>
          </w:p>
        </w:tc>
      </w:tr>
      <w:tr>
        <w:tc>
          <w:tcPr>
            <w:tcW w:type="dxa" w:w="3135"/>
            <w:shd w:val="clear" w:color="auto" w:fill="EEF3F9"/>
          </w:tcPr>
          <w:p>
            <w:r>
              <w:rPr>
                <w:sz w:val="18"/>
              </w:rPr>
              <w:t>Lead fabricator</w:t>
            </w:r>
          </w:p>
        </w:tc>
        <w:tc>
          <w:tcPr>
            <w:tcW w:type="dxa" w:w="3135"/>
            <w:shd w:val="clear" w:color="auto" w:fill="EEF3F9"/>
          </w:tcPr>
          <w:p>
            <w:r>
              <w:rPr>
                <w:sz w:val="18"/>
              </w:rPr>
              <w:t xml:space="preserve">Cable Corporation Ltd (est. 1968) — </w:t>
            </w:r>
            <w:r>
              <w:rPr>
                <w:b/>
                <w:sz w:val="18"/>
              </w:rPr>
              <w:t>~65% domestic share</w:t>
            </w:r>
          </w:p>
        </w:tc>
        <w:tc>
          <w:tcPr>
            <w:tcW w:type="dxa" w:w="3135"/>
            <w:shd w:val="clear" w:color="auto" w:fill="EEF3F9"/>
          </w:tcPr>
          <w:p>
            <w:r>
              <w:rPr>
                <w:sz w:val="18"/>
              </w:rPr>
              <w:t>Cable Corporation; Mehta Group</w:t>
            </w:r>
          </w:p>
        </w:tc>
      </w:tr>
      <w:tr>
        <w:tc>
          <w:tcPr>
            <w:tcW w:type="dxa" w:w="3135"/>
            <w:shd w:val="clear" w:color="auto" w:fill="FFFFFF"/>
          </w:tcPr>
          <w:p>
            <w:r>
              <w:rPr>
                <w:sz w:val="18"/>
              </w:rPr>
              <w:t>Demand driver</w:t>
            </w:r>
          </w:p>
        </w:tc>
        <w:tc>
          <w:tcPr>
            <w:tcW w:type="dxa" w:w="3135"/>
            <w:shd w:val="clear" w:color="auto" w:fill="FFFFFF"/>
          </w:tcPr>
          <w:p>
            <w:r>
              <w:rPr>
                <w:sz w:val="18"/>
              </w:rPr>
              <w:t xml:space="preserve">Grid access only </w:t>
            </w:r>
            <w:r>
              <w:rPr>
                <w:b/>
                <w:sz w:val="18"/>
              </w:rPr>
              <w:t>25.3%</w:t>
            </w:r>
            <w:r>
              <w:rPr>
                <w:sz w:val="18"/>
              </w:rPr>
              <w:t xml:space="preserve"> (UBOS 2024) → large electrification headroom</w:t>
            </w:r>
          </w:p>
        </w:tc>
        <w:tc>
          <w:tcPr>
            <w:tcW w:type="dxa" w:w="3135"/>
            <w:shd w:val="clear" w:color="auto" w:fill="FFFFFF"/>
          </w:tcPr>
          <w:p>
            <w:r>
              <w:rPr>
                <w:sz w:val="18"/>
              </w:rPr>
              <w:t>UBOS</w:t>
            </w:r>
          </w:p>
        </w:tc>
      </w:tr>
    </w:tbl>
    <w:p/>
    <w:p>
      <w:r>
        <w:rPr>
          <w:b/>
        </w:rPr>
        <w:t>Resource base.</w:t>
      </w:r>
      <w:r>
        <w:t xml:space="preserve"> The </w:t>
      </w:r>
      <w:r>
        <w:rPr>
          <w:b/>
        </w:rPr>
        <w:t>Kilembe mine</w:t>
      </w:r>
      <w:r>
        <w:t xml:space="preserve"> (Kasese District) holds estimated deposits </w:t>
      </w:r>
      <w:r>
        <w:rPr>
          <w:b/>
        </w:rPr>
        <w:t>above 6.5 million tonnes of copper ore at 1.77% Cu</w:t>
      </w:r>
      <w:r>
        <w:t xml:space="preserve">, with about </w:t>
      </w:r>
      <w:r>
        <w:rPr>
          <w:b/>
        </w:rPr>
        <w:t>5.5 million tonnes at 0.17% cobalt</w:t>
      </w:r>
      <w:r>
        <w:t xml:space="preserve"> (DGSM) — a significant endowment, cobalt especially being a high-value battery mineral — but not in commercial production since the 1980s.</w:t>
      </w:r>
    </w:p>
    <w:p>
      <w:r>
        <w:rPr>
          <w:b/>
        </w:rPr>
        <w:t>Mine redevelopment (2025).</w:t>
      </w:r>
      <w:r>
        <w:t xml:space="preserve"> On </w:t>
      </w:r>
      <w:r>
        <w:rPr>
          <w:b/>
        </w:rPr>
        <w:t>3 March 2025 the Government signed its first-ever mineral production-sharing agreement</w:t>
      </w:r>
      <w:r>
        <w:t xml:space="preserve">, awarding Kilembe's redevelopment to </w:t>
      </w:r>
      <w:r>
        <w:rPr>
          <w:b/>
        </w:rPr>
        <w:t>Sarrai Group and Nile Fibreboard Limited</w:t>
      </w:r>
      <w:r>
        <w:t xml:space="preserve"> (from 14 bidders), targeting </w:t>
      </w:r>
      <w:r>
        <w:rPr>
          <w:b/>
        </w:rPr>
        <w:t>copper cathode and cobalt metal</w:t>
      </w:r>
      <w:r>
        <w:t xml:space="preserve"> (DGSM; Mining Weekly, 2025) — potentially reopening the midstream for the first time in a generation.</w:t>
      </w:r>
    </w:p>
    <w:p>
      <w:pPr>
        <w:pStyle w:val="Heading3"/>
      </w:pPr>
      <w:r>
        <w:t>Companies (downstream fabrication)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Products</w:t>
            </w:r>
          </w:p>
        </w:tc>
        <w:tc>
          <w:tcPr>
            <w:tcW w:type="dxa" w:w="2351"/>
            <w:shd w:val="clear" w:color="auto" w:fill="002B5B"/>
          </w:tcPr>
          <w:p>
            <w:r>
              <w:rPr>
                <w:b/>
                <w:color w:val="FFFFFF"/>
                <w:sz w:val="18"/>
              </w:rPr>
              <w:t>Position</w:t>
            </w:r>
          </w:p>
        </w:tc>
      </w:tr>
      <w:tr>
        <w:tc>
          <w:tcPr>
            <w:tcW w:type="dxa" w:w="2351"/>
            <w:shd w:val="clear" w:color="auto" w:fill="EEF3F9"/>
          </w:tcPr>
          <w:p>
            <w:r>
              <w:rPr>
                <w:b/>
                <w:sz w:val="18"/>
              </w:rPr>
              <w:t>Cable Corporation Ltd</w:t>
            </w:r>
            <w:r>
              <w:rPr>
                <w:sz w:val="18"/>
              </w:rPr>
              <w:t xml:space="preserve"> (Mehta Group)</w:t>
            </w:r>
          </w:p>
        </w:tc>
        <w:tc>
          <w:tcPr>
            <w:tcW w:type="dxa" w:w="2351"/>
            <w:shd w:val="clear" w:color="auto" w:fill="EEF3F9"/>
          </w:tcPr>
          <w:p>
            <w:r>
              <w:rPr>
                <w:sz w:val="18"/>
              </w:rPr>
              <w:t>Kampala/Lugazi</w:t>
            </w:r>
          </w:p>
        </w:tc>
        <w:tc>
          <w:tcPr>
            <w:tcW w:type="dxa" w:w="2351"/>
            <w:shd w:val="clear" w:color="auto" w:fill="EEF3F9"/>
          </w:tcPr>
          <w:p>
            <w:r>
              <w:rPr>
                <w:sz w:val="18"/>
              </w:rPr>
              <w:t>Building wire, power cables, conductors</w:t>
            </w:r>
          </w:p>
        </w:tc>
        <w:tc>
          <w:tcPr>
            <w:tcW w:type="dxa" w:w="2351"/>
            <w:shd w:val="clear" w:color="auto" w:fill="EEF3F9"/>
          </w:tcPr>
          <w:p>
            <w:r>
              <w:rPr>
                <w:sz w:val="18"/>
              </w:rPr>
              <w:t xml:space="preserve">Uganda's first cable factory (1968); </w:t>
            </w:r>
            <w:r>
              <w:rPr>
                <w:b/>
                <w:sz w:val="18"/>
              </w:rPr>
              <w:t>~65% market</w:t>
            </w:r>
          </w:p>
        </w:tc>
      </w:tr>
      <w:tr>
        <w:tc>
          <w:tcPr>
            <w:tcW w:type="dxa" w:w="2351"/>
            <w:shd w:val="clear" w:color="auto" w:fill="FFFFFF"/>
          </w:tcPr>
          <w:p>
            <w:r>
              <w:rPr>
                <w:b/>
                <w:sz w:val="18"/>
              </w:rPr>
              <w:t>East African Cables (Uganda)</w:t>
            </w:r>
          </w:p>
        </w:tc>
        <w:tc>
          <w:tcPr>
            <w:tcW w:type="dxa" w:w="2351"/>
            <w:shd w:val="clear" w:color="auto" w:fill="FFFFFF"/>
          </w:tcPr>
          <w:p>
            <w:r>
              <w:rPr>
                <w:sz w:val="18"/>
              </w:rPr>
              <w:t>Kampala</w:t>
            </w:r>
          </w:p>
        </w:tc>
        <w:tc>
          <w:tcPr>
            <w:tcW w:type="dxa" w:w="2351"/>
            <w:shd w:val="clear" w:color="auto" w:fill="FFFFFF"/>
          </w:tcPr>
          <w:p>
            <w:r>
              <w:rPr>
                <w:sz w:val="18"/>
              </w:rPr>
              <w:t>Cables, conductors</w:t>
            </w:r>
          </w:p>
        </w:tc>
        <w:tc>
          <w:tcPr>
            <w:tcW w:type="dxa" w:w="2351"/>
            <w:shd w:val="clear" w:color="auto" w:fill="FFFFFF"/>
          </w:tcPr>
          <w:p>
            <w:r>
              <w:rPr>
                <w:sz w:val="18"/>
              </w:rPr>
              <w:t>Regional supplier; balance of market</w:t>
            </w:r>
          </w:p>
        </w:tc>
      </w:tr>
      <w:tr>
        <w:tc>
          <w:tcPr>
            <w:tcW w:type="dxa" w:w="2351"/>
            <w:shd w:val="clear" w:color="auto" w:fill="EEF3F9"/>
          </w:tcPr>
          <w:p>
            <w:r>
              <w:rPr>
                <w:sz w:val="18"/>
              </w:rPr>
              <w:t>Other fabricators / importers-assemblers</w:t>
            </w:r>
          </w:p>
        </w:tc>
        <w:tc>
          <w:tcPr>
            <w:tcW w:type="dxa" w:w="2351"/>
            <w:shd w:val="clear" w:color="auto" w:fill="EEF3F9"/>
          </w:tcPr>
          <w:p>
            <w:r>
              <w:rPr>
                <w:sz w:val="18"/>
              </w:rPr>
              <w:t>Kampala area</w:t>
            </w:r>
          </w:p>
        </w:tc>
        <w:tc>
          <w:tcPr>
            <w:tcW w:type="dxa" w:w="2351"/>
            <w:shd w:val="clear" w:color="auto" w:fill="EEF3F9"/>
          </w:tcPr>
          <w:p>
            <w:r>
              <w:rPr>
                <w:sz w:val="18"/>
              </w:rPr>
              <w:t>Wire, cable, alloy goods</w:t>
            </w:r>
          </w:p>
        </w:tc>
        <w:tc>
          <w:tcPr>
            <w:tcW w:type="dxa" w:w="2351"/>
            <w:shd w:val="clear" w:color="auto" w:fill="EEF3F9"/>
          </w:tcPr>
          <w:p>
            <w:r>
              <w:rPr>
                <w:sz w:val="18"/>
              </w:rPr>
              <w:t>Smaller share</w:t>
            </w:r>
          </w:p>
        </w:tc>
      </w:tr>
    </w:tbl>
    <w:p/>
    <w:p>
      <w:r>
        <w:t xml:space="preserve">These firms convert </w:t>
      </w:r>
      <w:r>
        <w:rPr>
          <w:b/>
        </w:rPr>
        <w:t>imported</w:t>
      </w:r>
      <w:r>
        <w:t xml:space="preserve"> copper rod and aluminium into building wire, power cable and conductors for the utilities (Umeme/UEDCL/UETCL) — genuine value addition, but dependent on imported metal.</w:t>
      </w:r>
    </w:p>
    <w:p>
      <w:pPr>
        <w:pStyle w:val="Heading3"/>
      </w:pPr>
      <w:r>
        <w:t>Trade position (ITC TradeMap, 2024)</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Segment (HS)</w:t>
            </w:r>
          </w:p>
        </w:tc>
        <w:tc>
          <w:tcPr>
            <w:tcW w:type="dxa" w:w="3135"/>
            <w:shd w:val="clear" w:color="auto" w:fill="002B5B"/>
          </w:tcPr>
          <w:p>
            <w:r>
              <w:rPr>
                <w:b/>
                <w:color w:val="FFFFFF"/>
                <w:sz w:val="18"/>
              </w:rPr>
              <w:t>Imports 2024</w:t>
            </w:r>
          </w:p>
        </w:tc>
        <w:tc>
          <w:tcPr>
            <w:tcW w:type="dxa" w:w="3135"/>
            <w:shd w:val="clear" w:color="auto" w:fill="002B5B"/>
          </w:tcPr>
          <w:p>
            <w:r>
              <w:rPr>
                <w:b/>
                <w:color w:val="FFFFFF"/>
                <w:sz w:val="18"/>
              </w:rPr>
              <w:t>Reading</w:t>
            </w:r>
          </w:p>
        </w:tc>
      </w:tr>
      <w:tr>
        <w:tc>
          <w:tcPr>
            <w:tcW w:type="dxa" w:w="3135"/>
            <w:shd w:val="clear" w:color="auto" w:fill="EEF3F9"/>
          </w:tcPr>
          <w:p>
            <w:r>
              <w:rPr>
                <w:sz w:val="18"/>
              </w:rPr>
              <w:t>Insulated wire &amp; cable (8544)</w:t>
            </w:r>
          </w:p>
        </w:tc>
        <w:tc>
          <w:tcPr>
            <w:tcW w:type="dxa" w:w="3135"/>
            <w:shd w:val="clear" w:color="auto" w:fill="EEF3F9"/>
          </w:tcPr>
          <w:p>
            <w:r>
              <w:rPr>
                <w:b/>
                <w:sz w:val="18"/>
              </w:rPr>
              <w:t>USD 57.7m</w:t>
            </w:r>
            <w:r>
              <w:rPr>
                <w:sz w:val="18"/>
              </w:rPr>
              <w:t xml:space="preserve"> (China, India)</w:t>
            </w:r>
          </w:p>
        </w:tc>
        <w:tc>
          <w:tcPr>
            <w:tcW w:type="dxa" w:w="3135"/>
            <w:shd w:val="clear" w:color="auto" w:fill="EEF3F9"/>
          </w:tcPr>
          <w:p>
            <w:r>
              <w:rPr>
                <w:sz w:val="18"/>
              </w:rPr>
              <w:t>Largest line; finished-goods dependence (rising from 48.3m in 2023)</w:t>
            </w:r>
          </w:p>
        </w:tc>
      </w:tr>
      <w:tr>
        <w:tc>
          <w:tcPr>
            <w:tcW w:type="dxa" w:w="3135"/>
            <w:shd w:val="clear" w:color="auto" w:fill="FFFFFF"/>
          </w:tcPr>
          <w:p>
            <w:r>
              <w:rPr>
                <w:sz w:val="18"/>
              </w:rPr>
              <w:t>Refined copper / cathode (7403)</w:t>
            </w:r>
          </w:p>
        </w:tc>
        <w:tc>
          <w:tcPr>
            <w:tcW w:type="dxa" w:w="3135"/>
            <w:shd w:val="clear" w:color="auto" w:fill="FFFFFF"/>
          </w:tcPr>
          <w:p>
            <w:r>
              <w:rPr>
                <w:sz w:val="18"/>
              </w:rPr>
              <w:t>USD 6.9m (DRC, China)</w:t>
            </w:r>
          </w:p>
        </w:tc>
        <w:tc>
          <w:tcPr>
            <w:tcW w:type="dxa" w:w="3135"/>
            <w:shd w:val="clear" w:color="auto" w:fill="FFFFFF"/>
          </w:tcPr>
          <w:p>
            <w:r>
              <w:rPr>
                <w:sz w:val="18"/>
              </w:rPr>
              <w:t>Imported fabrication feedstock</w:t>
            </w:r>
          </w:p>
        </w:tc>
      </w:tr>
      <w:tr>
        <w:tc>
          <w:tcPr>
            <w:tcW w:type="dxa" w:w="3135"/>
            <w:shd w:val="clear" w:color="auto" w:fill="EEF3F9"/>
          </w:tcPr>
          <w:p>
            <w:r>
              <w:rPr>
                <w:sz w:val="18"/>
              </w:rPr>
              <w:t>Copper wire (7408)</w:t>
            </w:r>
          </w:p>
        </w:tc>
        <w:tc>
          <w:tcPr>
            <w:tcW w:type="dxa" w:w="3135"/>
            <w:shd w:val="clear" w:color="auto" w:fill="EEF3F9"/>
          </w:tcPr>
          <w:p>
            <w:r>
              <w:rPr>
                <w:sz w:val="18"/>
              </w:rPr>
              <w:t>USD 3.1m (China, UAE)</w:t>
            </w:r>
          </w:p>
        </w:tc>
        <w:tc>
          <w:tcPr>
            <w:tcW w:type="dxa" w:w="3135"/>
            <w:shd w:val="clear" w:color="auto" w:fill="EEF3F9"/>
          </w:tcPr>
          <w:p>
            <w:r>
              <w:rPr>
                <w:sz w:val="18"/>
              </w:rPr>
              <w:t>Imported semi-fabricate</w:t>
            </w:r>
          </w:p>
        </w:tc>
      </w:tr>
    </w:tbl>
    <w:p/>
    <w:p>
      <w:r>
        <w:t xml:space="preserve">Exports across all copper lines are negligible — Uganda is a </w:t>
      </w:r>
      <w:r>
        <w:rPr>
          <w:b/>
        </w:rPr>
        <w:t>net importer at every stage</w:t>
      </w:r>
      <w:r>
        <w:t>.</w:t>
      </w:r>
    </w:p>
    <w:p>
      <w:pPr>
        <w:pStyle w:val="Heading2"/>
      </w:pPr>
      <w:r>
        <w:t>5.C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Cable/conductor demand met substantially by imports (USD 57.7m HS 8544, 2024)</w:t>
            </w:r>
          </w:p>
        </w:tc>
        <w:tc>
          <w:tcPr>
            <w:tcW w:type="dxa" w:w="3135"/>
            <w:shd w:val="clear" w:color="auto" w:fill="EEF3F9"/>
          </w:tcPr>
          <w:p>
            <w:r>
              <w:rPr>
                <w:sz w:val="18"/>
              </w:rPr>
              <w:t>Electrification (grid only 25.3%), construction, grid expansion</w:t>
            </w:r>
          </w:p>
        </w:tc>
      </w:tr>
      <w:tr>
        <w:tc>
          <w:tcPr>
            <w:tcW w:type="dxa" w:w="3135"/>
            <w:shd w:val="clear" w:color="auto" w:fill="FFFFFF"/>
          </w:tcPr>
          <w:p>
            <w:r>
              <w:rPr>
                <w:b/>
                <w:sz w:val="18"/>
              </w:rPr>
              <w:t>Regional (EAC + COMESA)</w:t>
            </w:r>
          </w:p>
        </w:tc>
        <w:tc>
          <w:tcPr>
            <w:tcW w:type="dxa" w:w="3135"/>
            <w:shd w:val="clear" w:color="auto" w:fill="FFFFFF"/>
          </w:tcPr>
          <w:p>
            <w:r>
              <w:rPr>
                <w:sz w:val="18"/>
              </w:rPr>
              <w:t>Cable Corporation already supplies regional utilities; growing electrification across East Africa</w:t>
            </w:r>
          </w:p>
        </w:tc>
        <w:tc>
          <w:tcPr>
            <w:tcW w:type="dxa" w:w="3135"/>
            <w:shd w:val="clear" w:color="auto" w:fill="FFFFFF"/>
          </w:tcPr>
          <w:p>
            <w:r>
              <w:rPr>
                <w:sz w:val="18"/>
              </w:rPr>
              <w:t>Regional grid build-out; EAC market access</w:t>
            </w:r>
          </w:p>
        </w:tc>
      </w:tr>
      <w:tr>
        <w:tc>
          <w:tcPr>
            <w:tcW w:type="dxa" w:w="3135"/>
            <w:shd w:val="clear" w:color="auto" w:fill="EEF3F9"/>
          </w:tcPr>
          <w:p>
            <w:r>
              <w:rPr>
                <w:b/>
                <w:sz w:val="18"/>
              </w:rPr>
              <w:t>Continental (Africa)</w:t>
            </w:r>
          </w:p>
        </w:tc>
        <w:tc>
          <w:tcPr>
            <w:tcW w:type="dxa" w:w="3135"/>
            <w:shd w:val="clear" w:color="auto" w:fill="EEF3F9"/>
          </w:tcPr>
          <w:p>
            <w:r>
              <w:rPr>
                <w:sz w:val="18"/>
              </w:rPr>
              <w:t>Large, import-met cable deficit; AfCFTA opens access; DRC cathode/cobalt nearby</w:t>
            </w:r>
          </w:p>
        </w:tc>
        <w:tc>
          <w:tcPr>
            <w:tcW w:type="dxa" w:w="3135"/>
            <w:shd w:val="clear" w:color="auto" w:fill="EEF3F9"/>
          </w:tcPr>
          <w:p>
            <w:r>
              <w:rPr>
                <w:sz w:val="18"/>
              </w:rPr>
              <w:t>Africa-wide electrification; battery-minerals demand</w:t>
            </w:r>
          </w:p>
        </w:tc>
      </w:tr>
      <w:tr>
        <w:tc>
          <w:tcPr>
            <w:tcW w:type="dxa" w:w="3135"/>
            <w:shd w:val="clear" w:color="auto" w:fill="FFFFFF"/>
          </w:tcPr>
          <w:p>
            <w:r>
              <w:rPr>
                <w:b/>
                <w:sz w:val="18"/>
              </w:rPr>
              <w:t>Global</w:t>
            </w:r>
          </w:p>
        </w:tc>
        <w:tc>
          <w:tcPr>
            <w:tcW w:type="dxa" w:w="3135"/>
            <w:shd w:val="clear" w:color="auto" w:fill="FFFFFF"/>
          </w:tcPr>
          <w:p>
            <w:r>
              <w:rPr>
                <w:sz w:val="18"/>
              </w:rPr>
              <w:t>Refined copper ~27.5 Mt/yr; demand structurally rising with the energy transition; cobalt a critical battery input</w:t>
            </w:r>
          </w:p>
        </w:tc>
        <w:tc>
          <w:tcPr>
            <w:tcW w:type="dxa" w:w="3135"/>
            <w:shd w:val="clear" w:color="auto" w:fill="FFFFFF"/>
          </w:tcPr>
          <w:p>
            <w:r>
              <w:rPr>
                <w:sz w:val="18"/>
              </w:rPr>
              <w:t>Scale-driven — Uganda's tonnage modest; cobalt the better value-per-tonne export</w:t>
            </w:r>
          </w:p>
        </w:tc>
      </w:tr>
    </w:tbl>
    <w:p/>
    <w:p>
      <w:pPr>
        <w:pStyle w:val="Heading3"/>
      </w:pPr>
      <w:r>
        <w:t>2040 projection — Tenfold logic</w:t>
      </w:r>
    </w:p>
    <w:p>
      <w:r>
        <w:t xml:space="preserve">Uganda's electrified, ten-times-larger economy implies a step-change in cable and conductor demand. With grid access rising from </w:t>
      </w:r>
      <w:r>
        <w:rPr>
          <w:b/>
        </w:rPr>
        <w:t>25.3% toward universal access</w:t>
      </w:r>
      <w:r>
        <w:t xml:space="preserve">, population to ~60m+, and an industrialising, urbanising economy, </w:t>
      </w:r>
      <w:r>
        <w:rPr>
          <w:b/>
        </w:rPr>
        <w:t>domestic cable/conductor demand could plausibly grow several-fold to the order of USD 300–500m+ a year by 2040</w:t>
      </w:r>
      <w:r>
        <w:t xml:space="preserve"> (indicative; to refine with UBOS grid-expansion and construction data). Two implications:</w:t>
      </w:r>
    </w:p>
    <w:p>
      <w:pPr>
        <w:pStyle w:val="ListNumber"/>
      </w:pPr>
      <w:r>
        <w:rPr>
          <w:b/>
        </w:rPr>
        <w:t>A revived Kilembe should first substitute imported feedstock</w:t>
      </w:r>
      <w:r>
        <w:t xml:space="preserve"> (cathode/rod) for the domestic cable industry, then export </w:t>
      </w:r>
      <w:r>
        <w:rPr>
          <w:b/>
        </w:rPr>
        <w:t>cobalt</w:t>
      </w:r>
      <w:r>
        <w:t xml:space="preserve"> (premium, battery-grade) and surplus cathode regionally/continentally.</w:t>
      </w:r>
    </w:p>
    <w:p>
      <w:pPr>
        <w:pStyle w:val="ListNumber"/>
      </w:pPr>
      <w:r>
        <w:t xml:space="preserve">Other markets (regional, continental, global) grow on business-as-usual energy-transition demand (~3–4%/yr), where Uganda competes in </w:t>
      </w:r>
      <w:r>
        <w:rPr>
          <w:b/>
        </w:rPr>
        <w:t>finished cable regionally</w:t>
      </w:r>
      <w:r>
        <w:t xml:space="preserve"> and </w:t>
      </w:r>
      <w:r>
        <w:rPr>
          <w:b/>
        </w:rPr>
        <w:t>cobalt globally</w:t>
      </w:r>
      <w:r>
        <w:t>, not commodity cathode.</w:t>
      </w:r>
    </w:p>
    <w:p>
      <w:pPr>
        <w:pStyle w:val="Heading2"/>
      </w:pPr>
      <w:r>
        <w:t>5.D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Dormant midstream / feedstock (inputs)</w:t>
            </w:r>
          </w:p>
        </w:tc>
        <w:tc>
          <w:tcPr>
            <w:tcW w:type="dxa" w:w="2351"/>
            <w:shd w:val="clear" w:color="auto" w:fill="EEF3F9"/>
          </w:tcPr>
          <w:p>
            <w:r>
              <w:rPr>
                <w:b/>
                <w:sz w:val="18"/>
              </w:rPr>
              <w:t>5</w:t>
            </w:r>
          </w:p>
        </w:tc>
        <w:tc>
          <w:tcPr>
            <w:tcW w:type="dxa" w:w="2351"/>
            <w:shd w:val="clear" w:color="auto" w:fill="EEF3F9"/>
          </w:tcPr>
          <w:p>
            <w:r>
              <w:rPr>
                <w:sz w:val="18"/>
              </w:rPr>
              <w:t>Kilembe idle since 1980s; fabricators import all cathode/rod; reviving mining is the central constraint</w:t>
            </w:r>
          </w:p>
        </w:tc>
      </w:tr>
      <w:tr>
        <w:tc>
          <w:tcPr>
            <w:tcW w:type="dxa" w:w="2351"/>
            <w:shd w:val="clear" w:color="auto" w:fill="FFFFFF"/>
          </w:tcPr>
          <w:p>
            <w:r>
              <w:rPr>
                <w:sz w:val="18"/>
              </w:rPr>
              <w:t>2</w:t>
            </w:r>
          </w:p>
        </w:tc>
        <w:tc>
          <w:tcPr>
            <w:tcW w:type="dxa" w:w="2351"/>
            <w:shd w:val="clear" w:color="auto" w:fill="FFFFFF"/>
          </w:tcPr>
          <w:p>
            <w:r>
              <w:rPr>
                <w:b/>
                <w:sz w:val="18"/>
              </w:rPr>
              <w:t>Capital &amp; long lead time (finance)</w:t>
            </w:r>
          </w:p>
        </w:tc>
        <w:tc>
          <w:tcPr>
            <w:tcW w:type="dxa" w:w="2351"/>
            <w:shd w:val="clear" w:color="auto" w:fill="FFFFFF"/>
          </w:tcPr>
          <w:p>
            <w:r>
              <w:rPr>
                <w:b/>
                <w:sz w:val="18"/>
              </w:rPr>
              <w:t>5</w:t>
            </w:r>
          </w:p>
        </w:tc>
        <w:tc>
          <w:tcPr>
            <w:tcW w:type="dxa" w:w="2351"/>
            <w:shd w:val="clear" w:color="auto" w:fill="FFFFFF"/>
          </w:tcPr>
          <w:p>
            <w:r>
              <w:rPr>
                <w:sz w:val="18"/>
              </w:rPr>
              <w:t>Mine redevelopment is highly capital-intensive and multi-year; the production-sharing model is designed to mobilise private capital</w:t>
            </w:r>
          </w:p>
        </w:tc>
      </w:tr>
      <w:tr>
        <w:tc>
          <w:tcPr>
            <w:tcW w:type="dxa" w:w="2351"/>
            <w:shd w:val="clear" w:color="auto" w:fill="EEF3F9"/>
          </w:tcPr>
          <w:p>
            <w:r>
              <w:rPr>
                <w:sz w:val="18"/>
              </w:rPr>
              <w:t>3</w:t>
            </w:r>
          </w:p>
        </w:tc>
        <w:tc>
          <w:tcPr>
            <w:tcW w:type="dxa" w:w="2351"/>
            <w:shd w:val="clear" w:color="auto" w:fill="EEF3F9"/>
          </w:tcPr>
          <w:p>
            <w:r>
              <w:rPr>
                <w:b/>
                <w:sz w:val="18"/>
              </w:rPr>
              <w:t>Energy reliability (energy)</w:t>
            </w:r>
          </w:p>
        </w:tc>
        <w:tc>
          <w:tcPr>
            <w:tcW w:type="dxa" w:w="2351"/>
            <w:shd w:val="clear" w:color="auto" w:fill="EEF3F9"/>
          </w:tcPr>
          <w:p>
            <w:r>
              <w:rPr>
                <w:b/>
                <w:sz w:val="18"/>
              </w:rPr>
              <w:t>4</w:t>
            </w:r>
          </w:p>
        </w:tc>
        <w:tc>
          <w:tcPr>
            <w:tcW w:type="dxa" w:w="2351"/>
            <w:shd w:val="clear" w:color="auto" w:fill="EEF3F9"/>
          </w:tcPr>
          <w:p>
            <w:r>
              <w:rPr>
                <w:sz w:val="18"/>
              </w:rPr>
              <w:t>Electro-refining is power-intensive and continuous; reliability (not just tariff) is decisive</w:t>
            </w:r>
          </w:p>
        </w:tc>
      </w:tr>
      <w:tr>
        <w:tc>
          <w:tcPr>
            <w:tcW w:type="dxa" w:w="2351"/>
            <w:shd w:val="clear" w:color="auto" w:fill="FFFFFF"/>
          </w:tcPr>
          <w:p>
            <w:r>
              <w:rPr>
                <w:sz w:val="18"/>
              </w:rPr>
              <w:t>4</w:t>
            </w:r>
          </w:p>
        </w:tc>
        <w:tc>
          <w:tcPr>
            <w:tcW w:type="dxa" w:w="2351"/>
            <w:shd w:val="clear" w:color="auto" w:fill="FFFFFF"/>
          </w:tcPr>
          <w:p>
            <w:r>
              <w:rPr>
                <w:b/>
                <w:sz w:val="18"/>
              </w:rPr>
              <w:t>Logistics / Kasese access (infrastructure)</w:t>
            </w:r>
          </w:p>
        </w:tc>
        <w:tc>
          <w:tcPr>
            <w:tcW w:type="dxa" w:w="2351"/>
            <w:shd w:val="clear" w:color="auto" w:fill="FFFFFF"/>
          </w:tcPr>
          <w:p>
            <w:r>
              <w:rPr>
                <w:b/>
                <w:sz w:val="18"/>
              </w:rPr>
              <w:t>3</w:t>
            </w:r>
          </w:p>
        </w:tc>
        <w:tc>
          <w:tcPr>
            <w:tcW w:type="dxa" w:w="2351"/>
            <w:shd w:val="clear" w:color="auto" w:fill="FFFFFF"/>
          </w:tcPr>
          <w:p>
            <w:r>
              <w:rPr>
                <w:sz w:val="18"/>
              </w:rPr>
              <w:t>Landlocked penalty (~18–20% of sale price); Kilembe–Kasese rail/road need upgrading for ore and cathode</w:t>
            </w:r>
          </w:p>
        </w:tc>
      </w:tr>
      <w:tr>
        <w:tc>
          <w:tcPr>
            <w:tcW w:type="dxa" w:w="2351"/>
            <w:shd w:val="clear" w:color="auto" w:fill="EEF3F9"/>
          </w:tcPr>
          <w:p>
            <w:r>
              <w:rPr>
                <w:sz w:val="18"/>
              </w:rPr>
              <w:t>5</w:t>
            </w:r>
          </w:p>
        </w:tc>
        <w:tc>
          <w:tcPr>
            <w:tcW w:type="dxa" w:w="2351"/>
            <w:shd w:val="clear" w:color="auto" w:fill="EEF3F9"/>
          </w:tcPr>
          <w:p>
            <w:r>
              <w:rPr>
                <w:b/>
                <w:sz w:val="18"/>
              </w:rPr>
              <w:t>Tailings &amp; environmental liability (waste)</w:t>
            </w:r>
          </w:p>
        </w:tc>
        <w:tc>
          <w:tcPr>
            <w:tcW w:type="dxa" w:w="2351"/>
            <w:shd w:val="clear" w:color="auto" w:fill="EEF3F9"/>
          </w:tcPr>
          <w:p>
            <w:r>
              <w:rPr>
                <w:b/>
                <w:sz w:val="18"/>
              </w:rPr>
              <w:t>3</w:t>
            </w:r>
          </w:p>
        </w:tc>
        <w:tc>
          <w:tcPr>
            <w:tcW w:type="dxa" w:w="2351"/>
            <w:shd w:val="clear" w:color="auto" w:fill="EEF3F9"/>
          </w:tcPr>
          <w:p>
            <w:r>
              <w:rPr>
                <w:sz w:val="18"/>
              </w:rPr>
              <w:t xml:space="preserve">Historic tailings (cobalt/pyrite) are a liability </w:t>
            </w:r>
            <w:r>
              <w:rPr>
                <w:b/>
                <w:sz w:val="18"/>
              </w:rPr>
              <w:t>and</w:t>
            </w:r>
            <w:r>
              <w:rPr>
                <w:sz w:val="18"/>
              </w:rPr>
              <w:t xml:space="preserve"> a resource; acid-mine-drainage risk; managed under NEMA</w:t>
            </w:r>
          </w:p>
        </w:tc>
      </w:tr>
      <w:tr>
        <w:tc>
          <w:tcPr>
            <w:tcW w:type="dxa" w:w="2351"/>
            <w:shd w:val="clear" w:color="auto" w:fill="FFFFFF"/>
          </w:tcPr>
          <w:p>
            <w:r>
              <w:rPr>
                <w:sz w:val="18"/>
              </w:rPr>
              <w:t>6</w:t>
            </w:r>
          </w:p>
        </w:tc>
        <w:tc>
          <w:tcPr>
            <w:tcW w:type="dxa" w:w="2351"/>
            <w:shd w:val="clear" w:color="auto" w:fill="FFFFFF"/>
          </w:tcPr>
          <w:p>
            <w:r>
              <w:rPr>
                <w:b/>
                <w:sz w:val="18"/>
              </w:rPr>
              <w:t>Standards &amp; substandard imports (standards)</w:t>
            </w:r>
          </w:p>
        </w:tc>
        <w:tc>
          <w:tcPr>
            <w:tcW w:type="dxa" w:w="2351"/>
            <w:shd w:val="clear" w:color="auto" w:fill="FFFFFF"/>
          </w:tcPr>
          <w:p>
            <w:r>
              <w:rPr>
                <w:b/>
                <w:sz w:val="18"/>
              </w:rPr>
              <w:t>3</w:t>
            </w:r>
          </w:p>
        </w:tc>
        <w:tc>
          <w:tcPr>
            <w:tcW w:type="dxa" w:w="2351"/>
            <w:shd w:val="clear" w:color="auto" w:fill="FFFFFF"/>
          </w:tcPr>
          <w:p>
            <w:r>
              <w:rPr>
                <w:sz w:val="18"/>
              </w:rPr>
              <w:t>UNBS cable standards are safety-critical; substandard imported cable is a market and safety problem</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Mining/metallurgical skills scarce after decades of dormancy; cable industry has a skilled base</w:t>
            </w:r>
          </w:p>
        </w:tc>
      </w:tr>
      <w:tr>
        <w:tc>
          <w:tcPr>
            <w:tcW w:type="dxa" w:w="2351"/>
            <w:shd w:val="clear" w:color="auto" w:fill="FFFFFF"/>
          </w:tcPr>
          <w:p>
            <w:r>
              <w:rPr>
                <w:sz w:val="18"/>
              </w:rPr>
              <w:t>8</w:t>
            </w:r>
          </w:p>
        </w:tc>
        <w:tc>
          <w:tcPr>
            <w:tcW w:type="dxa" w:w="2351"/>
            <w:shd w:val="clear" w:color="auto" w:fill="FFFFFF"/>
          </w:tcPr>
          <w:p>
            <w:r>
              <w:rPr>
                <w:b/>
                <w:sz w:val="18"/>
              </w:rPr>
              <w:t>Policy operationalisation (policy)</w:t>
            </w:r>
          </w:p>
        </w:tc>
        <w:tc>
          <w:tcPr>
            <w:tcW w:type="dxa" w:w="2351"/>
            <w:shd w:val="clear" w:color="auto" w:fill="FFFFFF"/>
          </w:tcPr>
          <w:p>
            <w:r>
              <w:rPr>
                <w:b/>
                <w:sz w:val="18"/>
              </w:rPr>
              <w:t>2</w:t>
            </w:r>
          </w:p>
        </w:tc>
        <w:tc>
          <w:tcPr>
            <w:tcW w:type="dxa" w:w="2351"/>
            <w:shd w:val="clear" w:color="auto" w:fill="FFFFFF"/>
          </w:tcPr>
          <w:p>
            <w:r>
              <w:rPr>
                <w:sz w:val="18"/>
              </w:rPr>
              <w:t>2025 PSA is a major enabler; licensing, tailings rights and feedstock policy still to be operationalised</w:t>
            </w:r>
          </w:p>
        </w:tc>
      </w:tr>
    </w:tbl>
    <w:p/>
    <w:p>
      <w:r>
        <w:t xml:space="preserve">The two critical constraints — the </w:t>
      </w:r>
      <w:r>
        <w:rPr>
          <w:b/>
        </w:rPr>
        <w:t>dormant midstream</w:t>
      </w:r>
      <w:r>
        <w:t xml:space="preserve"> and the </w:t>
      </w:r>
      <w:r>
        <w:rPr>
          <w:b/>
        </w:rPr>
        <w:t>capital/lead-time</w:t>
      </w:r>
      <w:r>
        <w:t xml:space="preserve"> to revive it — are exactly what the 2025 production-sharing agreement is meant to solve; execution is now the test.</w:t>
      </w:r>
    </w:p>
    <w:p>
      <w:pPr>
        <w:pStyle w:val="Heading2"/>
      </w:pPr>
      <w:r>
        <w:t>5.E Greening &amp; Sustainability</w:t>
      </w:r>
    </w:p>
    <w:p>
      <w:r>
        <w:t xml:space="preserve">Copper and cobalt are </w:t>
      </w:r>
      <w:r>
        <w:rPr>
          <w:b/>
        </w:rPr>
        <w:t>enabling minerals for the green transition</w:t>
      </w:r>
      <w:r>
        <w:t xml:space="preserve"> — and Uganda's hydro grid makes low-carbon refining feasible, a genuine competitiveness edge.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No domestic mining/refining footprint to green yet; cable fabrication is relatively low-impact</w:t>
            </w:r>
          </w:p>
        </w:tc>
      </w:tr>
      <w:tr>
        <w:tc>
          <w:tcPr>
            <w:tcW w:type="dxa" w:w="4703"/>
            <w:shd w:val="clear" w:color="auto" w:fill="FFFFFF"/>
          </w:tcPr>
          <w:p>
            <w:r>
              <w:rPr>
                <w:b/>
                <w:sz w:val="18"/>
              </w:rPr>
              <w:t>Current solutions</w:t>
            </w:r>
          </w:p>
        </w:tc>
        <w:tc>
          <w:tcPr>
            <w:tcW w:type="dxa" w:w="4703"/>
            <w:shd w:val="clear" w:color="auto" w:fill="FFFFFF"/>
          </w:tcPr>
          <w:p>
            <w:r>
              <w:rPr>
                <w:sz w:val="18"/>
              </w:rPr>
              <w:t>Hydro-powered fabrication; copper is infinitely recyclable (scrap-cable recovery is an opportunity)</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Hydro-powered electro-refining</w:t>
            </w:r>
            <w:r>
              <w:rPr>
                <w:sz w:val="18"/>
              </w:rPr>
              <w:t xml:space="preserve"> for low-carbon cathode — marketable into a carbon-conscious world; (2) </w:t>
            </w:r>
            <w:r>
              <w:rPr>
                <w:b/>
                <w:sz w:val="18"/>
              </w:rPr>
              <w:t>tailings reprocessing</w:t>
            </w:r>
            <w:r>
              <w:rPr>
                <w:sz w:val="18"/>
              </w:rPr>
              <w:t xml:space="preserve"> to recover cobalt/copper from the historic Kilembe dumps (turns liability into resource); (3) </w:t>
            </w:r>
            <w:r>
              <w:rPr>
                <w:b/>
                <w:sz w:val="18"/>
              </w:rPr>
              <w:t>copper-scrap recycling</w:t>
            </w:r>
            <w:r>
              <w:rPr>
                <w:sz w:val="18"/>
              </w:rPr>
              <w:t xml:space="preserve"> to supplement feedstock; (4) </w:t>
            </w:r>
            <w:r>
              <w:rPr>
                <w:b/>
                <w:sz w:val="18"/>
              </w:rPr>
              <w:t>cobalt for batteries/EVs</w:t>
            </w:r>
            <w:r>
              <w:rPr>
                <w:sz w:val="18"/>
              </w:rPr>
              <w:t xml:space="preserve"> positions Uganda in the energy-transition value chain (links to the Automotive EV story, Chapter 6)</w:t>
            </w:r>
          </w:p>
        </w:tc>
      </w:tr>
    </w:tbl>
    <w:p/>
    <w:p>
      <w:r>
        <w:rPr>
          <w:b/>
        </w:rPr>
        <w:t>Why it pays:</w:t>
      </w:r>
      <w:r>
        <w:t xml:space="preserve"> low-carbon, recycled-content copper and responsibly-sourced cobalt command access and premiums in green-procurement and battery supply chains.</w:t>
      </w:r>
    </w:p>
    <w:p>
      <w:pPr>
        <w:pStyle w:val="Heading2"/>
      </w:pPr>
      <w:r>
        <w:t>5.F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Insulated wire &amp; cable</w:t>
            </w:r>
          </w:p>
        </w:tc>
        <w:tc>
          <w:tcPr>
            <w:tcW w:type="dxa" w:w="1176"/>
            <w:shd w:val="clear" w:color="auto" w:fill="EEF3F9"/>
          </w:tcPr>
          <w:p>
            <w:r>
              <w:rPr>
                <w:sz w:val="18"/>
              </w:rPr>
              <w:t>High (USD 57.7m imports)</w:t>
            </w:r>
          </w:p>
        </w:tc>
        <w:tc>
          <w:tcPr>
            <w:tcW w:type="dxa" w:w="1176"/>
            <w:shd w:val="clear" w:color="auto" w:fill="EEF3F9"/>
          </w:tcPr>
          <w:p>
            <w:r>
              <w:rPr>
                <w:sz w:val="18"/>
              </w:rPr>
              <w:t>High (Cable Corp base)</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High (hydro)</w:t>
            </w:r>
          </w:p>
        </w:tc>
        <w:tc>
          <w:tcPr>
            <w:tcW w:type="dxa" w:w="1176"/>
            <w:shd w:val="clear" w:color="auto" w:fill="EEF3F9"/>
          </w:tcPr>
          <w:p>
            <w:r>
              <w:rPr>
                <w:b/>
                <w:sz w:val="18"/>
              </w:rPr>
              <w:t>Priority</w:t>
            </w:r>
          </w:p>
        </w:tc>
      </w:tr>
      <w:tr>
        <w:tc>
          <w:tcPr>
            <w:tcW w:type="dxa" w:w="1176"/>
            <w:shd w:val="clear" w:color="auto" w:fill="FFFFFF"/>
          </w:tcPr>
          <w:p>
            <w:r>
              <w:rPr>
                <w:b/>
                <w:sz w:val="18"/>
              </w:rPr>
              <w:t>Copper cathode &amp; cobalt (Kilembe)</w:t>
            </w:r>
          </w:p>
        </w:tc>
        <w:tc>
          <w:tcPr>
            <w:tcW w:type="dxa" w:w="1176"/>
            <w:shd w:val="clear" w:color="auto" w:fill="FFFFFF"/>
          </w:tcPr>
          <w:p>
            <w:r>
              <w:rPr>
                <w:sz w:val="18"/>
              </w:rPr>
              <w:t>Medium–High</w:t>
            </w:r>
          </w:p>
        </w:tc>
        <w:tc>
          <w:tcPr>
            <w:tcW w:type="dxa" w:w="1176"/>
            <w:shd w:val="clear" w:color="auto" w:fill="FFFFFF"/>
          </w:tcPr>
          <w:p>
            <w:r>
              <w:rPr>
                <w:sz w:val="18"/>
              </w:rPr>
              <w:t>High (reserves)</w:t>
            </w:r>
          </w:p>
        </w:tc>
        <w:tc>
          <w:tcPr>
            <w:tcW w:type="dxa" w:w="1176"/>
            <w:shd w:val="clear" w:color="auto" w:fill="FFFFFF"/>
          </w:tcPr>
          <w:p>
            <w:r>
              <w:rPr>
                <w:sz w:val="18"/>
              </w:rPr>
              <w:t>Medium (long lead)</w:t>
            </w:r>
          </w:p>
        </w:tc>
        <w:tc>
          <w:tcPr>
            <w:tcW w:type="dxa" w:w="1176"/>
            <w:shd w:val="clear" w:color="auto" w:fill="FFFFFF"/>
          </w:tcPr>
          <w:p>
            <w:r>
              <w:rPr>
                <w:sz w:val="18"/>
              </w:rPr>
              <w:t>High</w:t>
            </w:r>
          </w:p>
        </w:tc>
        <w:tc>
          <w:tcPr>
            <w:tcW w:type="dxa" w:w="1176"/>
            <w:shd w:val="clear" w:color="auto" w:fill="FFFFFF"/>
          </w:tcPr>
          <w:p>
            <w:r>
              <w:rPr>
                <w:sz w:val="18"/>
              </w:rPr>
              <w:t>High (feedstock)</w:t>
            </w:r>
          </w:p>
        </w:tc>
        <w:tc>
          <w:tcPr>
            <w:tcW w:type="dxa" w:w="1176"/>
            <w:shd w:val="clear" w:color="auto" w:fill="FFFFFF"/>
          </w:tcPr>
          <w:p>
            <w:r>
              <w:rPr>
                <w:sz w:val="18"/>
              </w:rPr>
              <w:t>High (battery)</w:t>
            </w:r>
          </w:p>
        </w:tc>
        <w:tc>
          <w:tcPr>
            <w:tcW w:type="dxa" w:w="1176"/>
            <w:shd w:val="clear" w:color="auto" w:fill="FFFFFF"/>
          </w:tcPr>
          <w:p>
            <w:r>
              <w:rPr>
                <w:b/>
                <w:sz w:val="18"/>
              </w:rPr>
              <w:t>Priority (enabler)</w:t>
            </w:r>
          </w:p>
        </w:tc>
      </w:tr>
      <w:tr>
        <w:tc>
          <w:tcPr>
            <w:tcW w:type="dxa" w:w="1176"/>
            <w:shd w:val="clear" w:color="auto" w:fill="EEF3F9"/>
          </w:tcPr>
          <w:p>
            <w:r>
              <w:rPr>
                <w:b/>
                <w:sz w:val="18"/>
              </w:rPr>
              <w:t>Copper wire rod / semi-fabricates</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Brass / alloy fabricated goods</w:t>
            </w:r>
          </w:p>
        </w:tc>
        <w:tc>
          <w:tcPr>
            <w:tcW w:type="dxa" w:w="1176"/>
            <w:shd w:val="clear" w:color="auto" w:fill="FFFFFF"/>
          </w:tcPr>
          <w:p>
            <w:r>
              <w:rPr>
                <w:sz w:val="18"/>
              </w:rPr>
              <w:t>Low–Med</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Conditional</w:t>
            </w:r>
          </w:p>
        </w:tc>
      </w:tr>
      <w:tr>
        <w:tc>
          <w:tcPr>
            <w:tcW w:type="dxa" w:w="1176"/>
            <w:shd w:val="clear" w:color="auto" w:fill="EEF3F9"/>
          </w:tcPr>
          <w:p>
            <w:r>
              <w:rPr>
                <w:sz w:val="18"/>
              </w:rPr>
              <w:t>Primary smelting for global cathode export</w:t>
            </w:r>
          </w:p>
        </w:tc>
        <w:tc>
          <w:tcPr>
            <w:tcW w:type="dxa" w:w="1176"/>
            <w:shd w:val="clear" w:color="auto" w:fill="EEF3F9"/>
          </w:tcPr>
          <w:p>
            <w:r>
              <w:rPr>
                <w:sz w:val="18"/>
              </w:rPr>
              <w:t>Low (scale)</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Copper &amp; Allied Metals:</w:t>
      </w:r>
    </w:p>
    <w:p>
      <w:pPr>
        <w:pStyle w:val="ListNumber"/>
      </w:pPr>
      <w:r>
        <w:rPr>
          <w:b/>
        </w:rPr>
        <w:t>Insulated wire &amp; cable</w:t>
      </w:r>
      <w:r>
        <w:t xml:space="preserve"> — expand the existing, competitive Cable Corporation–led industry to capture the USD 57.7m import market and grow regional exports; the fastest, lowest-risk, electrification-driven win.</w:t>
      </w:r>
    </w:p>
    <w:p>
      <w:pPr>
        <w:pStyle w:val="ListNumber"/>
      </w:pPr>
      <w:r>
        <w:rPr>
          <w:b/>
        </w:rPr>
        <w:t>Kilembe copper cathode &amp; cobalt</w:t>
      </w:r>
      <w:r>
        <w:t xml:space="preserve"> — execute the 2025 production-sharing redevelopment, prioritising </w:t>
      </w:r>
      <w:r>
        <w:rPr>
          <w:b/>
        </w:rPr>
        <w:t>feedstock for the domestic cable industry</w:t>
      </w:r>
      <w:r>
        <w:t xml:space="preserve"> and </w:t>
      </w:r>
      <w:r>
        <w:rPr>
          <w:b/>
        </w:rPr>
        <w:t>cobalt</w:t>
      </w:r>
      <w:r>
        <w:t xml:space="preserve"> as the high-value, green-transition export.</w:t>
      </w:r>
    </w:p>
    <w:p>
      <w:pPr>
        <w:pStyle w:val="ListNumber"/>
      </w:pPr>
      <w:r>
        <w:rPr>
          <w:b/>
        </w:rPr>
        <w:t>Copper wire rod / semi-fabrication</w:t>
      </w:r>
      <w:r>
        <w:t xml:space="preserve"> — the connecting midstream between cathode and cable, to integrate the chain domestically.</w:t>
      </w:r>
    </w:p>
    <w:p>
      <w:r>
        <w:rPr>
          <w:b/>
        </w:rPr>
        <w:t>Explicit deprioritization.</w:t>
      </w:r>
      <w:r>
        <w:t xml:space="preserve"> Uganda should </w:t>
      </w:r>
      <w:r>
        <w:rPr>
          <w:b/>
        </w:rPr>
        <w:t>not</w:t>
      </w:r>
      <w:r>
        <w:t xml:space="preserve"> target greenfield primary copper smelting for global cathode export as a first move — global cathode is scale-driven and Uganda's tonnage is modest. Value lies in </w:t>
      </w:r>
      <w:r>
        <w:rPr>
          <w:b/>
        </w:rPr>
        <w:t>integrating cathode→rod→cable for domestic and regional markets</w:t>
      </w:r>
      <w:r>
        <w:t xml:space="preserve">, and in </w:t>
      </w:r>
      <w:r>
        <w:rPr>
          <w:b/>
        </w:rPr>
        <w:t>cobalt</w:t>
      </w:r>
      <w:r>
        <w:t xml:space="preserve"> as the premium export.</w:t>
      </w:r>
    </w:p>
    <w:p>
      <w:pPr>
        <w:pStyle w:val="Heading2"/>
      </w:pPr>
      <w:r>
        <w:t>5.G Project Profiles</w:t>
      </w:r>
    </w:p>
    <w:p>
      <w:r>
        <w:rPr>
          <w:b/>
        </w:rPr>
        <w:t>P1 — Kilembe redevelopment: cathode + cobalt (strategic anchor).</w:t>
      </w:r>
    </w:p>
    <w:p>
      <w:pPr>
        <w:pStyle w:val="ListBullet"/>
      </w:pPr>
      <w:r>
        <w:rPr>
          <w:i/>
        </w:rPr>
        <w:t>Strategic:</w:t>
      </w:r>
      <w:r>
        <w:t xml:space="preserve"> reopens the midstream; feeds the domestic cable industry and positions Uganda in battery-minerals.</w:t>
      </w:r>
    </w:p>
    <w:p>
      <w:pPr>
        <w:pStyle w:val="ListBullet"/>
      </w:pPr>
      <w:r>
        <w:rPr>
          <w:i/>
        </w:rPr>
        <w:t>Quick-win element:</w:t>
      </w:r>
      <w:r>
        <w:t xml:space="preserve"> the 2025 PSA is signed — early milestones (workplan, tailings reprocessing) can start now.</w:t>
      </w:r>
    </w:p>
    <w:p>
      <w:pPr>
        <w:pStyle w:val="ListBullet"/>
      </w:pPr>
      <w:r>
        <w:rPr>
          <w:i/>
        </w:rPr>
        <w:t>Green:</w:t>
      </w:r>
      <w:r>
        <w:t xml:space="preserve"> hydro-powered refining; tailings recovery; cobalt for the energy transition.</w:t>
      </w:r>
    </w:p>
    <w:p>
      <w:pPr>
        <w:pStyle w:val="ListBullet"/>
      </w:pPr>
      <w:r>
        <w:rPr>
          <w:i/>
        </w:rPr>
        <w:t>Lead:</w:t>
      </w:r>
      <w:r>
        <w:t xml:space="preserve"> Sarrai/Nile Fibreboard + MEMD/DGSM. </w:t>
      </w:r>
      <w:r>
        <w:rPr>
          <w:i/>
        </w:rPr>
        <w:t>Cost:</w:t>
      </w:r>
      <w:r>
        <w:t xml:space="preserve"> see Ch.8.</w:t>
      </w:r>
    </w:p>
    <w:p>
      <w:r>
        <w:rPr>
          <w:b/>
        </w:rPr>
        <w:t>P2 — Cable &amp; conductor capacity expansion (quick win + strategic).</w:t>
      </w:r>
    </w:p>
    <w:p>
      <w:pPr>
        <w:pStyle w:val="ListBullet"/>
      </w:pPr>
      <w:r>
        <w:rPr>
          <w:i/>
        </w:rPr>
        <w:t>Strategic:</w:t>
      </w:r>
      <w:r>
        <w:t xml:space="preserve"> captures the USD 57.7m import market and rising electrification demand; builds regional export.</w:t>
      </w:r>
    </w:p>
    <w:p>
      <w:pPr>
        <w:pStyle w:val="ListBullet"/>
      </w:pPr>
      <w:r>
        <w:rPr>
          <w:i/>
        </w:rPr>
        <w:t>Quick-win element:</w:t>
      </w:r>
      <w:r>
        <w:t xml:space="preserve"> expands a proven, competitive industry (Cable Corporation) — shortest lead time.</w:t>
      </w:r>
    </w:p>
    <w:p>
      <w:pPr>
        <w:pStyle w:val="ListBullet"/>
      </w:pPr>
      <w:r>
        <w:rPr>
          <w:i/>
        </w:rPr>
        <w:t>Green:</w:t>
      </w:r>
      <w:r>
        <w:t xml:space="preserve"> hydro-powered; scrap-copper recycling.</w:t>
      </w:r>
    </w:p>
    <w:p>
      <w:r>
        <w:rPr>
          <w:b/>
        </w:rPr>
        <w:t>P3 — Cobalt/tailings reprocessing (green + quick-ish).</w:t>
      </w:r>
    </w:p>
    <w:p>
      <w:pPr>
        <w:pStyle w:val="ListBullet"/>
      </w:pPr>
      <w:r>
        <w:rPr>
          <w:i/>
        </w:rPr>
        <w:t>Strategic:</w:t>
      </w:r>
      <w:r>
        <w:t xml:space="preserve"> extracts value from historic Kilembe tailings; battery-mineral positioning.</w:t>
      </w:r>
    </w:p>
    <w:p>
      <w:pPr>
        <w:pStyle w:val="ListBullet"/>
      </w:pPr>
      <w:r>
        <w:rPr>
          <w:i/>
        </w:rPr>
        <w:t>Quick-win element:</w:t>
      </w:r>
      <w:r>
        <w:t xml:space="preserve"> reprocessing existing dumps avoids full greenfield mine lead time.</w:t>
      </w:r>
    </w:p>
    <w:p>
      <w:pPr>
        <w:pStyle w:val="ListBullet"/>
      </w:pPr>
      <w:r>
        <w:rPr>
          <w:i/>
        </w:rPr>
        <w:t>Green:</w:t>
      </w:r>
      <w:r>
        <w:t xml:space="preserve"> remediates an environmental liability while recovering metal.</w:t>
      </w:r>
    </w:p>
    <w:p>
      <w:pPr>
        <w:pStyle w:val="Heading2"/>
      </w:pPr>
      <w:r>
        <w:t>5.H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Enforce UNBS cable standards against substandard imports (safety + market for compliant firms)</w:t>
            </w:r>
          </w:p>
        </w:tc>
        <w:tc>
          <w:tcPr>
            <w:tcW w:type="dxa" w:w="2351"/>
            <w:shd w:val="clear" w:color="auto" w:fill="EEF3F9"/>
          </w:tcPr>
          <w:p>
            <w:r>
              <w:rPr>
                <w:sz w:val="18"/>
              </w:rPr>
              <w:t>UNBS, MTIC, URA</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Finalise Kilembe redevelopment workplan and milestones under the 2025 production-sharing agreement</w:t>
            </w:r>
          </w:p>
        </w:tc>
        <w:tc>
          <w:tcPr>
            <w:tcW w:type="dxa" w:w="2351"/>
            <w:shd w:val="clear" w:color="auto" w:fill="FFFFFF"/>
          </w:tcPr>
          <w:p>
            <w:r>
              <w:rPr>
                <w:sz w:val="18"/>
              </w:rPr>
              <w:t>MEMD/DGSM, investor</w:t>
            </w:r>
          </w:p>
        </w:tc>
        <w:tc>
          <w:tcPr>
            <w:tcW w:type="dxa" w:w="2351"/>
            <w:shd w:val="clear" w:color="auto" w:fill="FFFFFF"/>
          </w:tcPr>
          <w:p>
            <w:r>
              <w:rPr>
                <w:sz w:val="18"/>
              </w:rPr>
              <w:t>Low (admin)</w:t>
            </w:r>
          </w:p>
        </w:tc>
      </w:tr>
      <w:tr>
        <w:tc>
          <w:tcPr>
            <w:tcW w:type="dxa" w:w="2351"/>
            <w:shd w:val="clear" w:color="auto" w:fill="EEF3F9"/>
          </w:tcPr>
          <w:p>
            <w:r>
              <w:rPr>
                <w:b/>
                <w:sz w:val="18"/>
              </w:rPr>
              <w:t>Reform (1–3y)</w:t>
            </w:r>
          </w:p>
        </w:tc>
        <w:tc>
          <w:tcPr>
            <w:tcW w:type="dxa" w:w="2351"/>
            <w:shd w:val="clear" w:color="auto" w:fill="EEF3F9"/>
          </w:tcPr>
          <w:p>
            <w:r>
              <w:rPr>
                <w:sz w:val="18"/>
              </w:rPr>
              <w:t>Develop a cobalt/battery-minerals strategy (positioning, off-take, value addition)</w:t>
            </w:r>
          </w:p>
        </w:tc>
        <w:tc>
          <w:tcPr>
            <w:tcW w:type="dxa" w:w="2351"/>
            <w:shd w:val="clear" w:color="auto" w:fill="EEF3F9"/>
          </w:tcPr>
          <w:p>
            <w:r>
              <w:rPr>
                <w:sz w:val="18"/>
              </w:rPr>
              <w:t>MEMD,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Tailings management and reprocessing framework at Kilembe (liability + resource)</w:t>
            </w:r>
          </w:p>
        </w:tc>
        <w:tc>
          <w:tcPr>
            <w:tcW w:type="dxa" w:w="2351"/>
            <w:shd w:val="clear" w:color="auto" w:fill="FFFFFF"/>
          </w:tcPr>
          <w:p>
            <w:r>
              <w:rPr>
                <w:sz w:val="18"/>
              </w:rPr>
              <w:t>NEMA, MEMD</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Power and transport upgrades for Kasese/Kilembe</w:t>
            </w:r>
          </w:p>
        </w:tc>
        <w:tc>
          <w:tcPr>
            <w:tcW w:type="dxa" w:w="2351"/>
            <w:shd w:val="clear" w:color="auto" w:fill="EEF3F9"/>
          </w:tcPr>
          <w:p>
            <w:r>
              <w:rPr>
                <w:sz w:val="18"/>
              </w:rPr>
              <w:t>ERA, UNRA, MEMD</w:t>
            </w:r>
          </w:p>
        </w:tc>
        <w:tc>
          <w:tcPr>
            <w:tcW w:type="dxa" w:w="2351"/>
            <w:shd w:val="clear" w:color="auto" w:fill="EEF3F9"/>
          </w:tcPr>
          <w:p>
            <w:r>
              <w:rPr>
                <w:sz w:val="18"/>
              </w:rPr>
              <w:t>Medium–High</w:t>
            </w:r>
          </w:p>
        </w:tc>
      </w:tr>
      <w:tr>
        <w:tc>
          <w:tcPr>
            <w:tcW w:type="dxa" w:w="2351"/>
            <w:shd w:val="clear" w:color="auto" w:fill="FFFFFF"/>
          </w:tcPr>
          <w:p>
            <w:r>
              <w:rPr>
                <w:b/>
                <w:sz w:val="18"/>
              </w:rPr>
              <w:t>Investment (3–5y)</w:t>
            </w:r>
          </w:p>
        </w:tc>
        <w:tc>
          <w:tcPr>
            <w:tcW w:type="dxa" w:w="2351"/>
            <w:shd w:val="clear" w:color="auto" w:fill="FFFFFF"/>
          </w:tcPr>
          <w:p>
            <w:r>
              <w:rPr>
                <w:sz w:val="18"/>
              </w:rPr>
              <w:t>Kilembe mine + cathode/cobalt processing (production-sharing)</w:t>
            </w:r>
          </w:p>
        </w:tc>
        <w:tc>
          <w:tcPr>
            <w:tcW w:type="dxa" w:w="2351"/>
            <w:shd w:val="clear" w:color="auto" w:fill="FFFFFF"/>
          </w:tcPr>
          <w:p>
            <w:r>
              <w:rPr>
                <w:sz w:val="18"/>
              </w:rPr>
              <w:t>Private-led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Expansion of cable &amp; conductor manufacturing capacity</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6: Automotive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Kiira Motors Corporation; UBOS; ITC TradeMap (2024); Mobility Foresights, </w:t>
      </w:r>
      <w:r>
        <w:rPr>
          <w:i/>
        </w:rPr>
        <w:t>Uganda Used Car Market</w:t>
      </w:r>
      <w:r>
        <w:t>. Full sources are in the consolidated References at the end of this report.</w:t>
      </w:r>
    </w:p>
    <w:p>
      <w:pPr>
        <w:pStyle w:val="Heading2"/>
      </w:pPr>
      <w:r>
        <w:t>6.0 Why Automotive Matters for the Tenfold Growth Strategy</w:t>
      </w:r>
    </w:p>
    <w:p>
      <w:r>
        <w:t xml:space="preserve">Automotive is where Report 1's industrial system pays off: a domestic vehicle industry </w:t>
      </w:r>
      <w:r>
        <w:rPr>
          <w:b/>
        </w:rPr>
        <w:t>pulls demand through steel (Chapter 4) and copper/wiring (Chapter 5)</w:t>
      </w:r>
      <w:r>
        <w:t xml:space="preserve">, converting raw-material processing into high-value manufactured products and skilled jobs. A ten-times-larger economy will move far more people and goods — and today Uganda spends </w:t>
      </w:r>
      <w:r>
        <w:rPr>
          <w:b/>
        </w:rPr>
        <w:t>over USD 650 million a year importing vehicles and parts</w:t>
      </w:r>
      <w:r>
        <w:t xml:space="preserve">, almost all value captured offshore. Capturing even part of that domestically — buses and electric buses, motorcycle assembly, and parts localisation — is both an import-substitution prize and the demand anchor that makes the metals chains viable at scale. Uganda has chosen a </w:t>
      </w:r>
      <w:r>
        <w:rPr>
          <w:b/>
        </w:rPr>
        <w:t>deliberately state-anchored</w:t>
      </w:r>
      <w:r>
        <w:t xml:space="preserve"> entry through Kiira Motors, and the </w:t>
      </w:r>
      <w:r>
        <w:rPr>
          <w:b/>
        </w:rPr>
        <w:t>electric-vehicle</w:t>
      </w:r>
      <w:r>
        <w:t xml:space="preserve"> angle aligns the chain with Uganda's hydro grid and the green transition.</w:t>
      </w:r>
    </w:p>
    <w:p>
      <w:pPr>
        <w:pStyle w:val="Heading2"/>
      </w:pPr>
      <w:r>
        <w:t>6.A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Raw materials</w:t>
            </w:r>
          </w:p>
        </w:tc>
        <w:tc>
          <w:tcPr>
            <w:tcW w:type="dxa" w:w="1881"/>
            <w:shd w:val="clear" w:color="auto" w:fill="EEF3F9"/>
          </w:tcPr>
          <w:p>
            <w:r>
              <w:rPr>
                <w:sz w:val="18"/>
              </w:rPr>
              <w:t>Steel, copper, aluminium, plastics, glass, rubber</w:t>
            </w:r>
          </w:p>
        </w:tc>
        <w:tc>
          <w:tcPr>
            <w:tcW w:type="dxa" w:w="1881"/>
            <w:shd w:val="clear" w:color="auto" w:fill="EEF3F9"/>
          </w:tcPr>
          <w:p>
            <w:r>
              <w:rPr>
                <w:sz w:val="18"/>
              </w:rPr>
              <w:t>Material inputs</w:t>
            </w:r>
          </w:p>
        </w:tc>
        <w:tc>
          <w:tcPr>
            <w:tcW w:type="dxa" w:w="1881"/>
            <w:shd w:val="clear" w:color="auto" w:fill="EEF3F9"/>
          </w:tcPr>
          <w:p>
            <w:r>
              <w:rPr>
                <w:b/>
                <w:sz w:val="18"/>
              </w:rPr>
              <w:t>Maturing</w:t>
            </w:r>
            <w:r>
              <w:rPr>
                <w:sz w:val="18"/>
              </w:rPr>
              <w:t xml:space="preserve"> (Ch.4–5)</w:t>
            </w:r>
          </w:p>
        </w:tc>
      </w:tr>
      <w:tr>
        <w:tc>
          <w:tcPr>
            <w:tcW w:type="dxa" w:w="1881"/>
            <w:shd w:val="clear" w:color="auto" w:fill="FFFFFF"/>
          </w:tcPr>
          <w:p>
            <w:r>
              <w:rPr>
                <w:sz w:val="18"/>
              </w:rPr>
              <w:t>II</w:t>
            </w:r>
          </w:p>
        </w:tc>
        <w:tc>
          <w:tcPr>
            <w:tcW w:type="dxa" w:w="1881"/>
            <w:shd w:val="clear" w:color="auto" w:fill="FFFFFF"/>
          </w:tcPr>
          <w:p>
            <w:r>
              <w:rPr>
                <w:sz w:val="18"/>
              </w:rPr>
              <w:t>Components</w:t>
            </w:r>
          </w:p>
        </w:tc>
        <w:tc>
          <w:tcPr>
            <w:tcW w:type="dxa" w:w="1881"/>
            <w:shd w:val="clear" w:color="auto" w:fill="FFFFFF"/>
          </w:tcPr>
          <w:p>
            <w:r>
              <w:rPr>
                <w:sz w:val="18"/>
              </w:rPr>
              <w:t>Materials</w:t>
            </w:r>
          </w:p>
        </w:tc>
        <w:tc>
          <w:tcPr>
            <w:tcW w:type="dxa" w:w="1881"/>
            <w:shd w:val="clear" w:color="auto" w:fill="FFFFFF"/>
          </w:tcPr>
          <w:p>
            <w:r>
              <w:rPr>
                <w:sz w:val="18"/>
              </w:rPr>
              <w:t>Body panels, frames, seats, wiring, batteries, tyres</w:t>
            </w:r>
          </w:p>
        </w:tc>
        <w:tc>
          <w:tcPr>
            <w:tcW w:type="dxa" w:w="1881"/>
            <w:shd w:val="clear" w:color="auto" w:fill="FFFFFF"/>
          </w:tcPr>
          <w:p>
            <w:r>
              <w:rPr>
                <w:b/>
                <w:sz w:val="18"/>
              </w:rPr>
              <w:t>Shallow</w:t>
            </w:r>
          </w:p>
        </w:tc>
      </w:tr>
      <w:tr>
        <w:tc>
          <w:tcPr>
            <w:tcW w:type="dxa" w:w="1881"/>
            <w:shd w:val="clear" w:color="auto" w:fill="EEF3F9"/>
          </w:tcPr>
          <w:p>
            <w:r>
              <w:rPr>
                <w:sz w:val="18"/>
              </w:rPr>
              <w:t>III</w:t>
            </w:r>
          </w:p>
        </w:tc>
        <w:tc>
          <w:tcPr>
            <w:tcW w:type="dxa" w:w="1881"/>
            <w:shd w:val="clear" w:color="auto" w:fill="EEF3F9"/>
          </w:tcPr>
          <w:p>
            <w:r>
              <w:rPr>
                <w:sz w:val="18"/>
              </w:rPr>
              <w:t>Assembly</w:t>
            </w:r>
          </w:p>
        </w:tc>
        <w:tc>
          <w:tcPr>
            <w:tcW w:type="dxa" w:w="1881"/>
            <w:shd w:val="clear" w:color="auto" w:fill="EEF3F9"/>
          </w:tcPr>
          <w:p>
            <w:r>
              <w:rPr>
                <w:sz w:val="18"/>
              </w:rPr>
              <w:t>Components / CKD–SKD kits</w:t>
            </w:r>
          </w:p>
        </w:tc>
        <w:tc>
          <w:tcPr>
            <w:tcW w:type="dxa" w:w="1881"/>
            <w:shd w:val="clear" w:color="auto" w:fill="EEF3F9"/>
          </w:tcPr>
          <w:p>
            <w:r>
              <w:rPr>
                <w:sz w:val="18"/>
              </w:rPr>
              <w:t>Vehicles, buses, motorcycles</w:t>
            </w:r>
          </w:p>
        </w:tc>
        <w:tc>
          <w:tcPr>
            <w:tcW w:type="dxa" w:w="1881"/>
            <w:shd w:val="clear" w:color="auto" w:fill="EEF3F9"/>
          </w:tcPr>
          <w:p>
            <w:r>
              <w:rPr>
                <w:b/>
                <w:sz w:val="18"/>
              </w:rPr>
              <w:t>Emerging</w:t>
            </w:r>
            <w:r>
              <w:rPr>
                <w:sz w:val="18"/>
              </w:rPr>
              <w:t xml:space="preserve"> (KMC; motorcycle assembly)</w:t>
            </w:r>
          </w:p>
        </w:tc>
      </w:tr>
      <w:tr>
        <w:tc>
          <w:tcPr>
            <w:tcW w:type="dxa" w:w="1881"/>
            <w:shd w:val="clear" w:color="auto" w:fill="FFFFFF"/>
          </w:tcPr>
          <w:p>
            <w:r>
              <w:rPr>
                <w:sz w:val="18"/>
              </w:rPr>
              <w:t>IV</w:t>
            </w:r>
          </w:p>
        </w:tc>
        <w:tc>
          <w:tcPr>
            <w:tcW w:type="dxa" w:w="1881"/>
            <w:shd w:val="clear" w:color="auto" w:fill="FFFFFF"/>
          </w:tcPr>
          <w:p>
            <w:r>
              <w:rPr>
                <w:sz w:val="18"/>
              </w:rPr>
              <w:t>Distribution &amp; sales</w:t>
            </w:r>
          </w:p>
        </w:tc>
        <w:tc>
          <w:tcPr>
            <w:tcW w:type="dxa" w:w="1881"/>
            <w:shd w:val="clear" w:color="auto" w:fill="FFFFFF"/>
          </w:tcPr>
          <w:p>
            <w:r>
              <w:rPr>
                <w:sz w:val="18"/>
              </w:rPr>
              <w:t>Vehicles</w:t>
            </w:r>
          </w:p>
        </w:tc>
        <w:tc>
          <w:tcPr>
            <w:tcW w:type="dxa" w:w="1881"/>
            <w:shd w:val="clear" w:color="auto" w:fill="FFFFFF"/>
          </w:tcPr>
          <w:p>
            <w:r>
              <w:rPr>
                <w:sz w:val="18"/>
              </w:rPr>
              <w:t>New &amp; used vehicle sales</w:t>
            </w:r>
          </w:p>
        </w:tc>
        <w:tc>
          <w:tcPr>
            <w:tcW w:type="dxa" w:w="1881"/>
            <w:shd w:val="clear" w:color="auto" w:fill="FFFFFF"/>
          </w:tcPr>
          <w:p>
            <w:r>
              <w:rPr>
                <w:b/>
                <w:sz w:val="18"/>
              </w:rPr>
              <w:t>Active</w:t>
            </w:r>
            <w:r>
              <w:rPr>
                <w:sz w:val="18"/>
              </w:rPr>
              <w:t xml:space="preserve"> — used-import dominated</w:t>
            </w:r>
          </w:p>
        </w:tc>
      </w:tr>
      <w:tr>
        <w:tc>
          <w:tcPr>
            <w:tcW w:type="dxa" w:w="1881"/>
            <w:shd w:val="clear" w:color="auto" w:fill="EEF3F9"/>
          </w:tcPr>
          <w:p>
            <w:r>
              <w:rPr>
                <w:sz w:val="18"/>
              </w:rPr>
              <w:t>V</w:t>
            </w:r>
          </w:p>
        </w:tc>
        <w:tc>
          <w:tcPr>
            <w:tcW w:type="dxa" w:w="1881"/>
            <w:shd w:val="clear" w:color="auto" w:fill="EEF3F9"/>
          </w:tcPr>
          <w:p>
            <w:r>
              <w:rPr>
                <w:sz w:val="18"/>
              </w:rPr>
              <w:t>After-market</w:t>
            </w:r>
          </w:p>
        </w:tc>
        <w:tc>
          <w:tcPr>
            <w:tcW w:type="dxa" w:w="1881"/>
            <w:shd w:val="clear" w:color="auto" w:fill="EEF3F9"/>
          </w:tcPr>
          <w:p>
            <w:r>
              <w:rPr>
                <w:sz w:val="18"/>
              </w:rPr>
              <w:t>Spare parts</w:t>
            </w:r>
          </w:p>
        </w:tc>
        <w:tc>
          <w:tcPr>
            <w:tcW w:type="dxa" w:w="1881"/>
            <w:shd w:val="clear" w:color="auto" w:fill="EEF3F9"/>
          </w:tcPr>
          <w:p>
            <w:r>
              <w:rPr>
                <w:sz w:val="18"/>
              </w:rPr>
              <w:t>Parts, service, repair</w:t>
            </w:r>
          </w:p>
        </w:tc>
        <w:tc>
          <w:tcPr>
            <w:tcW w:type="dxa" w:w="1881"/>
            <w:shd w:val="clear" w:color="auto" w:fill="EEF3F9"/>
          </w:tcPr>
          <w:p>
            <w:r>
              <w:rPr>
                <w:b/>
                <w:sz w:val="18"/>
              </w:rPr>
              <w:t>Active</w:t>
            </w:r>
            <w:r>
              <w:rPr>
                <w:sz w:val="18"/>
              </w:rPr>
              <w:t xml:space="preserve"> — import-based</w:t>
            </w:r>
          </w:p>
        </w:tc>
      </w:tr>
    </w:tbl>
    <w:p/>
    <w:p>
      <w:r>
        <w:rPr>
          <w:b/>
        </w:rPr>
        <w:t>Cross-chain linkage.</w:t>
      </w:r>
      <w:r>
        <w:t xml:space="preserve"> This is where Report 1's three chains connect: </w:t>
      </w:r>
      <w:r>
        <w:rPr>
          <w:b/>
        </w:rPr>
        <w:t>steel</w:t>
      </w:r>
      <w:r>
        <w:t xml:space="preserve"> and </w:t>
      </w:r>
      <w:r>
        <w:rPr>
          <w:b/>
        </w:rPr>
        <w:t>copper/wiring</w:t>
      </w:r>
      <w:r>
        <w:t xml:space="preserve"> are direct inputs to vehicle manufacture. KMC's bus programme alone is projected to need </w:t>
      </w:r>
      <w:r>
        <w:rPr>
          <w:b/>
        </w:rPr>
        <w:t>~37,300 tonnes of steel for bus frames by 2027/28</w:t>
      </w:r>
      <w:r>
        <w:t xml:space="preserve"> (NPA/UDC, 2025) — demand that, if met domestically, pulls the steel chain forward.</w:t>
      </w:r>
    </w:p>
    <w:p>
      <w:r>
        <w:rPr>
          <w:b/>
        </w:rPr>
        <w:t>Where value is captured and lost.</w:t>
      </w:r>
      <w:r>
        <w:t xml:space="preserve"> The market is met mainly by </w:t>
      </w:r>
      <w:r>
        <w:rPr>
          <w:b/>
        </w:rPr>
        <w:t>imported used vehicles</w:t>
      </w:r>
      <w:r>
        <w:t xml:space="preserve">: in 2024 Uganda imported </w:t>
      </w:r>
      <w:r>
        <w:rPr>
          <w:b/>
        </w:rPr>
        <w:t>USD 298.4m of motor cars (HS 8703), USD 169.9m of goods vehicles (HS 8704), USD 157.1m of motorcycles (HS 8711)</w:t>
      </w:r>
      <w:r>
        <w:t xml:space="preserve">, plus </w:t>
      </w:r>
      <w:r>
        <w:rPr>
          <w:b/>
        </w:rPr>
        <w:t>USD 31.7m of parts and accessories (HS 8708)</w:t>
      </w:r>
      <w:r>
        <w:t xml:space="preserve"> (ITC TradeMap, 2024) — over </w:t>
      </w:r>
      <w:r>
        <w:rPr>
          <w:b/>
        </w:rPr>
        <w:t>USD 650 million a year</w:t>
      </w:r>
      <w:r>
        <w:t xml:space="preserve">, with roughly </w:t>
      </w:r>
      <w:r>
        <w:rPr>
          <w:b/>
        </w:rPr>
        <w:t>48,700 used vehicles</w:t>
      </w:r>
      <w:r>
        <w:t xml:space="preserve"> imported annually (Mobility Foresights). Almost all value is captured offshore.</w:t>
      </w:r>
    </w:p>
    <w:p>
      <w:pPr>
        <w:pStyle w:val="Heading2"/>
      </w:pPr>
      <w:r>
        <w:t>6.B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Flagship plant</w:t>
            </w:r>
          </w:p>
        </w:tc>
        <w:tc>
          <w:tcPr>
            <w:tcW w:type="dxa" w:w="3135"/>
            <w:shd w:val="clear" w:color="auto" w:fill="EEF3F9"/>
          </w:tcPr>
          <w:p>
            <w:r>
              <w:rPr>
                <w:sz w:val="18"/>
              </w:rPr>
              <w:t xml:space="preserve">Kiira Vehicle Plant, Jinja — </w:t>
            </w:r>
            <w:r>
              <w:rPr>
                <w:b/>
                <w:sz w:val="18"/>
              </w:rPr>
              <w:t>commissioned 27 Sep 2025</w:t>
            </w:r>
          </w:p>
        </w:tc>
        <w:tc>
          <w:tcPr>
            <w:tcW w:type="dxa" w:w="3135"/>
            <w:shd w:val="clear" w:color="auto" w:fill="EEF3F9"/>
          </w:tcPr>
          <w:p>
            <w:r>
              <w:rPr>
                <w:sz w:val="18"/>
              </w:rPr>
              <w:t>UBC 2025; KMC</w:t>
            </w:r>
          </w:p>
        </w:tc>
      </w:tr>
      <w:tr>
        <w:tc>
          <w:tcPr>
            <w:tcW w:type="dxa" w:w="3135"/>
            <w:shd w:val="clear" w:color="auto" w:fill="FFFFFF"/>
          </w:tcPr>
          <w:p>
            <w:r>
              <w:rPr>
                <w:sz w:val="18"/>
              </w:rPr>
              <w:t>Installed capacity</w:t>
            </w:r>
          </w:p>
        </w:tc>
        <w:tc>
          <w:tcPr>
            <w:tcW w:type="dxa" w:w="3135"/>
            <w:shd w:val="clear" w:color="auto" w:fill="FFFFFF"/>
          </w:tcPr>
          <w:p>
            <w:r>
              <w:rPr>
                <w:b/>
                <w:sz w:val="18"/>
              </w:rPr>
              <w:t>~2,500 vehicles/yr</w:t>
            </w:r>
            <w:r>
              <w:rPr>
                <w:sz w:val="18"/>
              </w:rPr>
              <w:t xml:space="preserve">, targeting </w:t>
            </w:r>
            <w:r>
              <w:rPr>
                <w:b/>
                <w:sz w:val="18"/>
              </w:rPr>
              <w:t>10,000</w:t>
            </w:r>
            <w:r>
              <w:rPr>
                <w:sz w:val="18"/>
              </w:rPr>
              <w:t xml:space="preserve"> medium-term</w:t>
            </w:r>
          </w:p>
        </w:tc>
        <w:tc>
          <w:tcPr>
            <w:tcW w:type="dxa" w:w="3135"/>
            <w:shd w:val="clear" w:color="auto" w:fill="FFFFFF"/>
          </w:tcPr>
          <w:p>
            <w:r>
              <w:rPr>
                <w:sz w:val="18"/>
              </w:rPr>
              <w:t>KMC</w:t>
            </w:r>
          </w:p>
        </w:tc>
      </w:tr>
      <w:tr>
        <w:tc>
          <w:tcPr>
            <w:tcW w:type="dxa" w:w="3135"/>
            <w:shd w:val="clear" w:color="auto" w:fill="EEF3F9"/>
          </w:tcPr>
          <w:p>
            <w:r>
              <w:rPr>
                <w:sz w:val="18"/>
              </w:rPr>
              <w:t>Built at commissioning</w:t>
            </w:r>
          </w:p>
        </w:tc>
        <w:tc>
          <w:tcPr>
            <w:tcW w:type="dxa" w:w="3135"/>
            <w:shd w:val="clear" w:color="auto" w:fill="EEF3F9"/>
          </w:tcPr>
          <w:p>
            <w:r>
              <w:rPr>
                <w:sz w:val="18"/>
              </w:rPr>
              <w:t>37 electric vehicles + 27 diesel buses</w:t>
            </w:r>
          </w:p>
        </w:tc>
        <w:tc>
          <w:tcPr>
            <w:tcW w:type="dxa" w:w="3135"/>
            <w:shd w:val="clear" w:color="auto" w:fill="EEF3F9"/>
          </w:tcPr>
          <w:p>
            <w:r>
              <w:rPr>
                <w:sz w:val="18"/>
              </w:rPr>
              <w:t>KMC</w:t>
            </w:r>
          </w:p>
        </w:tc>
      </w:tr>
      <w:tr>
        <w:tc>
          <w:tcPr>
            <w:tcW w:type="dxa" w:w="3135"/>
            <w:shd w:val="clear" w:color="auto" w:fill="FFFFFF"/>
          </w:tcPr>
          <w:p>
            <w:r>
              <w:rPr>
                <w:sz w:val="18"/>
              </w:rPr>
              <w:t>KMC financing gap</w:t>
            </w:r>
          </w:p>
        </w:tc>
        <w:tc>
          <w:tcPr>
            <w:tcW w:type="dxa" w:w="3135"/>
            <w:shd w:val="clear" w:color="auto" w:fill="FFFFFF"/>
          </w:tcPr>
          <w:p>
            <w:r>
              <w:rPr>
                <w:sz w:val="18"/>
              </w:rPr>
              <w:t>~UGX 50bn (FY2025/26 scale-up)</w:t>
            </w:r>
          </w:p>
        </w:tc>
        <w:tc>
          <w:tcPr>
            <w:tcW w:type="dxa" w:w="3135"/>
            <w:shd w:val="clear" w:color="auto" w:fill="FFFFFF"/>
          </w:tcPr>
          <w:p>
            <w:r>
              <w:rPr>
                <w:sz w:val="18"/>
              </w:rPr>
              <w:t>KMC</w:t>
            </w:r>
          </w:p>
        </w:tc>
      </w:tr>
      <w:tr>
        <w:tc>
          <w:tcPr>
            <w:tcW w:type="dxa" w:w="3135"/>
            <w:shd w:val="clear" w:color="auto" w:fill="EEF3F9"/>
          </w:tcPr>
          <w:p>
            <w:r>
              <w:rPr>
                <w:sz w:val="18"/>
              </w:rPr>
              <w:t>Vehicle + parts imports</w:t>
            </w:r>
          </w:p>
        </w:tc>
        <w:tc>
          <w:tcPr>
            <w:tcW w:type="dxa" w:w="3135"/>
            <w:shd w:val="clear" w:color="auto" w:fill="EEF3F9"/>
          </w:tcPr>
          <w:p>
            <w:r>
              <w:rPr>
                <w:b/>
                <w:sz w:val="18"/>
              </w:rPr>
              <w:t>&gt; USD 650m/yr</w:t>
            </w:r>
          </w:p>
        </w:tc>
        <w:tc>
          <w:tcPr>
            <w:tcW w:type="dxa" w:w="3135"/>
            <w:shd w:val="clear" w:color="auto" w:fill="EEF3F9"/>
          </w:tcPr>
          <w:p>
            <w:r>
              <w:rPr>
                <w:sz w:val="18"/>
              </w:rPr>
              <w:t>ITC TradeMap 2024</w:t>
            </w:r>
          </w:p>
        </w:tc>
      </w:tr>
      <w:tr>
        <w:tc>
          <w:tcPr>
            <w:tcW w:type="dxa" w:w="3135"/>
            <w:shd w:val="clear" w:color="auto" w:fill="FFFFFF"/>
          </w:tcPr>
          <w:p>
            <w:r>
              <w:rPr>
                <w:sz w:val="18"/>
              </w:rPr>
              <w:t>Used vehicles imported</w:t>
            </w:r>
          </w:p>
        </w:tc>
        <w:tc>
          <w:tcPr>
            <w:tcW w:type="dxa" w:w="3135"/>
            <w:shd w:val="clear" w:color="auto" w:fill="FFFFFF"/>
          </w:tcPr>
          <w:p>
            <w:r>
              <w:rPr>
                <w:sz w:val="18"/>
              </w:rPr>
              <w:t>~48,700/yr</w:t>
            </w:r>
          </w:p>
        </w:tc>
        <w:tc>
          <w:tcPr>
            <w:tcW w:type="dxa" w:w="3135"/>
            <w:shd w:val="clear" w:color="auto" w:fill="FFFFFF"/>
          </w:tcPr>
          <w:p>
            <w:r>
              <w:rPr>
                <w:sz w:val="18"/>
              </w:rPr>
              <w:t>Mobility Foresights</w:t>
            </w:r>
          </w:p>
        </w:tc>
      </w:tr>
    </w:tbl>
    <w:p/>
    <w:p>
      <w:pPr>
        <w:pStyle w:val="Heading3"/>
      </w:pPr>
      <w:r>
        <w:t>Companies and segments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Player</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Note</w:t>
            </w:r>
          </w:p>
        </w:tc>
      </w:tr>
      <w:tr>
        <w:tc>
          <w:tcPr>
            <w:tcW w:type="dxa" w:w="2351"/>
            <w:shd w:val="clear" w:color="auto" w:fill="EEF3F9"/>
          </w:tcPr>
          <w:p>
            <w:r>
              <w:rPr>
                <w:b/>
                <w:sz w:val="18"/>
              </w:rPr>
              <w:t>Kiira Motors Corporation (KMC)</w:t>
            </w:r>
          </w:p>
        </w:tc>
        <w:tc>
          <w:tcPr>
            <w:tcW w:type="dxa" w:w="2351"/>
            <w:shd w:val="clear" w:color="auto" w:fill="EEF3F9"/>
          </w:tcPr>
          <w:p>
            <w:r>
              <w:rPr>
                <w:sz w:val="18"/>
              </w:rPr>
              <w:t>Jinja (Kiira Vehicle Plant)</w:t>
            </w:r>
          </w:p>
        </w:tc>
        <w:tc>
          <w:tcPr>
            <w:tcW w:type="dxa" w:w="2351"/>
            <w:shd w:val="clear" w:color="auto" w:fill="EEF3F9"/>
          </w:tcPr>
          <w:p>
            <w:r>
              <w:rPr>
                <w:sz w:val="18"/>
              </w:rPr>
              <w:t>Bus/EV assembly</w:t>
            </w:r>
          </w:p>
        </w:tc>
        <w:tc>
          <w:tcPr>
            <w:tcW w:type="dxa" w:w="2351"/>
            <w:shd w:val="clear" w:color="auto" w:fill="EEF3F9"/>
          </w:tcPr>
          <w:p>
            <w:r>
              <w:rPr>
                <w:sz w:val="18"/>
              </w:rPr>
              <w:t>State-anchored flagship; Kayoola EV buses</w:t>
            </w:r>
          </w:p>
        </w:tc>
      </w:tr>
      <w:tr>
        <w:tc>
          <w:tcPr>
            <w:tcW w:type="dxa" w:w="2351"/>
            <w:shd w:val="clear" w:color="auto" w:fill="FFFFFF"/>
          </w:tcPr>
          <w:p>
            <w:r>
              <w:rPr>
                <w:sz w:val="18"/>
              </w:rPr>
              <w:t>Motorcycle assemblers (Bajaj, TVS kits)</w:t>
            </w:r>
          </w:p>
        </w:tc>
        <w:tc>
          <w:tcPr>
            <w:tcW w:type="dxa" w:w="2351"/>
            <w:shd w:val="clear" w:color="auto" w:fill="FFFFFF"/>
          </w:tcPr>
          <w:p>
            <w:r>
              <w:rPr>
                <w:sz w:val="18"/>
              </w:rPr>
              <w:t>Kampala area</w:t>
            </w:r>
          </w:p>
        </w:tc>
        <w:tc>
          <w:tcPr>
            <w:tcW w:type="dxa" w:w="2351"/>
            <w:shd w:val="clear" w:color="auto" w:fill="FFFFFF"/>
          </w:tcPr>
          <w:p>
            <w:r>
              <w:rPr>
                <w:sz w:val="18"/>
              </w:rPr>
              <w:t>CKD/SKD motorcycle assembly</w:t>
            </w:r>
          </w:p>
        </w:tc>
        <w:tc>
          <w:tcPr>
            <w:tcW w:type="dxa" w:w="2351"/>
            <w:shd w:val="clear" w:color="auto" w:fill="FFFFFF"/>
          </w:tcPr>
          <w:p>
            <w:r>
              <w:rPr>
                <w:sz w:val="18"/>
              </w:rPr>
              <w:t>Serve the dominant boda-boda market</w:t>
            </w:r>
          </w:p>
        </w:tc>
      </w:tr>
      <w:tr>
        <w:tc>
          <w:tcPr>
            <w:tcW w:type="dxa" w:w="2351"/>
            <w:shd w:val="clear" w:color="auto" w:fill="EEF3F9"/>
          </w:tcPr>
          <w:p>
            <w:r>
              <w:rPr>
                <w:sz w:val="18"/>
              </w:rPr>
              <w:t>Bus/truck body fabricators</w:t>
            </w:r>
          </w:p>
        </w:tc>
        <w:tc>
          <w:tcPr>
            <w:tcW w:type="dxa" w:w="2351"/>
            <w:shd w:val="clear" w:color="auto" w:fill="EEF3F9"/>
          </w:tcPr>
          <w:p>
            <w:r>
              <w:rPr>
                <w:sz w:val="18"/>
              </w:rPr>
              <w:t>Kampala/Jinja</w:t>
            </w:r>
          </w:p>
        </w:tc>
        <w:tc>
          <w:tcPr>
            <w:tcW w:type="dxa" w:w="2351"/>
            <w:shd w:val="clear" w:color="auto" w:fill="EEF3F9"/>
          </w:tcPr>
          <w:p>
            <w:r>
              <w:rPr>
                <w:sz w:val="18"/>
              </w:rPr>
              <w:t>Bodies on imported chassis</w:t>
            </w:r>
          </w:p>
        </w:tc>
        <w:tc>
          <w:tcPr>
            <w:tcW w:type="dxa" w:w="2351"/>
            <w:shd w:val="clear" w:color="auto" w:fill="EEF3F9"/>
          </w:tcPr>
          <w:p>
            <w:r>
              <w:rPr>
                <w:sz w:val="18"/>
              </w:rPr>
              <w:t>Established base</w:t>
            </w:r>
          </w:p>
        </w:tc>
      </w:tr>
      <w:tr>
        <w:tc>
          <w:tcPr>
            <w:tcW w:type="dxa" w:w="2351"/>
            <w:shd w:val="clear" w:color="auto" w:fill="FFFFFF"/>
          </w:tcPr>
          <w:p>
            <w:r>
              <w:rPr>
                <w:sz w:val="18"/>
              </w:rPr>
              <w:t>After-market parts cluster (Ndeeba, Kisekka)</w:t>
            </w:r>
          </w:p>
        </w:tc>
        <w:tc>
          <w:tcPr>
            <w:tcW w:type="dxa" w:w="2351"/>
            <w:shd w:val="clear" w:color="auto" w:fill="FFFFFF"/>
          </w:tcPr>
          <w:p>
            <w:r>
              <w:rPr>
                <w:sz w:val="18"/>
              </w:rPr>
              <w:t>Kampala</w:t>
            </w:r>
          </w:p>
        </w:tc>
        <w:tc>
          <w:tcPr>
            <w:tcW w:type="dxa" w:w="2351"/>
            <w:shd w:val="clear" w:color="auto" w:fill="FFFFFF"/>
          </w:tcPr>
          <w:p>
            <w:r>
              <w:rPr>
                <w:sz w:val="18"/>
              </w:rPr>
              <w:t>Spare parts trade/repair</w:t>
            </w:r>
          </w:p>
        </w:tc>
        <w:tc>
          <w:tcPr>
            <w:tcW w:type="dxa" w:w="2351"/>
            <w:shd w:val="clear" w:color="auto" w:fill="FFFFFF"/>
          </w:tcPr>
          <w:p>
            <w:r>
              <w:rPr>
                <w:sz w:val="18"/>
              </w:rPr>
              <w:t>Large, import-based</w:t>
            </w:r>
          </w:p>
        </w:tc>
      </w:tr>
    </w:tbl>
    <w:p/>
    <w:p>
      <w:r>
        <w:rPr>
          <w:b/>
        </w:rP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Trend</w:t>
            </w:r>
          </w:p>
        </w:tc>
        <w:tc>
          <w:tcPr>
            <w:tcW w:type="dxa" w:w="2351"/>
            <w:shd w:val="clear" w:color="auto" w:fill="002B5B"/>
          </w:tcPr>
          <w:p>
            <w:r>
              <w:rPr>
                <w:b/>
                <w:color w:val="FFFFFF"/>
                <w:sz w:val="18"/>
              </w:rPr>
              <w:t>Reading</w:t>
            </w:r>
          </w:p>
        </w:tc>
      </w:tr>
      <w:tr>
        <w:tc>
          <w:tcPr>
            <w:tcW w:type="dxa" w:w="2351"/>
            <w:shd w:val="clear" w:color="auto" w:fill="EEF3F9"/>
          </w:tcPr>
          <w:p>
            <w:r>
              <w:rPr>
                <w:sz w:val="18"/>
              </w:rPr>
              <w:t>Motor cars (8703)</w:t>
            </w:r>
          </w:p>
        </w:tc>
        <w:tc>
          <w:tcPr>
            <w:tcW w:type="dxa" w:w="2351"/>
            <w:shd w:val="clear" w:color="auto" w:fill="EEF3F9"/>
          </w:tcPr>
          <w:p>
            <w:r>
              <w:rPr>
                <w:sz w:val="18"/>
              </w:rPr>
              <w:t>USD 298.4m</w:t>
            </w:r>
          </w:p>
        </w:tc>
        <w:tc>
          <w:tcPr>
            <w:tcW w:type="dxa" w:w="2351"/>
            <w:shd w:val="clear" w:color="auto" w:fill="EEF3F9"/>
          </w:tcPr>
          <w:p>
            <w:r>
              <w:rPr>
                <w:sz w:val="18"/>
              </w:rPr>
              <w:t>Rising (281m in 2023)</w:t>
            </w:r>
          </w:p>
        </w:tc>
        <w:tc>
          <w:tcPr>
            <w:tcW w:type="dxa" w:w="2351"/>
            <w:shd w:val="clear" w:color="auto" w:fill="EEF3F9"/>
          </w:tcPr>
          <w:p>
            <w:r>
              <w:rPr>
                <w:sz w:val="18"/>
              </w:rPr>
              <w:t>Used-import dominated</w:t>
            </w:r>
          </w:p>
        </w:tc>
      </w:tr>
      <w:tr>
        <w:tc>
          <w:tcPr>
            <w:tcW w:type="dxa" w:w="2351"/>
            <w:shd w:val="clear" w:color="auto" w:fill="FFFFFF"/>
          </w:tcPr>
          <w:p>
            <w:r>
              <w:rPr>
                <w:sz w:val="18"/>
              </w:rPr>
              <w:t>Goods vehicles (8704)</w:t>
            </w:r>
          </w:p>
        </w:tc>
        <w:tc>
          <w:tcPr>
            <w:tcW w:type="dxa" w:w="2351"/>
            <w:shd w:val="clear" w:color="auto" w:fill="FFFFFF"/>
          </w:tcPr>
          <w:p>
            <w:r>
              <w:rPr>
                <w:sz w:val="18"/>
              </w:rPr>
              <w:t>USD 169.9m</w:t>
            </w:r>
          </w:p>
        </w:tc>
        <w:tc>
          <w:tcPr>
            <w:tcW w:type="dxa" w:w="2351"/>
            <w:shd w:val="clear" w:color="auto" w:fill="FFFFFF"/>
          </w:tcPr>
          <w:p>
            <w:r>
              <w:rPr>
                <w:sz w:val="18"/>
              </w:rPr>
              <w:t>High</w:t>
            </w:r>
          </w:p>
        </w:tc>
        <w:tc>
          <w:tcPr>
            <w:tcW w:type="dxa" w:w="2351"/>
            <w:shd w:val="clear" w:color="auto" w:fill="FFFFFF"/>
          </w:tcPr>
          <w:p>
            <w:r>
              <w:rPr>
                <w:sz w:val="18"/>
              </w:rPr>
              <w:t>Trucks/pickups, largely used</w:t>
            </w:r>
          </w:p>
        </w:tc>
      </w:tr>
      <w:tr>
        <w:tc>
          <w:tcPr>
            <w:tcW w:type="dxa" w:w="2351"/>
            <w:shd w:val="clear" w:color="auto" w:fill="EEF3F9"/>
          </w:tcPr>
          <w:p>
            <w:r>
              <w:rPr>
                <w:sz w:val="18"/>
              </w:rPr>
              <w:t>Motorcycles (8711)</w:t>
            </w:r>
          </w:p>
        </w:tc>
        <w:tc>
          <w:tcPr>
            <w:tcW w:type="dxa" w:w="2351"/>
            <w:shd w:val="clear" w:color="auto" w:fill="EEF3F9"/>
          </w:tcPr>
          <w:p>
            <w:r>
              <w:rPr>
                <w:sz w:val="18"/>
              </w:rPr>
              <w:t>USD 157.1m</w:t>
            </w:r>
          </w:p>
        </w:tc>
        <w:tc>
          <w:tcPr>
            <w:tcW w:type="dxa" w:w="2351"/>
            <w:shd w:val="clear" w:color="auto" w:fill="EEF3F9"/>
          </w:tcPr>
          <w:p>
            <w:r>
              <w:rPr>
                <w:sz w:val="18"/>
              </w:rPr>
              <w:t>Rising</w:t>
            </w:r>
          </w:p>
        </w:tc>
        <w:tc>
          <w:tcPr>
            <w:tcW w:type="dxa" w:w="2351"/>
            <w:shd w:val="clear" w:color="auto" w:fill="EEF3F9"/>
          </w:tcPr>
          <w:p>
            <w:r>
              <w:rPr>
                <w:sz w:val="18"/>
              </w:rPr>
              <w:t>Boda-boda market; CKD assembly opportunity</w:t>
            </w:r>
          </w:p>
        </w:tc>
      </w:tr>
      <w:tr>
        <w:tc>
          <w:tcPr>
            <w:tcW w:type="dxa" w:w="2351"/>
            <w:shd w:val="clear" w:color="auto" w:fill="FFFFFF"/>
          </w:tcPr>
          <w:p>
            <w:r>
              <w:rPr>
                <w:sz w:val="18"/>
              </w:rPr>
              <w:t>Parts &amp; accessories (8708)</w:t>
            </w:r>
          </w:p>
        </w:tc>
        <w:tc>
          <w:tcPr>
            <w:tcW w:type="dxa" w:w="2351"/>
            <w:shd w:val="clear" w:color="auto" w:fill="FFFFFF"/>
          </w:tcPr>
          <w:p>
            <w:r>
              <w:rPr>
                <w:sz w:val="18"/>
              </w:rPr>
              <w:t>USD 31.7m</w:t>
            </w:r>
          </w:p>
        </w:tc>
        <w:tc>
          <w:tcPr>
            <w:tcW w:type="dxa" w:w="2351"/>
            <w:shd w:val="clear" w:color="auto" w:fill="FFFFFF"/>
          </w:tcPr>
          <w:p>
            <w:r>
              <w:rPr>
                <w:sz w:val="18"/>
              </w:rPr>
              <w:t>Rising</w:t>
            </w:r>
          </w:p>
        </w:tc>
        <w:tc>
          <w:tcPr>
            <w:tcW w:type="dxa" w:w="2351"/>
            <w:shd w:val="clear" w:color="auto" w:fill="FFFFFF"/>
          </w:tcPr>
          <w:p>
            <w:r>
              <w:rPr>
                <w:sz w:val="18"/>
              </w:rPr>
              <w:t>After-market; localisation opportunity</w:t>
            </w:r>
          </w:p>
        </w:tc>
      </w:tr>
    </w:tbl>
    <w:p/>
    <w:p>
      <w:r>
        <w:t xml:space="preserve">Exports are negligible — Uganda is overwhelmingly a </w:t>
      </w:r>
      <w:r>
        <w:rPr>
          <w:b/>
        </w:rPr>
        <w:t>vehicle-importing market</w:t>
      </w:r>
      <w:r>
        <w:t>, which is precisely the substitution and assembly opportunity KMC and motorcycle assemblers target.</w:t>
      </w:r>
    </w:p>
    <w:p>
      <w:pPr>
        <w:pStyle w:val="Heading2"/>
      </w:pPr>
      <w:r>
        <w:t>6.C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&gt;USD 650m/yr imports; ~48,700 used vehicles/yr; public-fleet &amp; institutional demand addressable by KMC</w:t>
            </w:r>
          </w:p>
        </w:tc>
        <w:tc>
          <w:tcPr>
            <w:tcW w:type="dxa" w:w="3135"/>
            <w:shd w:val="clear" w:color="auto" w:fill="EEF3F9"/>
          </w:tcPr>
          <w:p>
            <w:r>
              <w:rPr>
                <w:sz w:val="18"/>
              </w:rPr>
              <w:t>Population, urbanisation, public transport, boda economy</w:t>
            </w:r>
          </w:p>
        </w:tc>
      </w:tr>
      <w:tr>
        <w:tc>
          <w:tcPr>
            <w:tcW w:type="dxa" w:w="3135"/>
            <w:shd w:val="clear" w:color="auto" w:fill="FFFFFF"/>
          </w:tcPr>
          <w:p>
            <w:r>
              <w:rPr>
                <w:b/>
                <w:sz w:val="18"/>
              </w:rPr>
              <w:t>Regional (EAC + COMESA)</w:t>
            </w:r>
          </w:p>
        </w:tc>
        <w:tc>
          <w:tcPr>
            <w:tcW w:type="dxa" w:w="3135"/>
            <w:shd w:val="clear" w:color="auto" w:fill="FFFFFF"/>
          </w:tcPr>
          <w:p>
            <w:r>
              <w:rPr>
                <w:sz w:val="18"/>
              </w:rPr>
              <w:t>KMC signals regional ambition (incl. EV-bus interest); EAC market for buses/commercial vehicles is real</w:t>
            </w:r>
          </w:p>
        </w:tc>
        <w:tc>
          <w:tcPr>
            <w:tcW w:type="dxa" w:w="3135"/>
            <w:shd w:val="clear" w:color="auto" w:fill="FFFFFF"/>
          </w:tcPr>
          <w:p>
            <w:r>
              <w:rPr>
                <w:sz w:val="18"/>
              </w:rPr>
              <w:t>Regional transport demand; a differentiated "made-in-Uganda" EV bus</w:t>
            </w:r>
          </w:p>
        </w:tc>
      </w:tr>
      <w:tr>
        <w:tc>
          <w:tcPr>
            <w:tcW w:type="dxa" w:w="3135"/>
            <w:shd w:val="clear" w:color="auto" w:fill="EEF3F9"/>
          </w:tcPr>
          <w:p>
            <w:r>
              <w:rPr>
                <w:b/>
                <w:sz w:val="18"/>
              </w:rPr>
              <w:t>Continental (Africa)</w:t>
            </w:r>
          </w:p>
        </w:tc>
        <w:tc>
          <w:tcPr>
            <w:tcW w:type="dxa" w:w="3135"/>
            <w:shd w:val="clear" w:color="auto" w:fill="EEF3F9"/>
          </w:tcPr>
          <w:p>
            <w:r>
              <w:rPr>
                <w:sz w:val="18"/>
              </w:rPr>
              <w:t>Large vehicle-import market; AfCFTA opens assembly/parts access</w:t>
            </w:r>
          </w:p>
        </w:tc>
        <w:tc>
          <w:tcPr>
            <w:tcW w:type="dxa" w:w="3135"/>
            <w:shd w:val="clear" w:color="auto" w:fill="EEF3F9"/>
          </w:tcPr>
          <w:p>
            <w:r>
              <w:rPr>
                <w:sz w:val="18"/>
              </w:rPr>
              <w:t>Africa's young, motorising population</w:t>
            </w:r>
          </w:p>
        </w:tc>
      </w:tr>
      <w:tr>
        <w:tc>
          <w:tcPr>
            <w:tcW w:type="dxa" w:w="3135"/>
            <w:shd w:val="clear" w:color="auto" w:fill="FFFFFF"/>
          </w:tcPr>
          <w:p>
            <w:r>
              <w:rPr>
                <w:b/>
                <w:sz w:val="18"/>
              </w:rPr>
              <w:t>Global</w:t>
            </w:r>
          </w:p>
        </w:tc>
        <w:tc>
          <w:tcPr>
            <w:tcW w:type="dxa" w:w="3135"/>
            <w:shd w:val="clear" w:color="auto" w:fill="FFFFFF"/>
          </w:tcPr>
          <w:p>
            <w:r>
              <w:rPr>
                <w:sz w:val="18"/>
              </w:rPr>
              <w:t>Not accessible for finished vehicles medium-term; scale-driven</w:t>
            </w:r>
          </w:p>
        </w:tc>
        <w:tc>
          <w:tcPr>
            <w:tcW w:type="dxa" w:w="3135"/>
            <w:shd w:val="clear" w:color="auto" w:fill="FFFFFF"/>
          </w:tcPr>
          <w:p>
            <w:r>
              <w:rPr>
                <w:sz w:val="18"/>
              </w:rPr>
              <w:t>—</w:t>
            </w:r>
          </w:p>
        </w:tc>
      </w:tr>
    </w:tbl>
    <w:p/>
    <w:p>
      <w:pPr>
        <w:pStyle w:val="Heading3"/>
      </w:pPr>
      <w:r>
        <w:t>2040 projection — Tenfold logic</w:t>
      </w:r>
    </w:p>
    <w:p>
      <w:r>
        <w:t xml:space="preserve">Motorisation rises steeply with income. A ten-times-larger, urbanising economy implies a </w:t>
      </w:r>
      <w:r>
        <w:rPr>
          <w:b/>
        </w:rPr>
        <w:t>multi-fold increase in vehicle and mobility demand by 2040</w:t>
      </w:r>
      <w:r>
        <w:t xml:space="preserve"> — buses for mass transit, commercial vehicles for goods, and motorcycles for the boda economy. The strategic choice is whether that demand is met by </w:t>
      </w:r>
      <w:r>
        <w:rPr>
          <w:b/>
        </w:rPr>
        <w:t>imports (today's USD 650m+ leak, scaling up)</w:t>
      </w:r>
      <w:r>
        <w:t xml:space="preserve"> or by </w:t>
      </w:r>
      <w:r>
        <w:rPr>
          <w:b/>
        </w:rPr>
        <w:t>domestic assembly and parts</w:t>
      </w:r>
      <w:r>
        <w:t xml:space="preserve">. The tenfold ambition argues for building assembly capacity (buses/EV, motorcycles) and parts localisation ahead of the demand curve, anchored by public-fleet procurement. Other markets grow on business-as-usual motorisation; Uganda's realistic external play is </w:t>
      </w:r>
      <w:r>
        <w:rPr>
          <w:b/>
        </w:rPr>
        <w:t>regional EV-bus and motorcycle</w:t>
      </w:r>
      <w:r>
        <w:t xml:space="preserve"> supply, not global vehicle export.</w:t>
      </w:r>
    </w:p>
    <w:p>
      <w:pPr>
        <w:pStyle w:val="Heading2"/>
      </w:pPr>
      <w:r>
        <w:t>6.D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Finance / capital for scale-up (finance)</w:t>
            </w:r>
          </w:p>
        </w:tc>
        <w:tc>
          <w:tcPr>
            <w:tcW w:type="dxa" w:w="2351"/>
            <w:shd w:val="clear" w:color="auto" w:fill="EEF3F9"/>
          </w:tcPr>
          <w:p>
            <w:r>
              <w:rPr>
                <w:b/>
                <w:sz w:val="18"/>
              </w:rPr>
              <w:t>5</w:t>
            </w:r>
          </w:p>
        </w:tc>
        <w:tc>
          <w:tcPr>
            <w:tcW w:type="dxa" w:w="2351"/>
            <w:shd w:val="clear" w:color="auto" w:fill="EEF3F9"/>
          </w:tcPr>
          <w:p>
            <w:r>
              <w:rPr>
                <w:sz w:val="18"/>
              </w:rPr>
              <w:t>The binding constraint: KMC's ~UGX 50bn FY25/26 gap; tooling and working capital scarce and costly</w:t>
            </w:r>
          </w:p>
        </w:tc>
      </w:tr>
      <w:tr>
        <w:tc>
          <w:tcPr>
            <w:tcW w:type="dxa" w:w="2351"/>
            <w:shd w:val="clear" w:color="auto" w:fill="FFFFFF"/>
          </w:tcPr>
          <w:p>
            <w:r>
              <w:rPr>
                <w:sz w:val="18"/>
              </w:rPr>
              <w:t>2</w:t>
            </w:r>
          </w:p>
        </w:tc>
        <w:tc>
          <w:tcPr>
            <w:tcW w:type="dxa" w:w="2351"/>
            <w:shd w:val="clear" w:color="auto" w:fill="FFFFFF"/>
          </w:tcPr>
          <w:p>
            <w:r>
              <w:rPr>
                <w:b/>
                <w:sz w:val="18"/>
              </w:rPr>
              <w:t>Shallow local content / components (inputs)</w:t>
            </w:r>
          </w:p>
        </w:tc>
        <w:tc>
          <w:tcPr>
            <w:tcW w:type="dxa" w:w="2351"/>
            <w:shd w:val="clear" w:color="auto" w:fill="FFFFFF"/>
          </w:tcPr>
          <w:p>
            <w:r>
              <w:rPr>
                <w:b/>
                <w:sz w:val="18"/>
              </w:rPr>
              <w:t>4</w:t>
            </w:r>
          </w:p>
        </w:tc>
        <w:tc>
          <w:tcPr>
            <w:tcW w:type="dxa" w:w="2351"/>
            <w:shd w:val="clear" w:color="auto" w:fill="FFFFFF"/>
          </w:tcPr>
          <w:p>
            <w:r>
              <w:rPr>
                <w:sz w:val="18"/>
              </w:rPr>
              <w:t>Depends on imported CKD/SKD kits and components; domestic steel/copper still maturing (Ch.4–5); low local content</w:t>
            </w:r>
          </w:p>
        </w:tc>
      </w:tr>
      <w:tr>
        <w:tc>
          <w:tcPr>
            <w:tcW w:type="dxa" w:w="2351"/>
            <w:shd w:val="clear" w:color="auto" w:fill="EEF3F9"/>
          </w:tcPr>
          <w:p>
            <w:r>
              <w:rPr>
                <w:sz w:val="18"/>
              </w:rPr>
              <w:t>3</w:t>
            </w:r>
          </w:p>
        </w:tc>
        <w:tc>
          <w:tcPr>
            <w:tcW w:type="dxa" w:w="2351"/>
            <w:shd w:val="clear" w:color="auto" w:fill="EEF3F9"/>
          </w:tcPr>
          <w:p>
            <w:r>
              <w:rPr>
                <w:b/>
                <w:sz w:val="18"/>
              </w:rPr>
              <w:t>Demand policy / used-import competition (policy)</w:t>
            </w:r>
          </w:p>
        </w:tc>
        <w:tc>
          <w:tcPr>
            <w:tcW w:type="dxa" w:w="2351"/>
            <w:shd w:val="clear" w:color="auto" w:fill="EEF3F9"/>
          </w:tcPr>
          <w:p>
            <w:r>
              <w:rPr>
                <w:b/>
                <w:sz w:val="18"/>
              </w:rPr>
              <w:t>4</w:t>
            </w:r>
          </w:p>
        </w:tc>
        <w:tc>
          <w:tcPr>
            <w:tcW w:type="dxa" w:w="2351"/>
            <w:shd w:val="clear" w:color="auto" w:fill="EEF3F9"/>
          </w:tcPr>
          <w:p>
            <w:r>
              <w:rPr>
                <w:sz w:val="18"/>
              </w:rPr>
              <w:t>Used-vehicle age limits, taxation and public-fleet procurement are decisive levers; used imports dominate</w:t>
            </w:r>
          </w:p>
        </w:tc>
      </w:tr>
      <w:tr>
        <w:tc>
          <w:tcPr>
            <w:tcW w:type="dxa" w:w="2351"/>
            <w:shd w:val="clear" w:color="auto" w:fill="FFFFFF"/>
          </w:tcPr>
          <w:p>
            <w:r>
              <w:rPr>
                <w:sz w:val="18"/>
              </w:rPr>
              <w:t>4</w:t>
            </w:r>
          </w:p>
        </w:tc>
        <w:tc>
          <w:tcPr>
            <w:tcW w:type="dxa" w:w="2351"/>
            <w:shd w:val="clear" w:color="auto" w:fill="FFFFFF"/>
          </w:tcPr>
          <w:p>
            <w:r>
              <w:rPr>
                <w:b/>
                <w:sz w:val="18"/>
              </w:rPr>
              <w:t>Technology &amp; tooling depth (technology)</w:t>
            </w:r>
          </w:p>
        </w:tc>
        <w:tc>
          <w:tcPr>
            <w:tcW w:type="dxa" w:w="2351"/>
            <w:shd w:val="clear" w:color="auto" w:fill="FFFFFF"/>
          </w:tcPr>
          <w:p>
            <w:r>
              <w:rPr>
                <w:b/>
                <w:sz w:val="18"/>
              </w:rPr>
              <w:t>3</w:t>
            </w:r>
          </w:p>
        </w:tc>
        <w:tc>
          <w:tcPr>
            <w:tcW w:type="dxa" w:w="2351"/>
            <w:shd w:val="clear" w:color="auto" w:fill="FFFFFF"/>
          </w:tcPr>
          <w:p>
            <w:r>
              <w:rPr>
                <w:sz w:val="18"/>
              </w:rPr>
              <w:t>KMC brings modern assembly, but component manufacture and tooling are shallow; EV capability is a genuine differentiator</w:t>
            </w:r>
          </w:p>
        </w:tc>
      </w:tr>
      <w:tr>
        <w:tc>
          <w:tcPr>
            <w:tcW w:type="dxa" w:w="2351"/>
            <w:shd w:val="clear" w:color="auto" w:fill="EEF3F9"/>
          </w:tcPr>
          <w:p>
            <w:r>
              <w:rPr>
                <w:sz w:val="18"/>
              </w:rPr>
              <w:t>5</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Automotive/mechatronics and EV skills scarce; KMC–Makerere–Nakawa VTI partnerships building them</w:t>
            </w:r>
          </w:p>
        </w:tc>
      </w:tr>
      <w:tr>
        <w:tc>
          <w:tcPr>
            <w:tcW w:type="dxa" w:w="2351"/>
            <w:shd w:val="clear" w:color="auto" w:fill="FFFFFF"/>
          </w:tcPr>
          <w:p>
            <w:r>
              <w:rPr>
                <w:sz w:val="18"/>
              </w:rPr>
              <w:t>6</w:t>
            </w:r>
          </w:p>
        </w:tc>
        <w:tc>
          <w:tcPr>
            <w:tcW w:type="dxa" w:w="2351"/>
            <w:shd w:val="clear" w:color="auto" w:fill="FFFFFF"/>
          </w:tcPr>
          <w:p>
            <w:r>
              <w:rPr>
                <w:b/>
                <w:sz w:val="18"/>
              </w:rPr>
              <w:t>Logistics (infrastructure)</w:t>
            </w:r>
          </w:p>
        </w:tc>
        <w:tc>
          <w:tcPr>
            <w:tcW w:type="dxa" w:w="2351"/>
            <w:shd w:val="clear" w:color="auto" w:fill="FFFFFF"/>
          </w:tcPr>
          <w:p>
            <w:r>
              <w:rPr>
                <w:b/>
                <w:sz w:val="18"/>
              </w:rPr>
              <w:t>3</w:t>
            </w:r>
          </w:p>
        </w:tc>
        <w:tc>
          <w:tcPr>
            <w:tcW w:type="dxa" w:w="2351"/>
            <w:shd w:val="clear" w:color="auto" w:fill="FFFFFF"/>
          </w:tcPr>
          <w:p>
            <w:r>
              <w:rPr>
                <w:sz w:val="18"/>
              </w:rPr>
              <w:t>Landlocked costs raise CKD-kit/component costs and would burden any vehicle export (~18–20% of sale price)</w:t>
            </w:r>
          </w:p>
        </w:tc>
      </w:tr>
      <w:tr>
        <w:tc>
          <w:tcPr>
            <w:tcW w:type="dxa" w:w="2351"/>
            <w:shd w:val="clear" w:color="auto" w:fill="EEF3F9"/>
          </w:tcPr>
          <w:p>
            <w:r>
              <w:rPr>
                <w:sz w:val="18"/>
              </w:rPr>
              <w:t>7</w:t>
            </w:r>
          </w:p>
        </w:tc>
        <w:tc>
          <w:tcPr>
            <w:tcW w:type="dxa" w:w="2351"/>
            <w:shd w:val="clear" w:color="auto" w:fill="EEF3F9"/>
          </w:tcPr>
          <w:p>
            <w:r>
              <w:rPr>
                <w:b/>
                <w:sz w:val="18"/>
              </w:rPr>
              <w:t>Standards &amp; homologation (standards)</w:t>
            </w:r>
          </w:p>
        </w:tc>
        <w:tc>
          <w:tcPr>
            <w:tcW w:type="dxa" w:w="2351"/>
            <w:shd w:val="clear" w:color="auto" w:fill="EEF3F9"/>
          </w:tcPr>
          <w:p>
            <w:r>
              <w:rPr>
                <w:b/>
                <w:sz w:val="18"/>
              </w:rPr>
              <w:t>2</w:t>
            </w:r>
          </w:p>
        </w:tc>
        <w:tc>
          <w:tcPr>
            <w:tcW w:type="dxa" w:w="2351"/>
            <w:shd w:val="clear" w:color="auto" w:fill="EEF3F9"/>
          </w:tcPr>
          <w:p>
            <w:r>
              <w:rPr>
                <w:sz w:val="18"/>
              </w:rPr>
              <w:t>Vehicle standards, homologation and age limits shape the market; UNBS and MoWT regulation matter</w:t>
            </w:r>
          </w:p>
        </w:tc>
      </w:tr>
      <w:tr>
        <w:tc>
          <w:tcPr>
            <w:tcW w:type="dxa" w:w="2351"/>
            <w:shd w:val="clear" w:color="auto" w:fill="FFFFFF"/>
          </w:tcPr>
          <w:p>
            <w:r>
              <w:rPr>
                <w:sz w:val="18"/>
              </w:rPr>
              <w:t>8</w:t>
            </w:r>
          </w:p>
        </w:tc>
        <w:tc>
          <w:tcPr>
            <w:tcW w:type="dxa" w:w="2351"/>
            <w:shd w:val="clear" w:color="auto" w:fill="FFFFFF"/>
          </w:tcPr>
          <w:p>
            <w:r>
              <w:rPr>
                <w:b/>
                <w:sz w:val="18"/>
              </w:rPr>
              <w:t>Energy (energy)</w:t>
            </w:r>
          </w:p>
        </w:tc>
        <w:tc>
          <w:tcPr>
            <w:tcW w:type="dxa" w:w="2351"/>
            <w:shd w:val="clear" w:color="auto" w:fill="FFFFFF"/>
          </w:tcPr>
          <w:p>
            <w:r>
              <w:rPr>
                <w:b/>
                <w:sz w:val="18"/>
              </w:rPr>
              <w:t>2</w:t>
            </w:r>
          </w:p>
        </w:tc>
        <w:tc>
          <w:tcPr>
            <w:tcW w:type="dxa" w:w="2351"/>
            <w:shd w:val="clear" w:color="auto" w:fill="FFFFFF"/>
          </w:tcPr>
          <w:p>
            <w:r>
              <w:rPr>
                <w:sz w:val="18"/>
              </w:rPr>
              <w:t>Assembly is less energy-intensive; EV strategy aligns with the hydro grid (an advantage, not a constraint)</w:t>
            </w:r>
          </w:p>
        </w:tc>
      </w:tr>
    </w:tbl>
    <w:p/>
    <w:p>
      <w:r>
        <w:t xml:space="preserve">Demand-side </w:t>
      </w:r>
      <w:r>
        <w:rPr>
          <w:b/>
        </w:rPr>
        <w:t>policy is the decisive lever</w:t>
      </w:r>
      <w:r>
        <w:t>: used-vehicle age limits/taxation and public-fleet procurement can pivot demand toward domestic assembly — and the 2025 plant gives policy something real to support.</w:t>
      </w:r>
    </w:p>
    <w:p>
      <w:pPr>
        <w:pStyle w:val="Heading2"/>
      </w:pPr>
      <w:r>
        <w:t>6.E Greening &amp; Sustainability</w:t>
      </w:r>
    </w:p>
    <w:p>
      <w:r>
        <w:t xml:space="preserve">Uganda's automotive entry is </w:t>
      </w:r>
      <w:r>
        <w:rPr>
          <w:b/>
        </w:rPr>
        <w:t>green by design</w:t>
      </w:r>
      <w:r>
        <w:t xml:space="preserve"> — a rare first-mover advantage: KMC's flagship is the </w:t>
      </w:r>
      <w:r>
        <w:rPr>
          <w:b/>
        </w:rPr>
        <w:t>Kayoola electric bus</w:t>
      </w:r>
      <w:r>
        <w:t>, and Uganda's hydro grid means EVs run on low-carbon power.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EV capability already present (Kayoola); end-of-life vehicle and battery handling under NEMA is an emerging issue</w:t>
            </w:r>
          </w:p>
        </w:tc>
      </w:tr>
      <w:tr>
        <w:tc>
          <w:tcPr>
            <w:tcW w:type="dxa" w:w="4703"/>
            <w:shd w:val="clear" w:color="auto" w:fill="FFFFFF"/>
          </w:tcPr>
          <w:p>
            <w:r>
              <w:rPr>
                <w:b/>
                <w:sz w:val="18"/>
              </w:rPr>
              <w:t>Current solutions</w:t>
            </w:r>
          </w:p>
        </w:tc>
        <w:tc>
          <w:tcPr>
            <w:tcW w:type="dxa" w:w="4703"/>
            <w:shd w:val="clear" w:color="auto" w:fill="FFFFFF"/>
          </w:tcPr>
          <w:p>
            <w:r>
              <w:rPr>
                <w:sz w:val="18"/>
              </w:rPr>
              <w:t>Electric buses on a hydro grid (low-carbon mobility); local assembly cuts transport emissions vs. imported vehicles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EV-bus and e-mobility</w:t>
            </w:r>
            <w:r>
              <w:rPr>
                <w:sz w:val="18"/>
              </w:rPr>
              <w:t xml:space="preserve"> as a differentiated regional product; (2) </w:t>
            </w:r>
            <w:r>
              <w:rPr>
                <w:b/>
                <w:sz w:val="18"/>
              </w:rPr>
              <w:t>battery value chain</w:t>
            </w:r>
            <w:r>
              <w:rPr>
                <w:sz w:val="18"/>
              </w:rPr>
              <w:t xml:space="preserve"> linked to Kilembe cobalt (Ch.5); (3) </w:t>
            </w:r>
            <w:r>
              <w:rPr>
                <w:b/>
                <w:sz w:val="18"/>
              </w:rPr>
              <w:t>e-boda (electric motorcycle) assembly</w:t>
            </w:r>
            <w:r>
              <w:rPr>
                <w:sz w:val="18"/>
              </w:rPr>
              <w:t xml:space="preserve"> for the mass market; (4) </w:t>
            </w:r>
            <w:r>
              <w:rPr>
                <w:b/>
                <w:sz w:val="18"/>
              </w:rPr>
              <w:t>vehicle/battery recycling</w:t>
            </w:r>
            <w:r>
              <w:rPr>
                <w:sz w:val="18"/>
              </w:rPr>
              <w:t xml:space="preserve"> and remanufactured parts</w:t>
            </w:r>
          </w:p>
        </w:tc>
      </w:tr>
    </w:tbl>
    <w:p/>
    <w:p>
      <w:r>
        <w:rPr>
          <w:b/>
        </w:rPr>
        <w:t>Why it pays:</w:t>
      </w:r>
      <w:r>
        <w:t xml:space="preserve"> an EV-led entry sidesteps competing on legacy combustion vehicles, aligns with global decarbonisation of transport, and links the metals–battery–vehicle system into one green industrial story.</w:t>
      </w:r>
    </w:p>
    <w:p>
      <w:pPr>
        <w:pStyle w:val="Heading2"/>
      </w:pPr>
      <w:r>
        <w:t>6.F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Buses / EV buses (KMC anchor)</w:t>
            </w:r>
          </w:p>
        </w:tc>
        <w:tc>
          <w:tcPr>
            <w:tcW w:type="dxa" w:w="1176"/>
            <w:shd w:val="clear" w:color="auto" w:fill="EEF3F9"/>
          </w:tcPr>
          <w:p>
            <w:r>
              <w:rPr>
                <w:sz w:val="18"/>
              </w:rPr>
              <w:t>High (public fleets)</w:t>
            </w:r>
          </w:p>
        </w:tc>
        <w:tc>
          <w:tcPr>
            <w:tcW w:type="dxa" w:w="1176"/>
            <w:shd w:val="clear" w:color="auto" w:fill="EEF3F9"/>
          </w:tcPr>
          <w:p>
            <w:r>
              <w:rPr>
                <w:sz w:val="18"/>
              </w:rPr>
              <w:t>High (KMC, hydro)</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(EV)</w:t>
            </w:r>
          </w:p>
        </w:tc>
        <w:tc>
          <w:tcPr>
            <w:tcW w:type="dxa" w:w="1176"/>
            <w:shd w:val="clear" w:color="auto" w:fill="EEF3F9"/>
          </w:tcPr>
          <w:p>
            <w:r>
              <w:rPr>
                <w:b/>
                <w:sz w:val="18"/>
              </w:rPr>
              <w:t>Priority</w:t>
            </w:r>
          </w:p>
        </w:tc>
      </w:tr>
      <w:tr>
        <w:tc>
          <w:tcPr>
            <w:tcW w:type="dxa" w:w="1176"/>
            <w:shd w:val="clear" w:color="auto" w:fill="FFFFFF"/>
          </w:tcPr>
          <w:p>
            <w:r>
              <w:rPr>
                <w:b/>
                <w:sz w:val="18"/>
              </w:rPr>
              <w:t>Motorcycle assembly (CKD/e-boda)</w:t>
            </w:r>
          </w:p>
        </w:tc>
        <w:tc>
          <w:tcPr>
            <w:tcW w:type="dxa" w:w="1176"/>
            <w:shd w:val="clear" w:color="auto" w:fill="FFFFFF"/>
          </w:tcPr>
          <w:p>
            <w:r>
              <w:rPr>
                <w:sz w:val="18"/>
              </w:rPr>
              <w:t>Very high (USD 157m)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High</w:t>
            </w:r>
          </w:p>
        </w:tc>
        <w:tc>
          <w:tcPr>
            <w:tcW w:type="dxa" w:w="1176"/>
            <w:shd w:val="clear" w:color="auto" w:fill="FFFFFF"/>
          </w:tcPr>
          <w:p>
            <w:r>
              <w:rPr>
                <w:sz w:val="18"/>
              </w:rPr>
              <w:t>Medium–High</w:t>
            </w:r>
          </w:p>
        </w:tc>
        <w:tc>
          <w:tcPr>
            <w:tcW w:type="dxa" w:w="1176"/>
            <w:shd w:val="clear" w:color="auto" w:fill="FFFFFF"/>
          </w:tcPr>
          <w:p>
            <w:r>
              <w:rPr>
                <w:b/>
                <w:sz w:val="18"/>
              </w:rPr>
              <w:t>Priority</w:t>
            </w:r>
          </w:p>
        </w:tc>
      </w:tr>
      <w:tr>
        <w:tc>
          <w:tcPr>
            <w:tcW w:type="dxa" w:w="1176"/>
            <w:shd w:val="clear" w:color="auto" w:fill="EEF3F9"/>
          </w:tcPr>
          <w:p>
            <w:r>
              <w:rPr>
                <w:b/>
                <w:sz w:val="18"/>
              </w:rPr>
              <w:t>Spare parts &amp; components localisation</w:t>
            </w:r>
          </w:p>
        </w:tc>
        <w:tc>
          <w:tcPr>
            <w:tcW w:type="dxa" w:w="1176"/>
            <w:shd w:val="clear" w:color="auto" w:fill="EEF3F9"/>
          </w:tcPr>
          <w:p>
            <w:r>
              <w:rPr>
                <w:sz w:val="18"/>
              </w:rPr>
              <w:t>High (USD 32m+)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Passenger-car assembly (CKD)</w:t>
            </w:r>
          </w:p>
        </w:tc>
        <w:tc>
          <w:tcPr>
            <w:tcW w:type="dxa" w:w="1176"/>
            <w:shd w:val="clear" w:color="auto" w:fill="FFFFFF"/>
          </w:tcPr>
          <w:p>
            <w:r>
              <w:rPr>
                <w:sz w:val="18"/>
              </w:rPr>
              <w:t>High (USD 298m)</w:t>
            </w:r>
          </w:p>
        </w:tc>
        <w:tc>
          <w:tcPr>
            <w:tcW w:type="dxa" w:w="1176"/>
            <w:shd w:val="clear" w:color="auto" w:fill="FFFFFF"/>
          </w:tcPr>
          <w:p>
            <w:r>
              <w:rPr>
                <w:sz w:val="18"/>
              </w:rPr>
              <w:t>Low–Med</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Full domestic car manufacture</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Automotive:</w:t>
      </w:r>
    </w:p>
    <w:p>
      <w:pPr>
        <w:pStyle w:val="ListNumber"/>
      </w:pPr>
      <w:r>
        <w:rPr>
          <w:b/>
        </w:rPr>
        <w:t>Buses and electric buses (KMC anchor)</w:t>
      </w:r>
      <w:r>
        <w:t xml:space="preserve"> — leverage the new plant, the EV differentiator and government fleet procurement; the clearest state-backed industrial anchor in Report 1, and a green one.</w:t>
      </w:r>
    </w:p>
    <w:p>
      <w:pPr>
        <w:pStyle w:val="ListNumber"/>
      </w:pPr>
      <w:r>
        <w:rPr>
          <w:b/>
        </w:rPr>
        <w:t>Motorcycle assembly (CKD, moving to e-boda)</w:t>
      </w:r>
      <w:r>
        <w:t xml:space="preserve"> — the largest-volume mobility market (USD 157m imports); assembly is feasible and job-rich for the boda economy.</w:t>
      </w:r>
    </w:p>
    <w:p>
      <w:pPr>
        <w:pStyle w:val="ListNumber"/>
      </w:pPr>
      <w:r>
        <w:rPr>
          <w:b/>
        </w:rPr>
        <w:t>Spare-parts &amp; component localisation</w:t>
      </w:r>
      <w:r>
        <w:t xml:space="preserve"> — builds local content, supplies both new assembly and the large after-market, and deepens linkages to steel, copper and plastics.</w:t>
      </w:r>
    </w:p>
    <w:p>
      <w:r>
        <w:rPr>
          <w:b/>
        </w:rPr>
        <w:t>Explicit deprioritization.</w:t>
      </w:r>
      <w:r>
        <w:t xml:space="preserve"> Uganda should </w:t>
      </w:r>
      <w:r>
        <w:rPr>
          <w:b/>
        </w:rPr>
        <w:t>not</w:t>
      </w:r>
      <w:r>
        <w:t xml:space="preserve"> pursue full ground-up passenger-car manufacture for export now — it needs scale, deep component ecosystems and capital Uganda cannot yet marshal. Focus on </w:t>
      </w:r>
      <w:r>
        <w:rPr>
          <w:b/>
        </w:rPr>
        <w:t>buses/EV, motorcycles and parts</w:t>
      </w:r>
      <w:r>
        <w:t xml:space="preserve"> for domestic and regional markets.</w:t>
      </w:r>
    </w:p>
    <w:p>
      <w:pPr>
        <w:pStyle w:val="Heading2"/>
      </w:pPr>
      <w:r>
        <w:t>6.G Project Profiles</w:t>
      </w:r>
    </w:p>
    <w:p>
      <w:r>
        <w:rPr>
          <w:b/>
        </w:rPr>
        <w:t>P1 — KMC bus/EV-bus scale-up (strategic anchor + green).</w:t>
      </w:r>
    </w:p>
    <w:p>
      <w:pPr>
        <w:pStyle w:val="ListBullet"/>
      </w:pPr>
      <w:r>
        <w:rPr>
          <w:i/>
        </w:rPr>
        <w:t>Strategic:</w:t>
      </w:r>
      <w:r>
        <w:t xml:space="preserve"> the flagship that pulls steel and copper demand; clear line to tenfold via mass transit and regional EV-bus export.</w:t>
      </w:r>
    </w:p>
    <w:p>
      <w:pPr>
        <w:pStyle w:val="ListBullet"/>
      </w:pPr>
      <w:r>
        <w:rPr>
          <w:i/>
        </w:rPr>
        <w:t>Quick-win element:</w:t>
      </w:r>
      <w:r>
        <w:t xml:space="preserve"> plant commissioned (Sep 2025); public-fleet procurement can fill the order book immediately.</w:t>
      </w:r>
    </w:p>
    <w:p>
      <w:pPr>
        <w:pStyle w:val="ListBullet"/>
      </w:pPr>
      <w:r>
        <w:rPr>
          <w:i/>
        </w:rPr>
        <w:t>Green:</w:t>
      </w:r>
      <w:r>
        <w:t xml:space="preserve"> electric buses on a hydro grid.</w:t>
      </w:r>
    </w:p>
    <w:p>
      <w:pPr>
        <w:pStyle w:val="ListBullet"/>
      </w:pPr>
      <w:r>
        <w:rPr>
          <w:i/>
        </w:rPr>
        <w:t>Lead:</w:t>
      </w:r>
      <w:r>
        <w:t xml:space="preserve"> KMC + MoFPED (fleet procurement). </w:t>
      </w:r>
      <w:r>
        <w:rPr>
          <w:i/>
        </w:rPr>
        <w:t>Cost:</w:t>
      </w:r>
      <w:r>
        <w:t xml:space="preserve"> see Ch.8 (incl. closing the ~UGX 50bn gap).</w:t>
      </w:r>
    </w:p>
    <w:p>
      <w:r>
        <w:rPr>
          <w:b/>
        </w:rPr>
        <w:t>P2 — Motorcycle / e-boda assembly (quick win).</w:t>
      </w:r>
    </w:p>
    <w:p>
      <w:pPr>
        <w:pStyle w:val="ListBullet"/>
      </w:pPr>
      <w:r>
        <w:rPr>
          <w:i/>
        </w:rPr>
        <w:t>Strategic:</w:t>
      </w:r>
      <w:r>
        <w:t xml:space="preserve"> captures the USD 157m motorcycle import market; very high jobs in the boda economy.</w:t>
      </w:r>
    </w:p>
    <w:p>
      <w:pPr>
        <w:pStyle w:val="ListBullet"/>
      </w:pPr>
      <w:r>
        <w:rPr>
          <w:i/>
        </w:rPr>
        <w:t>Quick-win element:</w:t>
      </w:r>
      <w:r>
        <w:t xml:space="preserve"> CKD assembly is feasible now; shortest lead time.</w:t>
      </w:r>
    </w:p>
    <w:p>
      <w:pPr>
        <w:pStyle w:val="ListBullet"/>
      </w:pPr>
      <w:r>
        <w:rPr>
          <w:i/>
        </w:rPr>
        <w:t>Green:</w:t>
      </w:r>
      <w:r>
        <w:t xml:space="preserve"> transition toward electric boda-bodas on the hydro grid.</w:t>
      </w:r>
    </w:p>
    <w:p>
      <w:r>
        <w:rPr>
          <w:b/>
        </w:rPr>
        <w:t>P3 — Spare-parts &amp; components localisation (strategic + green).</w:t>
      </w:r>
    </w:p>
    <w:p>
      <w:pPr>
        <w:pStyle w:val="ListBullet"/>
      </w:pPr>
      <w:r>
        <w:rPr>
          <w:i/>
        </w:rPr>
        <w:t>Strategic:</w:t>
      </w:r>
      <w:r>
        <w:t xml:space="preserve"> deepens local content and metals/plastics linkages; supplies assembly + after-market.</w:t>
      </w:r>
    </w:p>
    <w:p>
      <w:pPr>
        <w:pStyle w:val="ListBullet"/>
      </w:pPr>
      <w:r>
        <w:rPr>
          <w:i/>
        </w:rPr>
        <w:t>Quick-win element:</w:t>
      </w:r>
      <w:r>
        <w:t xml:space="preserve"> start with high-volume, low-complexity parts.</w:t>
      </w:r>
    </w:p>
    <w:p>
      <w:pPr>
        <w:pStyle w:val="ListBullet"/>
      </w:pPr>
      <w:r>
        <w:rPr>
          <w:i/>
        </w:rPr>
        <w:t>Green:</w:t>
      </w:r>
      <w:r>
        <w:t xml:space="preserve"> remanufactured/recycled parts.</w:t>
      </w:r>
    </w:p>
    <w:p>
      <w:pPr>
        <w:pStyle w:val="Heading2"/>
      </w:pPr>
      <w:r>
        <w:t>6.H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Public-fleet procurement of KMC buses (schools, hospitals, BRT, MDAs) to fill capacity</w:t>
            </w:r>
          </w:p>
        </w:tc>
        <w:tc>
          <w:tcPr>
            <w:tcW w:type="dxa" w:w="2351"/>
            <w:shd w:val="clear" w:color="auto" w:fill="EEF3F9"/>
          </w:tcPr>
          <w:p>
            <w:r>
              <w:rPr>
                <w:sz w:val="18"/>
              </w:rPr>
              <w:t>MoFPED, MoWT, MDAs</w:t>
            </w:r>
          </w:p>
        </w:tc>
        <w:tc>
          <w:tcPr>
            <w:tcW w:type="dxa" w:w="2351"/>
            <w:shd w:val="clear" w:color="auto" w:fill="EEF3F9"/>
          </w:tcPr>
          <w:p>
            <w:r>
              <w:rPr>
                <w:sz w:val="18"/>
              </w:rPr>
              <w:t>Procurement budget</w:t>
            </w:r>
          </w:p>
        </w:tc>
      </w:tr>
      <w:tr>
        <w:tc>
          <w:tcPr>
            <w:tcW w:type="dxa" w:w="2351"/>
            <w:shd w:val="clear" w:color="auto" w:fill="FFFFFF"/>
          </w:tcPr>
          <w:p>
            <w:r>
              <w:rPr>
                <w:sz w:val="18"/>
              </w:rPr>
              <w:t>Quick win (0–12m)</w:t>
            </w:r>
          </w:p>
        </w:tc>
        <w:tc>
          <w:tcPr>
            <w:tcW w:type="dxa" w:w="2351"/>
            <w:shd w:val="clear" w:color="auto" w:fill="FFFFFF"/>
          </w:tcPr>
          <w:p>
            <w:r>
              <w:rPr>
                <w:sz w:val="18"/>
              </w:rPr>
              <w:t>Used-vehicle age-limit/taxation review to tilt demand toward domestic assembly</w:t>
            </w:r>
          </w:p>
        </w:tc>
        <w:tc>
          <w:tcPr>
            <w:tcW w:type="dxa" w:w="2351"/>
            <w:shd w:val="clear" w:color="auto" w:fill="FFFFFF"/>
          </w:tcPr>
          <w:p>
            <w:r>
              <w:rPr>
                <w:sz w:val="18"/>
              </w:rPr>
              <w:t>MoFPED, MoWT, URA</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Local-content / assembly incentives; component-supplier development (steel, copper, plastics)</w:t>
            </w:r>
          </w:p>
        </w:tc>
        <w:tc>
          <w:tcPr>
            <w:tcW w:type="dxa" w:w="2351"/>
            <w:shd w:val="clear" w:color="auto" w:fill="EEF3F9"/>
          </w:tcPr>
          <w:p>
            <w:r>
              <w:rPr>
                <w:sz w:val="18"/>
              </w:rPr>
              <w:t>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Automotive/mechatronics &amp; EV skills programme (KMC, Makerere, Nakawa VTI)</w:t>
            </w:r>
          </w:p>
        </w:tc>
        <w:tc>
          <w:tcPr>
            <w:tcW w:type="dxa" w:w="2351"/>
            <w:shd w:val="clear" w:color="auto" w:fill="FFFFFF"/>
          </w:tcPr>
          <w:p>
            <w:r>
              <w:rPr>
                <w:sz w:val="18"/>
              </w:rPr>
              <w:t>MoES, KMC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Close KMC's capital gap via DFI/PPP financing</w:t>
            </w:r>
          </w:p>
        </w:tc>
        <w:tc>
          <w:tcPr>
            <w:tcW w:type="dxa" w:w="2351"/>
            <w:shd w:val="clear" w:color="auto" w:fill="EEF3F9"/>
          </w:tcPr>
          <w:p>
            <w:r>
              <w:rPr>
                <w:sz w:val="18"/>
              </w:rPr>
              <w:t>MoFPED, UDB, DFIs</w:t>
            </w:r>
          </w:p>
        </w:tc>
        <w:tc>
          <w:tcPr>
            <w:tcW w:type="dxa" w:w="2351"/>
            <w:shd w:val="clear" w:color="auto" w:fill="EEF3F9"/>
          </w:tcPr>
          <w:p>
            <w:r>
              <w:rPr>
                <w:sz w:val="18"/>
              </w:rPr>
              <w:t>~UGX 50bn+</w:t>
            </w:r>
          </w:p>
        </w:tc>
      </w:tr>
      <w:tr>
        <w:tc>
          <w:tcPr>
            <w:tcW w:type="dxa" w:w="2351"/>
            <w:shd w:val="clear" w:color="auto" w:fill="FFFFFF"/>
          </w:tcPr>
          <w:p>
            <w:r>
              <w:rPr>
                <w:b/>
                <w:sz w:val="18"/>
              </w:rPr>
              <w:t>Investment (3–5y)</w:t>
            </w:r>
          </w:p>
        </w:tc>
        <w:tc>
          <w:tcPr>
            <w:tcW w:type="dxa" w:w="2351"/>
            <w:shd w:val="clear" w:color="auto" w:fill="FFFFFF"/>
          </w:tcPr>
          <w:p>
            <w:r>
              <w:rPr>
                <w:sz w:val="18"/>
              </w:rPr>
              <w:t>Scale KMC to 10,000 vehicles/yr; e-boda assembly line</w:t>
            </w:r>
          </w:p>
        </w:tc>
        <w:tc>
          <w:tcPr>
            <w:tcW w:type="dxa" w:w="2351"/>
            <w:shd w:val="clear" w:color="auto" w:fill="FFFFFF"/>
          </w:tcPr>
          <w:p>
            <w:r>
              <w:rPr>
                <w:sz w:val="18"/>
              </w:rPr>
              <w:t>Private/PPP + KMC</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Parts/components manufacturing cluster</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7: Cross-Cutting Priority Actions and Policy Recommendations</w:t>
      </w:r>
    </w:p>
    <w:p>
      <w:r>
        <w:rPr>
          <w:b/>
        </w:rPr>
        <w:t>Report:</w:t>
      </w:r>
      <w:r>
        <w:t xml:space="preserve"> Report 1 — Iron &amp; Steel, Copper &amp; Allied Metals, and Automotive Value Chains</w:t>
      </w:r>
    </w:p>
    <w:p>
      <w:r>
        <w:rPr>
          <w:b/>
        </w:rPr>
        <w:t>Status:</w:t>
      </w:r>
      <w:r>
        <w:t xml:space="preserve"> Draft for validation</w:t>
      </w:r>
    </w:p>
    <w:p>
      <w:pPr>
        <w:pStyle w:val="Heading2"/>
      </w:pPr>
      <w:r>
        <w:t>7.1 Introduction</w:t>
      </w:r>
    </w:p>
    <w:p>
      <w:r>
        <w:t>Iron &amp; Steel, Copper &amp; Allied Metals, and Automotives share a common set of binding constraints and a common industrial logic. This chapter consolidates the cross-cutting actions that would lift all three chains simultaneously, and maps them to the six priority areas of the Uganda–UNIDO Programme for Country Partnership (PCP). These recommendations complement — and should be read alongside — the chain-specific action matrices in Chapters 4–6.</w:t>
      </w:r>
    </w:p>
    <w:p>
      <w:r>
        <w:t xml:space="preserve">The integrating insight of this report is that </w:t>
      </w:r>
      <w:r>
        <w:rPr>
          <w:b/>
        </w:rPr>
        <w:t>Iron &amp; Steel, Copper, and Automotive form a single industrial system</w:t>
      </w:r>
      <w:r>
        <w:t>: mined and processed metal feeds fabricated products that feed vehicle manufacture. Constraints that raise the cost of metal — energy, logistics, finance, feedstock policy — cascade through all three. Addressing them once benefits the whole system.</w:t>
      </w:r>
    </w:p>
    <w:p>
      <w:r>
        <w:rPr>
          <w:b/>
        </w:rPr>
        <w:t>Tenfold framing.</w:t>
      </w:r>
      <w:r>
        <w:t xml:space="preserve"> These cross-cutting actions are the enablers of the Tenfold Growth Strategy in the metals-to-mobility system: a ten-times-larger economy needs domestically-processed metal, reliable industrial power, long-term capital, and skills at a scale that no single chain can unlock alone. Fixing the shared constraints is therefore the highest-leverage investment toward tenfold growth — it multiplies the return on every chain-specific action in Chapters 4–6.</w:t>
      </w:r>
    </w:p>
    <w:p>
      <w:pPr>
        <w:pStyle w:val="Heading2"/>
      </w:pPr>
      <w:r>
        <w:t>7.2 The Shared Binding Constraints</w:t>
      </w:r>
    </w:p>
    <w:p>
      <w:r>
        <w:t>Across the three chains, five constraints recur as decisive. Weighted by how critical each is to unlocking the system (1 = low, 5 = critical), drawing on the chain analyses and NPA/UDC regional-competitiveness data:</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Rank</w:t>
            </w:r>
          </w:p>
        </w:tc>
        <w:tc>
          <w:tcPr>
            <w:tcW w:type="dxa" w:w="2351"/>
            <w:shd w:val="clear" w:color="auto" w:fill="002B5B"/>
          </w:tcPr>
          <w:p>
            <w:r>
              <w:rPr>
                <w:b/>
                <w:color w:val="FFFFFF"/>
                <w:sz w:val="18"/>
              </w:rPr>
              <w:t>Cross-cutting constraint</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Hard evidence</w:t>
            </w:r>
          </w:p>
        </w:tc>
      </w:tr>
      <w:tr>
        <w:tc>
          <w:tcPr>
            <w:tcW w:type="dxa" w:w="2351"/>
            <w:shd w:val="clear" w:color="auto" w:fill="EEF3F9"/>
          </w:tcPr>
          <w:p>
            <w:r>
              <w:rPr>
                <w:sz w:val="18"/>
              </w:rPr>
              <w:t>1</w:t>
            </w:r>
          </w:p>
        </w:tc>
        <w:tc>
          <w:tcPr>
            <w:tcW w:type="dxa" w:w="2351"/>
            <w:shd w:val="clear" w:color="auto" w:fill="EEF3F9"/>
          </w:tcPr>
          <w:p>
            <w:r>
              <w:rPr>
                <w:sz w:val="18"/>
              </w:rPr>
              <w:t>Feedstock leakage / upstream gap</w:t>
            </w:r>
          </w:p>
        </w:tc>
        <w:tc>
          <w:tcPr>
            <w:tcW w:type="dxa" w:w="2351"/>
            <w:shd w:val="clear" w:color="auto" w:fill="EEF3F9"/>
          </w:tcPr>
          <w:p>
            <w:r>
              <w:rPr>
                <w:b/>
                <w:sz w:val="18"/>
              </w:rPr>
              <w:t>5</w:t>
            </w:r>
          </w:p>
        </w:tc>
        <w:tc>
          <w:tcPr>
            <w:tcW w:type="dxa" w:w="2351"/>
            <w:shd w:val="clear" w:color="auto" w:fill="EEF3F9"/>
          </w:tcPr>
          <w:p>
            <w:r>
              <w:rPr>
                <w:sz w:val="18"/>
              </w:rPr>
              <w:t>Iron ore exported raw (USD 35.8m); copper ore unmined; metal re-imported — billet/scrap most-expensive route (~USD 676/t)</w:t>
            </w:r>
          </w:p>
        </w:tc>
      </w:tr>
      <w:tr>
        <w:tc>
          <w:tcPr>
            <w:tcW w:type="dxa" w:w="2351"/>
            <w:shd w:val="clear" w:color="auto" w:fill="FFFFFF"/>
          </w:tcPr>
          <w:p>
            <w:r>
              <w:rPr>
                <w:sz w:val="18"/>
              </w:rPr>
              <w:t>2</w:t>
            </w:r>
          </w:p>
        </w:tc>
        <w:tc>
          <w:tcPr>
            <w:tcW w:type="dxa" w:w="2351"/>
            <w:shd w:val="clear" w:color="auto" w:fill="FFFFFF"/>
          </w:tcPr>
          <w:p>
            <w:r>
              <w:rPr>
                <w:sz w:val="18"/>
              </w:rPr>
              <w:t>Access to long-term finance</w:t>
            </w:r>
          </w:p>
        </w:tc>
        <w:tc>
          <w:tcPr>
            <w:tcW w:type="dxa" w:w="2351"/>
            <w:shd w:val="clear" w:color="auto" w:fill="FFFFFF"/>
          </w:tcPr>
          <w:p>
            <w:r>
              <w:rPr>
                <w:b/>
                <w:sz w:val="18"/>
              </w:rPr>
              <w:t>5</w:t>
            </w:r>
          </w:p>
        </w:tc>
        <w:tc>
          <w:tcPr>
            <w:tcW w:type="dxa" w:w="2351"/>
            <w:shd w:val="clear" w:color="auto" w:fill="FFFFFF"/>
          </w:tcPr>
          <w:p>
            <w:r>
              <w:rPr>
                <w:sz w:val="18"/>
              </w:rPr>
              <w:t xml:space="preserve">Uganda commercial interest </w:t>
            </w:r>
            <w:r>
              <w:rPr>
                <w:b/>
                <w:sz w:val="18"/>
              </w:rPr>
              <w:t>18–23% — highest in region</w:t>
            </w:r>
            <w:r>
              <w:rPr>
                <w:sz w:val="18"/>
              </w:rPr>
              <w:t xml:space="preserve"> (Kenya 13–17, Egypt 10–12); 2025 liquidity tightening crowds out private credit</w:t>
            </w:r>
          </w:p>
        </w:tc>
      </w:tr>
      <w:tr>
        <w:tc>
          <w:tcPr>
            <w:tcW w:type="dxa" w:w="2351"/>
            <w:shd w:val="clear" w:color="auto" w:fill="EEF3F9"/>
          </w:tcPr>
          <w:p>
            <w:r>
              <w:rPr>
                <w:sz w:val="18"/>
              </w:rPr>
              <w:t>3</w:t>
            </w:r>
          </w:p>
        </w:tc>
        <w:tc>
          <w:tcPr>
            <w:tcW w:type="dxa" w:w="2351"/>
            <w:shd w:val="clear" w:color="auto" w:fill="EEF3F9"/>
          </w:tcPr>
          <w:p>
            <w:r>
              <w:rPr>
                <w:sz w:val="18"/>
              </w:rPr>
              <w:t>Energy cost &amp; reliability</w:t>
            </w:r>
          </w:p>
        </w:tc>
        <w:tc>
          <w:tcPr>
            <w:tcW w:type="dxa" w:w="2351"/>
            <w:shd w:val="clear" w:color="auto" w:fill="EEF3F9"/>
          </w:tcPr>
          <w:p>
            <w:r>
              <w:rPr>
                <w:b/>
                <w:sz w:val="18"/>
              </w:rPr>
              <w:t>4</w:t>
            </w:r>
          </w:p>
        </w:tc>
        <w:tc>
          <w:tcPr>
            <w:tcW w:type="dxa" w:w="2351"/>
            <w:shd w:val="clear" w:color="auto" w:fill="EEF3F9"/>
          </w:tcPr>
          <w:p>
            <w:r>
              <w:rPr>
                <w:sz w:val="18"/>
              </w:rPr>
              <w:t xml:space="preserve">Effective industrial tariff </w:t>
            </w:r>
            <w:r>
              <w:rPr>
                <w:b/>
                <w:sz w:val="18"/>
              </w:rPr>
              <w:t>~8–10 US¢/kWh vs Kenya 5–7, Egypt 4–5</w:t>
            </w:r>
            <w:r>
              <w:rPr>
                <w:sz w:val="18"/>
              </w:rPr>
              <w:t>; reliability the #1 firm-cited issue</w:t>
            </w:r>
          </w:p>
        </w:tc>
      </w:tr>
      <w:tr>
        <w:tc>
          <w:tcPr>
            <w:tcW w:type="dxa" w:w="2351"/>
            <w:shd w:val="clear" w:color="auto" w:fill="FFFFFF"/>
          </w:tcPr>
          <w:p>
            <w:r>
              <w:rPr>
                <w:sz w:val="18"/>
              </w:rPr>
              <w:t>4</w:t>
            </w:r>
          </w:p>
        </w:tc>
        <w:tc>
          <w:tcPr>
            <w:tcW w:type="dxa" w:w="2351"/>
            <w:shd w:val="clear" w:color="auto" w:fill="FFFFFF"/>
          </w:tcPr>
          <w:p>
            <w:r>
              <w:rPr>
                <w:sz w:val="18"/>
              </w:rPr>
              <w:t>Logistics / landlocked penalty</w:t>
            </w:r>
          </w:p>
        </w:tc>
        <w:tc>
          <w:tcPr>
            <w:tcW w:type="dxa" w:w="2351"/>
            <w:shd w:val="clear" w:color="auto" w:fill="FFFFFF"/>
          </w:tcPr>
          <w:p>
            <w:r>
              <w:rPr>
                <w:b/>
                <w:sz w:val="18"/>
              </w:rPr>
              <w:t>4</w:t>
            </w:r>
          </w:p>
        </w:tc>
        <w:tc>
          <w:tcPr>
            <w:tcW w:type="dxa" w:w="2351"/>
            <w:shd w:val="clear" w:color="auto" w:fill="FFFFFF"/>
          </w:tcPr>
          <w:p>
            <w:r>
              <w:rPr>
                <w:sz w:val="18"/>
              </w:rPr>
              <w:t>~USD 827m/yr inefficiency; logistics ~18–20% of sale price; worst transport tier regionally</w:t>
            </w:r>
          </w:p>
        </w:tc>
      </w:tr>
      <w:tr>
        <w:tc>
          <w:tcPr>
            <w:tcW w:type="dxa" w:w="2351"/>
            <w:shd w:val="clear" w:color="auto" w:fill="EEF3F9"/>
          </w:tcPr>
          <w:p>
            <w:r>
              <w:rPr>
                <w:sz w:val="18"/>
              </w:rPr>
              <w:t>5</w:t>
            </w:r>
          </w:p>
        </w:tc>
        <w:tc>
          <w:tcPr>
            <w:tcW w:type="dxa" w:w="2351"/>
            <w:shd w:val="clear" w:color="auto" w:fill="EEF3F9"/>
          </w:tcPr>
          <w:p>
            <w:r>
              <w:rPr>
                <w:sz w:val="18"/>
              </w:rPr>
              <w:t>Skills</w:t>
            </w:r>
          </w:p>
        </w:tc>
        <w:tc>
          <w:tcPr>
            <w:tcW w:type="dxa" w:w="2351"/>
            <w:shd w:val="clear" w:color="auto" w:fill="EEF3F9"/>
          </w:tcPr>
          <w:p>
            <w:r>
              <w:rPr>
                <w:b/>
                <w:sz w:val="18"/>
              </w:rPr>
              <w:t>3</w:t>
            </w:r>
          </w:p>
        </w:tc>
        <w:tc>
          <w:tcPr>
            <w:tcW w:type="dxa" w:w="2351"/>
            <w:shd w:val="clear" w:color="auto" w:fill="EEF3F9"/>
          </w:tcPr>
          <w:p>
            <w:r>
              <w:rPr>
                <w:sz w:val="18"/>
              </w:rPr>
              <w:t>~68% of manufacturers cannot find required technical skills (UMA)</w:t>
            </w:r>
          </w:p>
        </w:tc>
      </w:tr>
      <w:tr>
        <w:tc>
          <w:tcPr>
            <w:tcW w:type="dxa" w:w="2351"/>
            <w:shd w:val="clear" w:color="auto" w:fill="FFFFFF"/>
          </w:tcPr>
          <w:p>
            <w:r>
              <w:rPr>
                <w:sz w:val="18"/>
              </w:rPr>
              <w:t>6</w:t>
            </w:r>
          </w:p>
        </w:tc>
        <w:tc>
          <w:tcPr>
            <w:tcW w:type="dxa" w:w="2351"/>
            <w:shd w:val="clear" w:color="auto" w:fill="FFFFFF"/>
          </w:tcPr>
          <w:p>
            <w:r>
              <w:rPr>
                <w:sz w:val="18"/>
              </w:rPr>
              <w:t>Standards &amp; enforcement</w:t>
            </w:r>
          </w:p>
        </w:tc>
        <w:tc>
          <w:tcPr>
            <w:tcW w:type="dxa" w:w="2351"/>
            <w:shd w:val="clear" w:color="auto" w:fill="FFFFFF"/>
          </w:tcPr>
          <w:p>
            <w:r>
              <w:rPr>
                <w:b/>
                <w:sz w:val="18"/>
              </w:rPr>
              <w:t>3</w:t>
            </w:r>
          </w:p>
        </w:tc>
        <w:tc>
          <w:tcPr>
            <w:tcW w:type="dxa" w:w="2351"/>
            <w:shd w:val="clear" w:color="auto" w:fill="FFFFFF"/>
          </w:tcPr>
          <w:p>
            <w:r>
              <w:rPr>
                <w:sz w:val="18"/>
              </w:rPr>
              <w:t>Sub-standard steel/cable imports distort the market; uneven UNBS enforcement</w:t>
            </w:r>
          </w:p>
        </w:tc>
      </w:tr>
    </w:tbl>
    <w:p/>
    <w:p>
      <w:r>
        <w:t>Narrative on each:</w:t>
      </w:r>
    </w:p>
    <w:p>
      <w:r>
        <w:rPr>
          <w:b/>
        </w:rPr>
        <w:t>1. Energy cost and reliability.</w:t>
      </w:r>
      <w:r>
        <w:t xml:space="preserve"> Metals processing (DRI, electro-refining, rolling) is electricity-intensive. A dedicated </w:t>
      </w:r>
      <w:r>
        <w:rPr>
          <w:b/>
        </w:rPr>
        <w:t>extra-large-load tariff (~5.5 US¢/kWh, ERA 2025)</w:t>
      </w:r>
      <w:r>
        <w:t xml:space="preserve"> helps the very largest plants, but the </w:t>
      </w:r>
      <w:r>
        <w:rPr>
          <w:b/>
        </w:rPr>
        <w:t>effective/general industrial tariff is ~8–10 US¢/kWh — higher than Kenya (5–7), Tanzania (6–8) and Egypt (4–5)</w:t>
      </w:r>
      <w:r>
        <w:t xml:space="preserve"> (NPA/UDC 2025) — and power </w:t>
      </w:r>
      <w:r>
        <w:rPr>
          <w:b/>
        </w:rPr>
        <w:t>reliability is the single issue firms cite most</w:t>
      </w:r>
      <w:r>
        <w:t>. The 2025 transition from UMEME to UEDCL as distributor is an opportunity to lock in industrial reliability commitments and competitive large-load tariffs.</w:t>
      </w:r>
    </w:p>
    <w:p>
      <w:r>
        <w:rPr>
          <w:b/>
        </w:rPr>
        <w:t>2. Logistics and the landlocked penalty.</w:t>
      </w:r>
      <w:r>
        <w:t xml:space="preserve"> Logistics inefficiencies cost the economy an estimated </w:t>
      </w:r>
      <w:r>
        <w:rPr>
          <w:b/>
        </w:rPr>
        <w:t>USD 827 million a year</w:t>
      </w:r>
      <w:r>
        <w:t xml:space="preserve">, and logistics account for </w:t>
      </w:r>
      <w:r>
        <w:rPr>
          <w:b/>
        </w:rPr>
        <w:t>18–20% of the sale price</w:t>
      </w:r>
      <w:r>
        <w:t xml:space="preserve"> of goods (sector estimates). For bulk, low-value-density products like steel and ore, this is a first-order competitiveness drag and a reason to favour domestic processing over raw-material export.</w:t>
      </w:r>
    </w:p>
    <w:p>
      <w:r>
        <w:rPr>
          <w:b/>
        </w:rPr>
        <w:t>3. Access to long-term finance.</w:t>
      </w:r>
      <w:r>
        <w:t xml:space="preserve"> Integrated metals and automotive plants are highly capital-intensive with long pay-back. Long-term finance is scarce and costly, and </w:t>
      </w:r>
      <w:r>
        <w:rPr>
          <w:b/>
        </w:rPr>
        <w:t>2025 liquidity tightening — driven by government borrowing — has crowded out private credit</w:t>
      </w:r>
      <w:r>
        <w:t xml:space="preserve"> (KPMG, </w:t>
      </w:r>
      <w:r>
        <w:rPr>
          <w:i/>
        </w:rPr>
        <w:t>Uganda Budget Brief 2025/26</w:t>
      </w:r>
      <w:r>
        <w:t>). KMC's own FY25/26 financing gap illustrates the problem at the firm level.</w:t>
      </w:r>
    </w:p>
    <w:p>
      <w:r>
        <w:rPr>
          <w:b/>
        </w:rPr>
        <w:t>4. Skills.</w:t>
      </w:r>
      <w:r>
        <w:t xml:space="preserve"> Around </w:t>
      </w:r>
      <w:r>
        <w:rPr>
          <w:b/>
        </w:rPr>
        <w:t>68% of manufacturers report difficulty finding workers with the technical skills they need</w:t>
      </w:r>
      <w:r>
        <w:t xml:space="preserve"> (Uganda Manufacturers Association). Metallurgy, process engineering, mechatronics, and EV skills are particularly scarce.</w:t>
      </w:r>
    </w:p>
    <w:p>
      <w:r>
        <w:rPr>
          <w:b/>
        </w:rPr>
        <w:t>5. Standards and quality.</w:t>
      </w:r>
      <w:r>
        <w:t xml:space="preserve"> Sub-standard imported steel and electrical cable distort the market and endanger users, while uneven UNBS enforcement penalises compliant domestic firms. Quality infrastructure is both a safety issue and a competitiveness lever.</w:t>
      </w:r>
    </w:p>
    <w:p>
      <w:pPr>
        <w:pStyle w:val="Heading2"/>
      </w:pPr>
      <w:r>
        <w:t>7.3 Cross-Cutting Priority Actions</w:t>
      </w:r>
    </w:p>
    <w:p>
      <w:pPr>
        <w:pStyle w:val="Heading3"/>
      </w:pPr>
      <w:r>
        <w:t>A. Secure feedstock and stop raw-material leakage</w:t>
      </w:r>
    </w:p>
    <w:p>
      <w:r>
        <w:t xml:space="preserve">Uganda exports raw iron ore (USD 35.8m in 2024) and leaves copper ore unmined, then imports the processed metal back. </w:t>
      </w:r>
      <w:r>
        <w:rPr>
          <w:b/>
        </w:rPr>
        <w:t>Restrict or tax raw mineral-ore exports and prioritise domestic beneficiation</w:t>
      </w:r>
      <w:r>
        <w:t>, coordinated with the upstream investments in Chapters 4–5. This single policy shift underpins the import-substitution case across both metals chains.</w:t>
      </w:r>
    </w:p>
    <w:p>
      <w:pPr>
        <w:pStyle w:val="Heading3"/>
      </w:pPr>
      <w:r>
        <w:t>B. Industrial parks, power, and shared infrastructure</w:t>
      </w:r>
    </w:p>
    <w:p>
      <w:r>
        <w:t xml:space="preserve">Cluster metals and automotive activity in serviced industrial parks (Namanve, Jinja, and a mineral-processing zone near the resource base) with </w:t>
      </w:r>
      <w:r>
        <w:rPr>
          <w:b/>
        </w:rPr>
        <w:t>reliable dedicated power, water, effluent treatment, and logistics</w:t>
      </w:r>
      <w:r>
        <w:t>. Shared infrastructure reduces per-firm costs — directly addressing PCP Priority Area 3.</w:t>
      </w:r>
    </w:p>
    <w:p>
      <w:pPr>
        <w:pStyle w:val="Heading3"/>
      </w:pPr>
      <w:r>
        <w:t>C. An industrial-finance instrument</w:t>
      </w:r>
    </w:p>
    <w:p>
      <w:r>
        <w:t xml:space="preserve">Establish or scale a </w:t>
      </w:r>
      <w:r>
        <w:rPr>
          <w:b/>
        </w:rPr>
        <w:t>long-term industrial-finance facility</w:t>
      </w:r>
      <w:r>
        <w:t xml:space="preserve"> (through Uganda Development Bank and development partners) for capital-intensive metals and automotive investment, with blended/concessional terms to offset the crowding-out of private credit. Tie disbursement to the prioritized products in Chapters 4–6.</w:t>
      </w:r>
    </w:p>
    <w:p>
      <w:pPr>
        <w:pStyle w:val="Heading3"/>
      </w:pPr>
      <w:r>
        <w:t>D. Standards enforcement</w:t>
      </w:r>
    </w:p>
    <w:p>
      <w:r>
        <w:t xml:space="preserve">Resource UNBS to </w:t>
      </w:r>
      <w:r>
        <w:rPr>
          <w:b/>
        </w:rPr>
        <w:t>enforce standards on imported steel and electrical cable</w:t>
      </w:r>
      <w:r>
        <w:t>, levelling the field for compliant domestic producers and protecting consumers. A quick win requiring administrative rather than capital resources.</w:t>
      </w:r>
    </w:p>
    <w:p>
      <w:pPr>
        <w:pStyle w:val="Heading3"/>
      </w:pPr>
      <w:r>
        <w:t>E. Skills compact</w:t>
      </w:r>
    </w:p>
    <w:p>
      <w:r>
        <w:t xml:space="preserve">A targeted </w:t>
      </w:r>
      <w:r>
        <w:rPr>
          <w:b/>
        </w:rPr>
        <w:t>skills programme in metallurgy, process engineering, mechatronics, and EV technology</w:t>
      </w:r>
      <w:r>
        <w:t>, delivered through UIRI, Makerere, and TVET institutions in partnership with anchor firms (Tembo, Roofings, Cable Corporation, KMC).</w:t>
      </w:r>
    </w:p>
    <w:p>
      <w:pPr>
        <w:pStyle w:val="Heading3"/>
      </w:pPr>
      <w:r>
        <w:t>F. Demand-side anchors through public procurement</w:t>
      </w:r>
    </w:p>
    <w:p>
      <w:r>
        <w:t xml:space="preserve">Use </w:t>
      </w:r>
      <w:r>
        <w:rPr>
          <w:b/>
        </w:rPr>
        <w:t>government procurement</w:t>
      </w:r>
      <w:r>
        <w:t xml:space="preserve"> — infrastructure steel, electrical cable for grid expansion, and KMC buses for public fleets — as a guaranteed demand anchor that de-risks domestic investment.</w:t>
      </w:r>
    </w:p>
    <w:p>
      <w:pPr>
        <w:pStyle w:val="Heading3"/>
      </w:pPr>
      <w:r>
        <w:t>G. Green industrialisation as a competitiveness strategy</w:t>
      </w:r>
    </w:p>
    <w:p>
      <w:r>
        <w:t xml:space="preserve">Treat decarbonisation as a cost-and-market advantage, not a burden, across the system: </w:t>
      </w:r>
      <w:r>
        <w:rPr>
          <w:b/>
        </w:rPr>
        <w:t>hydro-powered gas/green-hydrogen DRI and scrap-EAF steel</w:t>
      </w:r>
      <w:r>
        <w:t xml:space="preserve"> (the NPA/UDC data shows gas-DRI is also the </w:t>
      </w:r>
      <w:r>
        <w:rPr>
          <w:i/>
        </w:rPr>
        <w:t>cheapest</w:t>
      </w:r>
      <w:r>
        <w:t xml:space="preserve"> route), </w:t>
      </w:r>
      <w:r>
        <w:rPr>
          <w:b/>
        </w:rPr>
        <w:t>low-carbon electro-refined copper and cobalt for batteries</w:t>
      </w:r>
      <w:r>
        <w:t xml:space="preserve">, </w:t>
      </w:r>
      <w:r>
        <w:rPr>
          <w:b/>
        </w:rPr>
        <w:t>EV manufacturing (KMC) on the hydro grid</w:t>
      </w:r>
      <w:r>
        <w:t xml:space="preserve">, and </w:t>
      </w:r>
      <w:r>
        <w:rPr>
          <w:b/>
        </w:rPr>
        <w:t>circular links</w:t>
      </w:r>
      <w:r>
        <w:t xml:space="preserve"> (steel slag and tailings into cement/construction; scrap-cable recycling). A low-carbon metals-to-mobility system hedges against carbon-border measures (e.g. EU CBAM) and differentiates Ugandan products in regional and global markets — directly serving PCP Priority Area 5.</w:t>
      </w:r>
    </w:p>
    <w:p>
      <w:pPr>
        <w:pStyle w:val="Heading2"/>
      </w:pPr>
      <w:r>
        <w:t>7.4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1 cross-cutting actions</w:t>
            </w:r>
          </w:p>
        </w:tc>
      </w:tr>
      <w:tr>
        <w:tc>
          <w:tcPr>
            <w:tcW w:type="dxa" w:w="4703"/>
            <w:shd w:val="clear" w:color="auto" w:fill="EEF3F9"/>
          </w:tcPr>
          <w:p>
            <w:r>
              <w:rPr>
                <w:sz w:val="18"/>
              </w:rPr>
              <w:t>1. Industrial policy implementation &amp; institutional coordination</w:t>
            </w:r>
          </w:p>
        </w:tc>
        <w:tc>
          <w:tcPr>
            <w:tcW w:type="dxa" w:w="4703"/>
            <w:shd w:val="clear" w:color="auto" w:fill="EEF3F9"/>
          </w:tcPr>
          <w:p>
            <w:r>
              <w:rPr>
                <w:sz w:val="18"/>
              </w:rPr>
              <w:t>Feedstock/ore-export policy (A); standards enforcement (D); coordinated MTIC–MEMD–MoFPED action</w:t>
            </w:r>
          </w:p>
        </w:tc>
      </w:tr>
      <w:tr>
        <w:tc>
          <w:tcPr>
            <w:tcW w:type="dxa" w:w="4703"/>
            <w:shd w:val="clear" w:color="auto" w:fill="FFFFFF"/>
          </w:tcPr>
          <w:p>
            <w:r>
              <w:rPr>
                <w:sz w:val="18"/>
              </w:rPr>
              <w:t>2. Mobilizing large-scale public &amp; private investment</w:t>
            </w:r>
          </w:p>
        </w:tc>
        <w:tc>
          <w:tcPr>
            <w:tcW w:type="dxa" w:w="4703"/>
            <w:shd w:val="clear" w:color="auto" w:fill="FFFFFF"/>
          </w:tcPr>
          <w:p>
            <w:r>
              <w:rPr>
                <w:sz w:val="18"/>
              </w:rPr>
              <w:t>Industrial-finance instrument (C); investment portfolio (Ch.8); production-sharing model (Kilembe)</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power, shared infrastructure (B)</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 enforcement and capacity (D)</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Slag/tailings reuse; EV manufacturing (KMC); scrap-based Electric Arc Furnace (EAF) steel</w:t>
            </w:r>
          </w:p>
        </w:tc>
      </w:tr>
      <w:tr>
        <w:tc>
          <w:tcPr>
            <w:tcW w:type="dxa" w:w="4703"/>
            <w:shd w:val="clear" w:color="auto" w:fill="FFFFFF"/>
          </w:tcPr>
          <w:p>
            <w:r>
              <w:rPr>
                <w:sz w:val="18"/>
              </w:rPr>
              <w:t>6. Productive use of renewable energy &amp; efficiency</w:t>
            </w:r>
          </w:p>
        </w:tc>
        <w:tc>
          <w:tcPr>
            <w:tcW w:type="dxa" w:w="4703"/>
            <w:shd w:val="clear" w:color="auto" w:fill="FFFFFF"/>
          </w:tcPr>
          <w:p>
            <w:r>
              <w:rPr>
                <w:sz w:val="18"/>
              </w:rPr>
              <w:t>Industrial power reliability (A/B); hydro-grid-aligned EV strategy</w:t>
            </w:r>
          </w:p>
        </w:tc>
      </w:tr>
    </w:tbl>
    <w:p/>
    <w:p>
      <w:pPr>
        <w:pStyle w:val="Heading2"/>
      </w:pPr>
      <w:r>
        <w:t>7.5 Summary of Cross-Cutting Recommendations</w:t>
      </w:r>
    </w:p>
    <w:p>
      <w:pPr>
        <w:pStyle w:val="ListNumber"/>
      </w:pPr>
      <w:r>
        <w:rPr>
          <w:b/>
        </w:rPr>
        <w:t>Retain and process minerals domestically</w:t>
      </w:r>
      <w:r>
        <w:t xml:space="preserve"> — tax/restrict raw ore exports; prioritise beneficiation (highest-leverage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w:t>
      </w:r>
    </w:p>
    <w:p>
      <w:pPr>
        <w:pStyle w:val="ListNumber"/>
      </w:pPr>
      <w:r>
        <w:rPr>
          <w:b/>
        </w:rPr>
        <w:t>Enforce UNBS standards</w:t>
      </w:r>
      <w:r>
        <w:t xml:space="preserve"> on steel and cable imports (quick win).</w:t>
      </w:r>
    </w:p>
    <w:p>
      <w:pPr>
        <w:pStyle w:val="ListNumber"/>
      </w:pPr>
      <w:r>
        <w:rPr>
          <w:b/>
        </w:rPr>
        <w:t>Launch a metals/automotive/EV skills compact.</w:t>
      </w:r>
    </w:p>
    <w:p>
      <w:pPr>
        <w:pStyle w:val="ListNumber"/>
      </w:pPr>
      <w:r>
        <w:rPr>
          <w:b/>
        </w:rPr>
        <w:t>Anchor demand through public procurement</w:t>
      </w:r>
      <w:r>
        <w:t xml:space="preserve"> (infrastructure steel, grid cable, KMC buses).</w:t>
      </w:r>
    </w:p>
    <w:p>
      <w:pPr>
        <w:pStyle w:val="ListNumber"/>
      </w:pPr>
      <w:r>
        <w:rPr>
          <w:b/>
        </w:rPr>
        <w:t>Pursue green industrialisation as a competitiveness strategy</w:t>
      </w:r>
      <w:r>
        <w:t xml:space="preserve"> (hydro-powered DRI/EAF, low-carbon copper/cobalt, EVs, circular slag/tailings/scrap links).</w:t>
      </w:r>
    </w:p>
    <w:p>
      <w:r>
        <w:t>These six actions, taken together, address the shared constraints that hold back all three chains and convert Uganda's resource endowment and its new industrial anchors (Tembo, Devki, Kilembe redevelopment, KMC) into a competitive metals-to-mobility industrial system.</w:t>
      </w:r>
    </w:p>
    <w:p>
      <w:r>
        <w:br w:type="page"/>
      </w:r>
    </w:p>
    <w:p>
      <w:pPr>
        <w:pStyle w:val="Heading1"/>
      </w:pPr>
      <w:r>
        <w:t>Chapter 8: Investment Portfolio and Implementation Roadmap</w:t>
      </w:r>
    </w:p>
    <w:p>
      <w:r>
        <w:rPr>
          <w:b/>
        </w:rPr>
        <w:t>Report:</w:t>
      </w:r>
      <w:r>
        <w:t xml:space="preserve"> Report 1 — Iron &amp; Steel, Copper &amp; Allied Metals, and Automotive Value Chains</w:t>
      </w:r>
    </w:p>
    <w:p>
      <w:r>
        <w:rPr>
          <w:b/>
        </w:rPr>
        <w:t>Status:</w:t>
      </w:r>
      <w:r>
        <w:t xml:space="preserve"> Draft for validation</w:t>
      </w:r>
    </w:p>
    <w:p>
      <w:pPr>
        <w:pStyle w:val="IntenseQuote"/>
      </w:pPr>
      <w:r>
        <w:rPr>
          <w:b/>
        </w:rPr>
        <w:t>Important note on figures.</w:t>
      </w:r>
      <w:r>
        <w:t xml:space="preserve"> All capital (CAPEX) and operating (OPEX) figures in this chapter are </w:t>
      </w:r>
      <w:r>
        <w:rPr>
          <w:b/>
        </w:rPr>
        <w:t>indicative planning estimates</w:t>
      </w:r>
      <w:r>
        <w:t xml:space="preserve">, drawn from comparable projects, announced investments, and order-of-magnitude benchmarks — </w:t>
      </w:r>
      <w:r>
        <w:rPr>
          <w:b/>
        </w:rPr>
        <w:t>not appraised project costs</w:t>
      </w:r>
      <w:r>
        <w:t>. They are intended to size opportunities and sequence action, and must be confirmed through full feasibility studies before any investment decision. Where a figure derives from an announced project, the source is cited.</w:t>
      </w:r>
    </w:p>
    <w:p>
      <w:pPr>
        <w:pStyle w:val="Heading2"/>
      </w:pPr>
      <w:r>
        <w:t>8.1 Purpose</w:t>
      </w:r>
    </w:p>
    <w:p>
      <w:r>
        <w:t>This chapter consolidates the prioritized products from Chapters 4–6 into an investment portfolio and a phased implementation roadmap. It is organised to enable a decision: what to invest in, in what order, by whom, and at what indicative scale. Each priority product carries a short project profile (Section 8.3).</w:t>
      </w:r>
    </w:p>
    <w:p>
      <w:r>
        <w:rPr>
          <w:b/>
        </w:rPr>
        <w:t>Tenfold framing and the three-criteria screen.</w:t>
      </w:r>
      <w:r>
        <w:t xml:space="preserve"> Every investment here is selected for its contribution to the </w:t>
      </w:r>
      <w:r>
        <w:rPr>
          <w:b/>
        </w:rPr>
        <w:t>Tenfold Growth Strategy</w:t>
      </w:r>
      <w:r>
        <w:t xml:space="preserve">, and each is screened on three criteria </w:t>
      </w:r>
      <w:r>
        <w:rPr>
          <w:i/>
        </w:rPr>
        <w:t>simultaneously</w:t>
      </w:r>
      <w:r>
        <w:t xml:space="preserve"> (Section 8.2): </w:t>
      </w:r>
      <w:r>
        <w:rPr>
          <w:b/>
        </w:rPr>
        <w:t>(1) strategic alignment to tenfold growth</w:t>
      </w:r>
      <w:r>
        <w:t xml:space="preserve">, </w:t>
      </w:r>
      <w:r>
        <w:rPr>
          <w:b/>
        </w:rPr>
        <w:t>(2) a quick-win element</w:t>
      </w:r>
      <w:r>
        <w:t xml:space="preserve"> to build early momentum, and </w:t>
      </w:r>
      <w:r>
        <w:rPr>
          <w:b/>
        </w:rPr>
        <w:t>(3) a green/sustainability dimension</w:t>
      </w:r>
      <w:r>
        <w:t xml:space="preserve"> so that scale-up and decarbonisation advance together.</w:t>
      </w:r>
    </w:p>
    <w:p>
      <w:pPr>
        <w:pStyle w:val="Heading2"/>
      </w:pPr>
      <w:r>
        <w:t>8.2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Integrated ore→DRI→steel complex</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500m–1.0bn</w:t>
            </w:r>
          </w:p>
        </w:tc>
        <w:tc>
          <w:tcPr>
            <w:tcW w:type="dxa" w:w="1568"/>
            <w:shd w:val="clear" w:color="auto" w:fill="EEF3F9"/>
          </w:tcPr>
          <w:p>
            <w:r>
              <w:rPr>
                <w:sz w:val="18"/>
              </w:rPr>
              <w:t>Devki broke ground Nov 2025 (~USD 500m announced)</w:t>
            </w:r>
          </w:p>
        </w:tc>
      </w:tr>
      <w:tr>
        <w:tc>
          <w:tcPr>
            <w:tcW w:type="dxa" w:w="1568"/>
            <w:shd w:val="clear" w:color="auto" w:fill="FFFFFF"/>
          </w:tcPr>
          <w:p>
            <w:r>
              <w:rPr>
                <w:sz w:val="18"/>
              </w:rPr>
              <w:t>2</w:t>
            </w:r>
          </w:p>
        </w:tc>
        <w:tc>
          <w:tcPr>
            <w:tcW w:type="dxa" w:w="1568"/>
            <w:shd w:val="clear" w:color="auto" w:fill="FFFFFF"/>
          </w:tcPr>
          <w:p>
            <w:r>
              <w:rPr>
                <w:sz w:val="18"/>
              </w:rPr>
              <w:t>Flat-steel rolling mill</w:t>
            </w:r>
          </w:p>
        </w:tc>
        <w:tc>
          <w:tcPr>
            <w:tcW w:type="dxa" w:w="1568"/>
            <w:shd w:val="clear" w:color="auto" w:fill="FFFFFF"/>
          </w:tcPr>
          <w:p>
            <w:r>
              <w:rPr>
                <w:sz w:val="18"/>
              </w:rPr>
              <w:t>Iron &amp; Steel</w:t>
            </w:r>
          </w:p>
        </w:tc>
        <w:tc>
          <w:tcPr>
            <w:tcW w:type="dxa" w:w="1568"/>
            <w:shd w:val="clear" w:color="auto" w:fill="FFFFFF"/>
          </w:tcPr>
          <w:p>
            <w:r>
              <w:rPr>
                <w:sz w:val="18"/>
              </w:rPr>
              <w:t>Private-led</w:t>
            </w:r>
          </w:p>
        </w:tc>
        <w:tc>
          <w:tcPr>
            <w:tcW w:type="dxa" w:w="1568"/>
            <w:shd w:val="clear" w:color="auto" w:fill="FFFFFF"/>
          </w:tcPr>
          <w:p>
            <w:r>
              <w:rPr>
                <w:sz w:val="18"/>
              </w:rPr>
              <w:t>~USD 150–300m (indicative)</w:t>
            </w:r>
          </w:p>
        </w:tc>
        <w:tc>
          <w:tcPr>
            <w:tcW w:type="dxa" w:w="1568"/>
            <w:shd w:val="clear" w:color="auto" w:fill="FFFFFF"/>
          </w:tcPr>
          <w:p>
            <w:r>
              <w:rPr>
                <w:sz w:val="18"/>
              </w:rPr>
              <w:t>Substitutes USD 219.5m flat-steel imports</w:t>
            </w:r>
          </w:p>
        </w:tc>
      </w:tr>
      <w:tr>
        <w:tc>
          <w:tcPr>
            <w:tcW w:type="dxa" w:w="1568"/>
            <w:shd w:val="clear" w:color="auto" w:fill="EEF3F9"/>
          </w:tcPr>
          <w:p>
            <w:r>
              <w:rPr>
                <w:sz w:val="18"/>
              </w:rPr>
              <w:t>3</w:t>
            </w:r>
          </w:p>
        </w:tc>
        <w:tc>
          <w:tcPr>
            <w:tcW w:type="dxa" w:w="1568"/>
            <w:shd w:val="clear" w:color="auto" w:fill="EEF3F9"/>
          </w:tcPr>
          <w:p>
            <w:r>
              <w:rPr>
                <w:sz w:val="18"/>
              </w:rPr>
              <w:t>Iron-ore mining &amp; beneficiation</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100–250m (indicative)</w:t>
            </w:r>
          </w:p>
        </w:tc>
        <w:tc>
          <w:tcPr>
            <w:tcW w:type="dxa" w:w="1568"/>
            <w:shd w:val="clear" w:color="auto" w:fill="EEF3F9"/>
          </w:tcPr>
          <w:p>
            <w:r>
              <w:rPr>
                <w:sz w:val="18"/>
              </w:rPr>
              <w:t>Enables 1 &amp; feeds domestic mills</w:t>
            </w:r>
          </w:p>
        </w:tc>
      </w:tr>
      <w:tr>
        <w:tc>
          <w:tcPr>
            <w:tcW w:type="dxa" w:w="1568"/>
            <w:shd w:val="clear" w:color="auto" w:fill="FFFFFF"/>
          </w:tcPr>
          <w:p>
            <w:r>
              <w:rPr>
                <w:sz w:val="18"/>
              </w:rPr>
              <w:t>4</w:t>
            </w:r>
          </w:p>
        </w:tc>
        <w:tc>
          <w:tcPr>
            <w:tcW w:type="dxa" w:w="1568"/>
            <w:shd w:val="clear" w:color="auto" w:fill="FFFFFF"/>
          </w:tcPr>
          <w:p>
            <w:r>
              <w:rPr>
                <w:sz w:val="18"/>
              </w:rPr>
              <w:t>Kilembe copper–cobalt redevelopment</w:t>
            </w:r>
          </w:p>
        </w:tc>
        <w:tc>
          <w:tcPr>
            <w:tcW w:type="dxa" w:w="1568"/>
            <w:shd w:val="clear" w:color="auto" w:fill="FFFFFF"/>
          </w:tcPr>
          <w:p>
            <w:r>
              <w:rPr>
                <w:sz w:val="18"/>
              </w:rPr>
              <w:t>Copper</w:t>
            </w:r>
          </w:p>
        </w:tc>
        <w:tc>
          <w:tcPr>
            <w:tcW w:type="dxa" w:w="1568"/>
            <w:shd w:val="clear" w:color="auto" w:fill="FFFFFF"/>
          </w:tcPr>
          <w:p>
            <w:r>
              <w:rPr>
                <w:sz w:val="18"/>
              </w:rPr>
              <w:t>Production-sharing (PPP)</w:t>
            </w:r>
          </w:p>
        </w:tc>
        <w:tc>
          <w:tcPr>
            <w:tcW w:type="dxa" w:w="1568"/>
            <w:shd w:val="clear" w:color="auto" w:fill="FFFFFF"/>
          </w:tcPr>
          <w:p>
            <w:r>
              <w:rPr>
                <w:sz w:val="18"/>
              </w:rPr>
              <w:t>Large; investor-financed</w:t>
            </w:r>
          </w:p>
        </w:tc>
        <w:tc>
          <w:tcPr>
            <w:tcW w:type="dxa" w:w="1568"/>
            <w:shd w:val="clear" w:color="auto" w:fill="FFFFFF"/>
          </w:tcPr>
          <w:p>
            <w:r>
              <w:rPr>
                <w:sz w:val="18"/>
              </w:rPr>
              <w:t>Sarrai/Nile Fibreboard deal, Mar 2025</w:t>
            </w:r>
          </w:p>
        </w:tc>
      </w:tr>
      <w:tr>
        <w:tc>
          <w:tcPr>
            <w:tcW w:type="dxa" w:w="1568"/>
            <w:shd w:val="clear" w:color="auto" w:fill="EEF3F9"/>
          </w:tcPr>
          <w:p>
            <w:r>
              <w:rPr>
                <w:sz w:val="18"/>
              </w:rPr>
              <w:t>5</w:t>
            </w:r>
          </w:p>
        </w:tc>
        <w:tc>
          <w:tcPr>
            <w:tcW w:type="dxa" w:w="1568"/>
            <w:shd w:val="clear" w:color="auto" w:fill="EEF3F9"/>
          </w:tcPr>
          <w:p>
            <w:r>
              <w:rPr>
                <w:sz w:val="18"/>
              </w:rPr>
              <w:t>Cable &amp; conductor capacity expansion</w:t>
            </w:r>
          </w:p>
        </w:tc>
        <w:tc>
          <w:tcPr>
            <w:tcW w:type="dxa" w:w="1568"/>
            <w:shd w:val="clear" w:color="auto" w:fill="EEF3F9"/>
          </w:tcPr>
          <w:p>
            <w:r>
              <w:rPr>
                <w:sz w:val="18"/>
              </w:rPr>
              <w:t>Copper</w:t>
            </w:r>
          </w:p>
        </w:tc>
        <w:tc>
          <w:tcPr>
            <w:tcW w:type="dxa" w:w="1568"/>
            <w:shd w:val="clear" w:color="auto" w:fill="EEF3F9"/>
          </w:tcPr>
          <w:p>
            <w:r>
              <w:rPr>
                <w:sz w:val="18"/>
              </w:rPr>
              <w:t>Private-led</w:t>
            </w:r>
          </w:p>
        </w:tc>
        <w:tc>
          <w:tcPr>
            <w:tcW w:type="dxa" w:w="1568"/>
            <w:shd w:val="clear" w:color="auto" w:fill="EEF3F9"/>
          </w:tcPr>
          <w:p>
            <w:r>
              <w:rPr>
                <w:sz w:val="18"/>
              </w:rPr>
              <w:t>~USD 30–80m (indicative)</w:t>
            </w:r>
          </w:p>
        </w:tc>
        <w:tc>
          <w:tcPr>
            <w:tcW w:type="dxa" w:w="1568"/>
            <w:shd w:val="clear" w:color="auto" w:fill="EEF3F9"/>
          </w:tcPr>
          <w:p>
            <w:r>
              <w:rPr>
                <w:sz w:val="18"/>
              </w:rPr>
              <w:t>Builds on Cable Corp (~65% market)</w:t>
            </w:r>
          </w:p>
        </w:tc>
      </w:tr>
      <w:tr>
        <w:tc>
          <w:tcPr>
            <w:tcW w:type="dxa" w:w="1568"/>
            <w:shd w:val="clear" w:color="auto" w:fill="FFFFFF"/>
          </w:tcPr>
          <w:p>
            <w:r>
              <w:rPr>
                <w:sz w:val="18"/>
              </w:rPr>
              <w:t>6</w:t>
            </w:r>
          </w:p>
        </w:tc>
        <w:tc>
          <w:tcPr>
            <w:tcW w:type="dxa" w:w="1568"/>
            <w:shd w:val="clear" w:color="auto" w:fill="FFFFFF"/>
          </w:tcPr>
          <w:p>
            <w:r>
              <w:rPr>
                <w:sz w:val="18"/>
              </w:rPr>
              <w:t>KMC capacity expansion (buses/EVs)</w:t>
            </w:r>
          </w:p>
        </w:tc>
        <w:tc>
          <w:tcPr>
            <w:tcW w:type="dxa" w:w="1568"/>
            <w:shd w:val="clear" w:color="auto" w:fill="FFFFFF"/>
          </w:tcPr>
          <w:p>
            <w:r>
              <w:rPr>
                <w:sz w:val="18"/>
              </w:rPr>
              <w:t>Automotive</w:t>
            </w:r>
          </w:p>
        </w:tc>
        <w:tc>
          <w:tcPr>
            <w:tcW w:type="dxa" w:w="1568"/>
            <w:shd w:val="clear" w:color="auto" w:fill="FFFFFF"/>
          </w:tcPr>
          <w:p>
            <w:r>
              <w:rPr>
                <w:sz w:val="18"/>
              </w:rPr>
              <w:t>Public + PPP</w:t>
            </w:r>
          </w:p>
        </w:tc>
        <w:tc>
          <w:tcPr>
            <w:tcW w:type="dxa" w:w="1568"/>
            <w:shd w:val="clear" w:color="auto" w:fill="FFFFFF"/>
          </w:tcPr>
          <w:p>
            <w:r>
              <w:rPr>
                <w:sz w:val="18"/>
              </w:rPr>
              <w:t>~USD 100–200m (indicative)</w:t>
            </w:r>
          </w:p>
        </w:tc>
        <w:tc>
          <w:tcPr>
            <w:tcW w:type="dxa" w:w="1568"/>
            <w:shd w:val="clear" w:color="auto" w:fill="FFFFFF"/>
          </w:tcPr>
          <w:p>
            <w:r>
              <w:rPr>
                <w:sz w:val="18"/>
              </w:rPr>
              <w:t>Plant commissioned Sept 2025</w:t>
            </w:r>
          </w:p>
        </w:tc>
      </w:tr>
      <w:tr>
        <w:tc>
          <w:tcPr>
            <w:tcW w:type="dxa" w:w="1568"/>
            <w:shd w:val="clear" w:color="auto" w:fill="EEF3F9"/>
          </w:tcPr>
          <w:p>
            <w:r>
              <w:rPr>
                <w:sz w:val="18"/>
              </w:rPr>
              <w:t>7</w:t>
            </w:r>
          </w:p>
        </w:tc>
        <w:tc>
          <w:tcPr>
            <w:tcW w:type="dxa" w:w="1568"/>
            <w:shd w:val="clear" w:color="auto" w:fill="EEF3F9"/>
          </w:tcPr>
          <w:p>
            <w:r>
              <w:rPr>
                <w:sz w:val="18"/>
              </w:rPr>
              <w:t>Motorcycle CKD assembly plant(s)</w:t>
            </w:r>
          </w:p>
        </w:tc>
        <w:tc>
          <w:tcPr>
            <w:tcW w:type="dxa" w:w="1568"/>
            <w:shd w:val="clear" w:color="auto" w:fill="EEF3F9"/>
          </w:tcPr>
          <w:p>
            <w:r>
              <w:rPr>
                <w:sz w:val="18"/>
              </w:rPr>
              <w:t>Automotive</w:t>
            </w:r>
          </w:p>
        </w:tc>
        <w:tc>
          <w:tcPr>
            <w:tcW w:type="dxa" w:w="1568"/>
            <w:shd w:val="clear" w:color="auto" w:fill="EEF3F9"/>
          </w:tcPr>
          <w:p>
            <w:r>
              <w:rPr>
                <w:sz w:val="18"/>
              </w:rPr>
              <w:t>Private-led</w:t>
            </w:r>
          </w:p>
        </w:tc>
        <w:tc>
          <w:tcPr>
            <w:tcW w:type="dxa" w:w="1568"/>
            <w:shd w:val="clear" w:color="auto" w:fill="EEF3F9"/>
          </w:tcPr>
          <w:p>
            <w:r>
              <w:rPr>
                <w:sz w:val="18"/>
              </w:rPr>
              <w:t>~USD 20–50m (indicative)</w:t>
            </w:r>
          </w:p>
        </w:tc>
        <w:tc>
          <w:tcPr>
            <w:tcW w:type="dxa" w:w="1568"/>
            <w:shd w:val="clear" w:color="auto" w:fill="EEF3F9"/>
          </w:tcPr>
          <w:p>
            <w:r>
              <w:rPr>
                <w:sz w:val="18"/>
              </w:rPr>
              <w:t>Substitutes part of USD 157m imports</w:t>
            </w:r>
          </w:p>
        </w:tc>
      </w:tr>
    </w:tbl>
    <w:p/>
    <w:p>
      <w:r>
        <w:rPr>
          <w:b/>
        </w:rPr>
        <w:t>Portfolio logic.</w:t>
      </w:r>
      <w:r>
        <w:t xml:space="preserve"> Items 1, 3, and 4 are the </w:t>
      </w:r>
      <w:r>
        <w:rPr>
          <w:b/>
        </w:rPr>
        <w:t>upstream enablers</w:t>
      </w:r>
      <w:r>
        <w:t xml:space="preserve"> (close the mining/processing gap). Items 2 and 5 are the </w:t>
      </w:r>
      <w:r>
        <w:rPr>
          <w:b/>
        </w:rPr>
        <w:t>largest import-substitution prizes</w:t>
      </w:r>
      <w:r>
        <w:t xml:space="preserve"> (flat steel; cable). Items 6 and 7 are the </w:t>
      </w:r>
      <w:r>
        <w:rPr>
          <w:b/>
        </w:rPr>
        <w:t>demand anchors and job multipliers</w:t>
      </w:r>
      <w:r>
        <w:t xml:space="preserve"> (buses/EVs; motorcycles). Sequenced correctly, the upstream investments feed the downstream ones.</w:t>
      </w:r>
    </w:p>
    <w:p>
      <w:r>
        <w:rPr>
          <w:b/>
        </w:rPr>
        <w:t>Three-criteria screen (#13).</w:t>
      </w:r>
      <w:r>
        <w:t xml:space="preserve"> Each investment is strategic, carries a quick-win element, and has a green dimension: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w:t>
            </w:r>
          </w:p>
        </w:tc>
        <w:tc>
          <w:tcPr>
            <w:tcW w:type="dxa" w:w="1881"/>
            <w:shd w:val="clear" w:color="auto" w:fill="002B5B"/>
          </w:tcPr>
          <w:p>
            <w:r>
              <w:rPr>
                <w:b/>
                <w:color w:val="FFFFFF"/>
                <w:sz w:val="18"/>
              </w:rPr>
              <w:t>Investment</w:t>
            </w:r>
          </w:p>
        </w:tc>
        <w:tc>
          <w:tcPr>
            <w:tcW w:type="dxa" w:w="1881"/>
            <w:shd w:val="clear" w:color="auto" w:fill="002B5B"/>
          </w:tcPr>
          <w:p>
            <w:r>
              <w:rPr>
                <w:b/>
                <w:color w:val="FFFFFF"/>
                <w:sz w:val="18"/>
              </w:rPr>
              <w:t>Strategic (tenfold)</w:t>
            </w:r>
          </w:p>
        </w:tc>
        <w:tc>
          <w:tcPr>
            <w:tcW w:type="dxa" w:w="1881"/>
            <w:shd w:val="clear" w:color="auto" w:fill="002B5B"/>
          </w:tcPr>
          <w:p>
            <w:r>
              <w:rPr>
                <w:b/>
                <w:color w:val="FFFFFF"/>
                <w:sz w:val="18"/>
              </w:rPr>
              <w:t>Quick-win element</w:t>
            </w:r>
          </w:p>
        </w:tc>
        <w:tc>
          <w:tcPr>
            <w:tcW w:type="dxa" w:w="1881"/>
            <w:shd w:val="clear" w:color="auto" w:fill="002B5B"/>
          </w:tcPr>
          <w:p>
            <w:r>
              <w:rPr>
                <w:b/>
                <w:color w:val="FFFFFF"/>
                <w:sz w:val="18"/>
              </w:rPr>
              <w:t>Green dimension</w:t>
            </w:r>
          </w:p>
        </w:tc>
      </w:tr>
      <w:tr>
        <w:tc>
          <w:tcPr>
            <w:tcW w:type="dxa" w:w="1881"/>
            <w:shd w:val="clear" w:color="auto" w:fill="EEF3F9"/>
          </w:tcPr>
          <w:p>
            <w:r>
              <w:rPr>
                <w:sz w:val="18"/>
              </w:rPr>
              <w:t>1</w:t>
            </w:r>
          </w:p>
        </w:tc>
        <w:tc>
          <w:tcPr>
            <w:tcW w:type="dxa" w:w="1881"/>
            <w:shd w:val="clear" w:color="auto" w:fill="EEF3F9"/>
          </w:tcPr>
          <w:p>
            <w:r>
              <w:rPr>
                <w:sz w:val="18"/>
              </w:rPr>
              <w:t>Integrated steel complex</w:t>
            </w:r>
          </w:p>
        </w:tc>
        <w:tc>
          <w:tcPr>
            <w:tcW w:type="dxa" w:w="1881"/>
            <w:shd w:val="clear" w:color="auto" w:fill="EEF3F9"/>
          </w:tcPr>
          <w:p>
            <w:r>
              <w:rPr>
                <w:sz w:val="18"/>
              </w:rPr>
              <w:t>Backbone for tenfold-scale domestic steel</w:t>
            </w:r>
          </w:p>
        </w:tc>
        <w:tc>
          <w:tcPr>
            <w:tcW w:type="dxa" w:w="1881"/>
            <w:shd w:val="clear" w:color="auto" w:fill="EEF3F9"/>
          </w:tcPr>
          <w:p>
            <w:r>
              <w:rPr>
                <w:sz w:val="18"/>
              </w:rPr>
              <w:t>Phase via Tembo/Devki already underway</w:t>
            </w:r>
          </w:p>
        </w:tc>
        <w:tc>
          <w:tcPr>
            <w:tcW w:type="dxa" w:w="1881"/>
            <w:shd w:val="clear" w:color="auto" w:fill="EEF3F9"/>
          </w:tcPr>
          <w:p>
            <w:r>
              <w:rPr>
                <w:sz w:val="18"/>
              </w:rPr>
              <w:t>Gas/H₂-DRI + hydro-EAF; slag→cement</w:t>
            </w:r>
          </w:p>
        </w:tc>
      </w:tr>
      <w:tr>
        <w:tc>
          <w:tcPr>
            <w:tcW w:type="dxa" w:w="1881"/>
            <w:shd w:val="clear" w:color="auto" w:fill="FFFFFF"/>
          </w:tcPr>
          <w:p>
            <w:r>
              <w:rPr>
                <w:sz w:val="18"/>
              </w:rPr>
              <w:t>2</w:t>
            </w:r>
          </w:p>
        </w:tc>
        <w:tc>
          <w:tcPr>
            <w:tcW w:type="dxa" w:w="1881"/>
            <w:shd w:val="clear" w:color="auto" w:fill="FFFFFF"/>
          </w:tcPr>
          <w:p>
            <w:r>
              <w:rPr>
                <w:sz w:val="18"/>
              </w:rPr>
              <w:t>Flat-steel rolling mill</w:t>
            </w:r>
          </w:p>
        </w:tc>
        <w:tc>
          <w:tcPr>
            <w:tcW w:type="dxa" w:w="1881"/>
            <w:shd w:val="clear" w:color="auto" w:fill="FFFFFF"/>
          </w:tcPr>
          <w:p>
            <w:r>
              <w:rPr>
                <w:sz w:val="18"/>
              </w:rPr>
              <w:t>Largest import-substitution prize</w:t>
            </w:r>
          </w:p>
        </w:tc>
        <w:tc>
          <w:tcPr>
            <w:tcW w:type="dxa" w:w="1881"/>
            <w:shd w:val="clear" w:color="auto" w:fill="FFFFFF"/>
          </w:tcPr>
          <w:p>
            <w:r>
              <w:rPr>
                <w:sz w:val="18"/>
              </w:rPr>
              <w:t>Cold-rolling/coating line starts on imported coil</w:t>
            </w:r>
          </w:p>
        </w:tc>
        <w:tc>
          <w:tcPr>
            <w:tcW w:type="dxa" w:w="1881"/>
            <w:shd w:val="clear" w:color="auto" w:fill="FFFFFF"/>
          </w:tcPr>
          <w:p>
            <w:r>
              <w:rPr>
                <w:sz w:val="18"/>
              </w:rPr>
              <w:t>Hydro-powered, efficient lines</w:t>
            </w:r>
          </w:p>
        </w:tc>
      </w:tr>
      <w:tr>
        <w:tc>
          <w:tcPr>
            <w:tcW w:type="dxa" w:w="1881"/>
            <w:shd w:val="clear" w:color="auto" w:fill="EEF3F9"/>
          </w:tcPr>
          <w:p>
            <w:r>
              <w:rPr>
                <w:sz w:val="18"/>
              </w:rPr>
              <w:t>3</w:t>
            </w:r>
          </w:p>
        </w:tc>
        <w:tc>
          <w:tcPr>
            <w:tcW w:type="dxa" w:w="1881"/>
            <w:shd w:val="clear" w:color="auto" w:fill="EEF3F9"/>
          </w:tcPr>
          <w:p>
            <w:r>
              <w:rPr>
                <w:sz w:val="18"/>
              </w:rPr>
              <w:t>Iron-ore mining &amp; beneficiation</w:t>
            </w:r>
          </w:p>
        </w:tc>
        <w:tc>
          <w:tcPr>
            <w:tcW w:type="dxa" w:w="1881"/>
            <w:shd w:val="clear" w:color="auto" w:fill="EEF3F9"/>
          </w:tcPr>
          <w:p>
            <w:r>
              <w:rPr>
                <w:sz w:val="18"/>
              </w:rPr>
              <w:t>Enables domestic ironmaking</w:t>
            </w:r>
          </w:p>
        </w:tc>
        <w:tc>
          <w:tcPr>
            <w:tcW w:type="dxa" w:w="1881"/>
            <w:shd w:val="clear" w:color="auto" w:fill="EEF3F9"/>
          </w:tcPr>
          <w:p>
            <w:r>
              <w:rPr>
                <w:sz w:val="18"/>
              </w:rPr>
              <w:t>Scale an existing miner via UDC</w:t>
            </w:r>
          </w:p>
        </w:tc>
        <w:tc>
          <w:tcPr>
            <w:tcW w:type="dxa" w:w="1881"/>
            <w:shd w:val="clear" w:color="auto" w:fill="EEF3F9"/>
          </w:tcPr>
          <w:p>
            <w:r>
              <w:rPr>
                <w:sz w:val="18"/>
              </w:rPr>
              <w:t>On-site beneficiation; rail vs road</w:t>
            </w:r>
          </w:p>
        </w:tc>
      </w:tr>
      <w:tr>
        <w:tc>
          <w:tcPr>
            <w:tcW w:type="dxa" w:w="1881"/>
            <w:shd w:val="clear" w:color="auto" w:fill="FFFFFF"/>
          </w:tcPr>
          <w:p>
            <w:r>
              <w:rPr>
                <w:sz w:val="18"/>
              </w:rPr>
              <w:t>4</w:t>
            </w:r>
          </w:p>
        </w:tc>
        <w:tc>
          <w:tcPr>
            <w:tcW w:type="dxa" w:w="1881"/>
            <w:shd w:val="clear" w:color="auto" w:fill="FFFFFF"/>
          </w:tcPr>
          <w:p>
            <w:r>
              <w:rPr>
                <w:sz w:val="18"/>
              </w:rPr>
              <w:t>Kilembe copper–cobalt</w:t>
            </w:r>
          </w:p>
        </w:tc>
        <w:tc>
          <w:tcPr>
            <w:tcW w:type="dxa" w:w="1881"/>
            <w:shd w:val="clear" w:color="auto" w:fill="FFFFFF"/>
          </w:tcPr>
          <w:p>
            <w:r>
              <w:rPr>
                <w:sz w:val="18"/>
              </w:rPr>
              <w:t>Reopens midstream; battery minerals</w:t>
            </w:r>
          </w:p>
        </w:tc>
        <w:tc>
          <w:tcPr>
            <w:tcW w:type="dxa" w:w="1881"/>
            <w:shd w:val="clear" w:color="auto" w:fill="FFFFFF"/>
          </w:tcPr>
          <w:p>
            <w:r>
              <w:rPr>
                <w:sz w:val="18"/>
              </w:rPr>
              <w:t>2025 PSA signed; tailings reprocessing first</w:t>
            </w:r>
          </w:p>
        </w:tc>
        <w:tc>
          <w:tcPr>
            <w:tcW w:type="dxa" w:w="1881"/>
            <w:shd w:val="clear" w:color="auto" w:fill="FFFFFF"/>
          </w:tcPr>
          <w:p>
            <w:r>
              <w:rPr>
                <w:sz w:val="18"/>
              </w:rPr>
              <w:t>Hydro electro-refining; tailings recovery</w:t>
            </w:r>
          </w:p>
        </w:tc>
      </w:tr>
      <w:tr>
        <w:tc>
          <w:tcPr>
            <w:tcW w:type="dxa" w:w="1881"/>
            <w:shd w:val="clear" w:color="auto" w:fill="EEF3F9"/>
          </w:tcPr>
          <w:p>
            <w:r>
              <w:rPr>
                <w:sz w:val="18"/>
              </w:rPr>
              <w:t>5</w:t>
            </w:r>
          </w:p>
        </w:tc>
        <w:tc>
          <w:tcPr>
            <w:tcW w:type="dxa" w:w="1881"/>
            <w:shd w:val="clear" w:color="auto" w:fill="EEF3F9"/>
          </w:tcPr>
          <w:p>
            <w:r>
              <w:rPr>
                <w:sz w:val="18"/>
              </w:rPr>
              <w:t>Cable &amp; conductor expansion</w:t>
            </w:r>
          </w:p>
        </w:tc>
        <w:tc>
          <w:tcPr>
            <w:tcW w:type="dxa" w:w="1881"/>
            <w:shd w:val="clear" w:color="auto" w:fill="EEF3F9"/>
          </w:tcPr>
          <w:p>
            <w:r>
              <w:rPr>
                <w:sz w:val="18"/>
              </w:rPr>
              <w:t>Captures electrification demand</w:t>
            </w:r>
          </w:p>
        </w:tc>
        <w:tc>
          <w:tcPr>
            <w:tcW w:type="dxa" w:w="1881"/>
            <w:shd w:val="clear" w:color="auto" w:fill="EEF3F9"/>
          </w:tcPr>
          <w:p>
            <w:r>
              <w:rPr>
                <w:sz w:val="18"/>
              </w:rPr>
              <w:t>Expands proven Cable Corp base</w:t>
            </w:r>
          </w:p>
        </w:tc>
        <w:tc>
          <w:tcPr>
            <w:tcW w:type="dxa" w:w="1881"/>
            <w:shd w:val="clear" w:color="auto" w:fill="EEF3F9"/>
          </w:tcPr>
          <w:p>
            <w:r>
              <w:rPr>
                <w:sz w:val="18"/>
              </w:rPr>
              <w:t>Hydro power; scrap-copper recycling</w:t>
            </w:r>
          </w:p>
        </w:tc>
      </w:tr>
      <w:tr>
        <w:tc>
          <w:tcPr>
            <w:tcW w:type="dxa" w:w="1881"/>
            <w:shd w:val="clear" w:color="auto" w:fill="FFFFFF"/>
          </w:tcPr>
          <w:p>
            <w:r>
              <w:rPr>
                <w:sz w:val="18"/>
              </w:rPr>
              <w:t>6</w:t>
            </w:r>
          </w:p>
        </w:tc>
        <w:tc>
          <w:tcPr>
            <w:tcW w:type="dxa" w:w="1881"/>
            <w:shd w:val="clear" w:color="auto" w:fill="FFFFFF"/>
          </w:tcPr>
          <w:p>
            <w:r>
              <w:rPr>
                <w:sz w:val="18"/>
              </w:rPr>
              <w:t>KMC buses/EVs</w:t>
            </w:r>
          </w:p>
        </w:tc>
        <w:tc>
          <w:tcPr>
            <w:tcW w:type="dxa" w:w="1881"/>
            <w:shd w:val="clear" w:color="auto" w:fill="FFFFFF"/>
          </w:tcPr>
          <w:p>
            <w:r>
              <w:rPr>
                <w:sz w:val="18"/>
              </w:rPr>
              <w:t>State-anchored mobility industry</w:t>
            </w:r>
          </w:p>
        </w:tc>
        <w:tc>
          <w:tcPr>
            <w:tcW w:type="dxa" w:w="1881"/>
            <w:shd w:val="clear" w:color="auto" w:fill="FFFFFF"/>
          </w:tcPr>
          <w:p>
            <w:r>
              <w:rPr>
                <w:sz w:val="18"/>
              </w:rPr>
              <w:t>Plant commissioned; fleet procurement</w:t>
            </w:r>
          </w:p>
        </w:tc>
        <w:tc>
          <w:tcPr>
            <w:tcW w:type="dxa" w:w="1881"/>
            <w:shd w:val="clear" w:color="auto" w:fill="FFFFFF"/>
          </w:tcPr>
          <w:p>
            <w:r>
              <w:rPr>
                <w:sz w:val="18"/>
              </w:rPr>
              <w:t>Electric buses on hydro grid</w:t>
            </w:r>
          </w:p>
        </w:tc>
      </w:tr>
      <w:tr>
        <w:tc>
          <w:tcPr>
            <w:tcW w:type="dxa" w:w="1881"/>
            <w:shd w:val="clear" w:color="auto" w:fill="EEF3F9"/>
          </w:tcPr>
          <w:p>
            <w:r>
              <w:rPr>
                <w:sz w:val="18"/>
              </w:rPr>
              <w:t>7</w:t>
            </w:r>
          </w:p>
        </w:tc>
        <w:tc>
          <w:tcPr>
            <w:tcW w:type="dxa" w:w="1881"/>
            <w:shd w:val="clear" w:color="auto" w:fill="EEF3F9"/>
          </w:tcPr>
          <w:p>
            <w:r>
              <w:rPr>
                <w:sz w:val="18"/>
              </w:rPr>
              <w:t>Motorcycle CKD/e-boda</w:t>
            </w:r>
          </w:p>
        </w:tc>
        <w:tc>
          <w:tcPr>
            <w:tcW w:type="dxa" w:w="1881"/>
            <w:shd w:val="clear" w:color="auto" w:fill="EEF3F9"/>
          </w:tcPr>
          <w:p>
            <w:r>
              <w:rPr>
                <w:sz w:val="18"/>
              </w:rPr>
              <w:t>Largest-volume mobility market</w:t>
            </w:r>
          </w:p>
        </w:tc>
        <w:tc>
          <w:tcPr>
            <w:tcW w:type="dxa" w:w="1881"/>
            <w:shd w:val="clear" w:color="auto" w:fill="EEF3F9"/>
          </w:tcPr>
          <w:p>
            <w:r>
              <w:rPr>
                <w:sz w:val="18"/>
              </w:rPr>
              <w:t>CKD assembly feasible now</w:t>
            </w:r>
          </w:p>
        </w:tc>
        <w:tc>
          <w:tcPr>
            <w:tcW w:type="dxa" w:w="1881"/>
            <w:shd w:val="clear" w:color="auto" w:fill="EEF3F9"/>
          </w:tcPr>
          <w:p>
            <w:r>
              <w:rPr>
                <w:sz w:val="18"/>
              </w:rPr>
              <w:t>Transition to electric boda</w:t>
            </w:r>
          </w:p>
        </w:tc>
      </w:tr>
    </w:tbl>
    <w:p/>
    <w:p>
      <w:pPr>
        <w:pStyle w:val="Heading2"/>
      </w:pPr>
      <w:r>
        <w:t>8.3 Project Profiles (Priority Products Only)</w:t>
      </w:r>
    </w:p>
    <w:p>
      <w:r>
        <w:t xml:space="preserve">Per the agreed scope, standalone profiles are produced for the </w:t>
      </w:r>
      <w:r>
        <w:rPr>
          <w:b/>
        </w:rPr>
        <w:t>priority products</w:t>
      </w:r>
      <w:r>
        <w:t xml:space="preserve"> identified in Chapters 4–6. Each is a one-to-two-page investor-facing summary; figures are indicative pending feasibility.</w:t>
      </w:r>
    </w:p>
    <w:p>
      <w:pPr>
        <w:pStyle w:val="Heading3"/>
      </w:pPr>
      <w:r>
        <w:t>Profile 1 — Integrated Iron &amp; Steel Complex (ore→DRI→steel→rolling)</w:t>
      </w:r>
    </w:p>
    <w:p>
      <w:pPr>
        <w:pStyle w:val="ListBullet"/>
      </w:pPr>
      <w:r>
        <w:rPr>
          <w:b/>
        </w:rPr>
        <w:t>Business case:</w:t>
      </w:r>
      <w:r>
        <w:t xml:space="preserve"> Uganda imports USD 78.5m of semi-finished steel and USD 219.5m of flat steel annually (ITC TradeMap, 2024) while exporting iron ore raw. An integrated complex captures the full value chain domestically.</w:t>
      </w:r>
    </w:p>
    <w:p>
      <w:pPr>
        <w:pStyle w:val="ListBullet"/>
      </w:pPr>
      <w:r>
        <w:rPr>
          <w:b/>
        </w:rPr>
        <w:t>Anchor:</w:t>
      </w:r>
      <w:r>
        <w:t xml:space="preserve"> Devki Group's announced ~USD 500m integrated complex (Tororo/Mbarara), ground broken Nov 2025, ~15,000 jobs projected (GMK Center; The Independent, 2025).</w:t>
      </w:r>
    </w:p>
    <w:p>
      <w:pPr>
        <w:pStyle w:val="ListBullet"/>
      </w:pPr>
      <w:r>
        <w:rPr>
          <w:b/>
        </w:rPr>
        <w:t>Modality:</w:t>
      </w:r>
      <w:r>
        <w:t xml:space="preserve"> Private-led with PPP support (power, land, infrastructure).</w:t>
      </w:r>
    </w:p>
    <w:p>
      <w:pPr>
        <w:pStyle w:val="ListBullet"/>
      </w:pPr>
      <w:r>
        <w:rPr>
          <w:b/>
        </w:rPr>
        <w:t>Indicative CAPEX:</w:t>
      </w:r>
      <w:r>
        <w:t xml:space="preserve"> USD 500m–1.0bn. </w:t>
      </w:r>
      <w:r>
        <w:rPr>
          <w:b/>
        </w:rPr>
        <w:t>Key risks:</w:t>
      </w:r>
      <w:r>
        <w:t xml:space="preserve"> power reliability, ore supply, capital. </w:t>
      </w:r>
      <w:r>
        <w:rPr>
          <w:b/>
        </w:rPr>
        <w:t>Mitigations:</w:t>
      </w:r>
      <w:r>
        <w:t xml:space="preserve"> power agreement, ore-export restriction, blended finance.</w:t>
      </w:r>
    </w:p>
    <w:p>
      <w:pPr>
        <w:pStyle w:val="Heading3"/>
      </w:pPr>
      <w:r>
        <w:t>Profile 2 — Flat-Steel Rolling Mill</w:t>
      </w:r>
    </w:p>
    <w:p>
      <w:pPr>
        <w:pStyle w:val="ListBullet"/>
      </w:pPr>
      <w:r>
        <w:rPr>
          <w:b/>
        </w:rPr>
        <w:t>Business case:</w:t>
      </w:r>
      <w:r>
        <w:t xml:space="preserve"> Flat steel (HS 7208) is the single largest steel import line — USD 219.5m in 2024 — with no domestic production. A hot/cold-rolling mill substitutes imports for construction and manufacturing.</w:t>
      </w:r>
    </w:p>
    <w:p>
      <w:pPr>
        <w:pStyle w:val="ListBullet"/>
      </w:pPr>
      <w:r>
        <w:rPr>
          <w:b/>
        </w:rPr>
        <w:t>Modality:</w:t>
      </w:r>
      <w:r>
        <w:t xml:space="preserve"> Private-led. </w:t>
      </w:r>
      <w:r>
        <w:rPr>
          <w:b/>
        </w:rPr>
        <w:t>Indicative CAPEX:</w:t>
      </w:r>
      <w:r>
        <w:t xml:space="preserve"> USD 150–300m. </w:t>
      </w:r>
      <w:r>
        <w:rPr>
          <w:b/>
        </w:rPr>
        <w:t>Key risk:</w:t>
      </w:r>
      <w:r>
        <w:t xml:space="preserve"> feedstock (slab) supply — best paired with Profile 1.</w:t>
      </w:r>
    </w:p>
    <w:p>
      <w:pPr>
        <w:pStyle w:val="Heading3"/>
      </w:pPr>
      <w:r>
        <w:t>Profile 3 — Iron-Ore Mining &amp; Beneficiation</w:t>
      </w:r>
    </w:p>
    <w:p>
      <w:pPr>
        <w:pStyle w:val="ListBullet"/>
      </w:pPr>
      <w:r>
        <w:rPr>
          <w:b/>
        </w:rPr>
        <w:t>Business case:</w:t>
      </w:r>
      <w:r>
        <w:t xml:space="preserve"> Domestic high-grade ore (Muko/Mutaka) is under-exploited; mining and beneficiation feed domestic DRI and stop raw-ore leakage.</w:t>
      </w:r>
    </w:p>
    <w:p>
      <w:pPr>
        <w:pStyle w:val="ListBullet"/>
      </w:pPr>
      <w:r>
        <w:rPr>
          <w:b/>
        </w:rPr>
        <w:t>Modality:</w:t>
      </w:r>
      <w:r>
        <w:t xml:space="preserve"> Private-led / PPP. </w:t>
      </w:r>
      <w:r>
        <w:rPr>
          <w:b/>
        </w:rPr>
        <w:t>Indicative CAPEX:</w:t>
      </w:r>
      <w:r>
        <w:t xml:space="preserve"> USD 100–250m. </w:t>
      </w:r>
      <w:r>
        <w:rPr>
          <w:b/>
        </w:rPr>
        <w:t>Enabler</w:t>
      </w:r>
      <w:r>
        <w:t xml:space="preserve"> for Profiles 1–2.</w:t>
      </w:r>
    </w:p>
    <w:p>
      <w:pPr>
        <w:pStyle w:val="Heading3"/>
      </w:pPr>
      <w:r>
        <w:t>Profile 4 — Kilembe Copper–Cobalt Redevelopment</w:t>
      </w:r>
    </w:p>
    <w:p>
      <w:pPr>
        <w:pStyle w:val="ListBullet"/>
      </w:pPr>
      <w:r>
        <w:rPr>
          <w:b/>
        </w:rPr>
        <w:t>Business case:</w:t>
      </w:r>
      <w:r>
        <w:t xml:space="preserve"> 6.5m t ore @1.77% Cu + 5.5m t @0.17% cobalt (DGSM); revives midstream copper and adds high-value cobalt.</w:t>
      </w:r>
    </w:p>
    <w:p>
      <w:pPr>
        <w:pStyle w:val="ListBullet"/>
      </w:pPr>
      <w:r>
        <w:rPr>
          <w:b/>
        </w:rPr>
        <w:t>Anchor:</w:t>
      </w:r>
      <w:r>
        <w:t xml:space="preserve"> Sarrai Group/Nile Fibreboard production-sharing agreement, March 2025 (DGSM; Mining Weekly).</w:t>
      </w:r>
    </w:p>
    <w:p>
      <w:pPr>
        <w:pStyle w:val="ListBullet"/>
      </w:pPr>
      <w:r>
        <w:rPr>
          <w:b/>
        </w:rPr>
        <w:t>Modality:</w:t>
      </w:r>
      <w:r>
        <w:t xml:space="preserve"> Production-sharing (PPP), investor-financed. </w:t>
      </w:r>
      <w:r>
        <w:rPr>
          <w:b/>
        </w:rPr>
        <w:t>Priority output:</w:t>
      </w:r>
      <w:r>
        <w:t xml:space="preserve"> cathode feedstock for domestic cable + cobalt for export. </w:t>
      </w:r>
      <w:r>
        <w:rPr>
          <w:b/>
        </w:rPr>
        <w:t>Key risks:</w:t>
      </w:r>
      <w:r>
        <w:t xml:space="preserve"> capital, tailings/environment, power/transport.</w:t>
      </w:r>
    </w:p>
    <w:p>
      <w:pPr>
        <w:pStyle w:val="Heading3"/>
      </w:pPr>
      <w:r>
        <w:t>Profile 5 — Cable &amp; Conductor Capacity Expansion</w:t>
      </w:r>
    </w:p>
    <w:p>
      <w:pPr>
        <w:pStyle w:val="ListBullet"/>
      </w:pPr>
      <w:r>
        <w:rPr>
          <w:b/>
        </w:rPr>
        <w:t>Business case:</w:t>
      </w:r>
      <w:r>
        <w:t xml:space="preserve"> Insulated cable imports were USD 57.7m in 2024 (ITC TradeMap); Cable Corporation already holds ~65% of the domestic market. Expansion captures imports and grows regional exports.</w:t>
      </w:r>
    </w:p>
    <w:p>
      <w:pPr>
        <w:pStyle w:val="ListBullet"/>
      </w:pPr>
      <w:r>
        <w:rPr>
          <w:b/>
        </w:rPr>
        <w:t>Modality:</w:t>
      </w:r>
      <w:r>
        <w:t xml:space="preserve"> Private-led. </w:t>
      </w:r>
      <w:r>
        <w:rPr>
          <w:b/>
        </w:rPr>
        <w:t>Indicative CAPEX:</w:t>
      </w:r>
      <w:r>
        <w:t xml:space="preserve"> USD 30–80m. </w:t>
      </w:r>
      <w:r>
        <w:rPr>
          <w:b/>
        </w:rPr>
        <w:t>Lowest-risk, fastest win</w:t>
      </w:r>
      <w:r>
        <w:t xml:space="preserve"> in the copper chain.</w:t>
      </w:r>
    </w:p>
    <w:p>
      <w:pPr>
        <w:pStyle w:val="Heading3"/>
      </w:pPr>
      <w:r>
        <w:t>Profile 6 — KMC Capacity Expansion (Buses / EVs)</w:t>
      </w:r>
    </w:p>
    <w:p>
      <w:pPr>
        <w:pStyle w:val="ListBullet"/>
      </w:pPr>
      <w:r>
        <w:rPr>
          <w:b/>
        </w:rPr>
        <w:t>Business case:</w:t>
      </w:r>
      <w:r>
        <w:t xml:space="preserve"> Plant commissioned Sept 2025 (2,500→10,000 veh/yr target); EV buses for public fleets; regional export interest (UBC, 2025).</w:t>
      </w:r>
    </w:p>
    <w:p>
      <w:pPr>
        <w:pStyle w:val="ListBullet"/>
      </w:pPr>
      <w:r>
        <w:rPr>
          <w:b/>
        </w:rPr>
        <w:t>Modality:</w:t>
      </w:r>
      <w:r>
        <w:t xml:space="preserve"> Public + PPP. </w:t>
      </w:r>
      <w:r>
        <w:rPr>
          <w:b/>
        </w:rPr>
        <w:t>Indicative CAPEX:</w:t>
      </w:r>
      <w:r>
        <w:t xml:space="preserve"> USD 100–200m. </w:t>
      </w:r>
      <w:r>
        <w:rPr>
          <w:b/>
        </w:rPr>
        <w:t>Immediate need:</w:t>
      </w:r>
      <w:r>
        <w:t xml:space="preserve"> close the ~UGX 50bn FY25/26 financing gap to enable ramp-up.</w:t>
      </w:r>
    </w:p>
    <w:p>
      <w:pPr>
        <w:pStyle w:val="Heading3"/>
      </w:pPr>
      <w:r>
        <w:t>Profile 7 — Motorcycle CKD Assembly</w:t>
      </w:r>
    </w:p>
    <w:p>
      <w:pPr>
        <w:pStyle w:val="ListBullet"/>
      </w:pPr>
      <w:r>
        <w:rPr>
          <w:b/>
        </w:rPr>
        <w:t>Business case:</w:t>
      </w:r>
      <w:r>
        <w:t xml:space="preserve"> USD 157.1m of motorcycles imported in 2024 (ITC TradeMap) for the boda-boda market; CKD assembly is feasible and job-rich.</w:t>
      </w:r>
    </w:p>
    <w:p>
      <w:pPr>
        <w:pStyle w:val="ListBullet"/>
      </w:pPr>
      <w:r>
        <w:rPr>
          <w:b/>
        </w:rPr>
        <w:t>Modality:</w:t>
      </w:r>
      <w:r>
        <w:t xml:space="preserve"> Private-led. </w:t>
      </w:r>
      <w:r>
        <w:rPr>
          <w:b/>
        </w:rPr>
        <w:t>Indicative CAPEX:</w:t>
      </w:r>
      <w:r>
        <w:t xml:space="preserve"> USD 20–50m.</w:t>
      </w:r>
    </w:p>
    <w:p>
      <w:pPr>
        <w:pStyle w:val="Heading2"/>
      </w:pPr>
      <w:r>
        <w:t>8.4 Implementation Roadmap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Horizon</w:t>
            </w:r>
          </w:p>
        </w:tc>
        <w:tc>
          <w:tcPr>
            <w:tcW w:type="dxa" w:w="2351"/>
            <w:shd w:val="clear" w:color="auto" w:fill="002B5B"/>
          </w:tcPr>
          <w:p>
            <w:r>
              <w:rPr>
                <w:b/>
                <w:color w:val="FFFFFF"/>
                <w:sz w:val="18"/>
              </w:rPr>
              <w:t>Iron &amp; Steel</w:t>
            </w:r>
          </w:p>
        </w:tc>
        <w:tc>
          <w:tcPr>
            <w:tcW w:type="dxa" w:w="2351"/>
            <w:shd w:val="clear" w:color="auto" w:fill="002B5B"/>
          </w:tcPr>
          <w:p>
            <w:r>
              <w:rPr>
                <w:b/>
                <w:color w:val="FFFFFF"/>
                <w:sz w:val="18"/>
              </w:rPr>
              <w:t>Copper</w:t>
            </w:r>
          </w:p>
        </w:tc>
        <w:tc>
          <w:tcPr>
            <w:tcW w:type="dxa" w:w="2351"/>
            <w:shd w:val="clear" w:color="auto" w:fill="002B5B"/>
          </w:tcPr>
          <w:p>
            <w:r>
              <w:rPr>
                <w:b/>
                <w:color w:val="FFFFFF"/>
                <w:sz w:val="18"/>
              </w:rPr>
              <w:t>Automotive</w:t>
            </w:r>
          </w:p>
        </w:tc>
      </w:tr>
      <w:tr>
        <w:tc>
          <w:tcPr>
            <w:tcW w:type="dxa" w:w="2351"/>
            <w:shd w:val="clear" w:color="auto" w:fill="EEF3F9"/>
          </w:tcPr>
          <w:p>
            <w:r>
              <w:rPr>
                <w:b/>
                <w:sz w:val="18"/>
              </w:rPr>
              <w:t>Year 1 (quick wins)</w:t>
            </w:r>
          </w:p>
        </w:tc>
        <w:tc>
          <w:tcPr>
            <w:tcW w:type="dxa" w:w="2351"/>
            <w:shd w:val="clear" w:color="auto" w:fill="EEF3F9"/>
          </w:tcPr>
          <w:p>
            <w:r>
              <w:rPr>
                <w:sz w:val="18"/>
              </w:rPr>
              <w:t>Ore-export restriction; UNBS enforcement; secure ore licences</w:t>
            </w:r>
          </w:p>
        </w:tc>
        <w:tc>
          <w:tcPr>
            <w:tcW w:type="dxa" w:w="2351"/>
            <w:shd w:val="clear" w:color="auto" w:fill="EEF3F9"/>
          </w:tcPr>
          <w:p>
            <w:r>
              <w:rPr>
                <w:sz w:val="18"/>
              </w:rPr>
              <w:t>Finalise Kilembe workplan; UNBS cable enforcement</w:t>
            </w:r>
          </w:p>
        </w:tc>
        <w:tc>
          <w:tcPr>
            <w:tcW w:type="dxa" w:w="2351"/>
            <w:shd w:val="clear" w:color="auto" w:fill="EEF3F9"/>
          </w:tcPr>
          <w:p>
            <w:r>
              <w:rPr>
                <w:sz w:val="18"/>
              </w:rPr>
              <w:t>Close KMC financing gap; public-fleet bus procurement</w:t>
            </w:r>
          </w:p>
        </w:tc>
      </w:tr>
      <w:tr>
        <w:tc>
          <w:tcPr>
            <w:tcW w:type="dxa" w:w="2351"/>
            <w:shd w:val="clear" w:color="auto" w:fill="FFFFFF"/>
          </w:tcPr>
          <w:p>
            <w:r>
              <w:rPr>
                <w:b/>
                <w:sz w:val="18"/>
              </w:rPr>
              <w:t>Years 2–3 (reforms + first capital)</w:t>
            </w:r>
          </w:p>
        </w:tc>
        <w:tc>
          <w:tcPr>
            <w:tcW w:type="dxa" w:w="2351"/>
            <w:shd w:val="clear" w:color="auto" w:fill="FFFFFF"/>
          </w:tcPr>
          <w:p>
            <w:r>
              <w:rPr>
                <w:sz w:val="18"/>
              </w:rPr>
              <w:t>Power agreement; beneficiation start; flat-mill Front-End Engineering Design (FEED)</w:t>
            </w:r>
          </w:p>
        </w:tc>
        <w:tc>
          <w:tcPr>
            <w:tcW w:type="dxa" w:w="2351"/>
            <w:shd w:val="clear" w:color="auto" w:fill="FFFFFF"/>
          </w:tcPr>
          <w:p>
            <w:r>
              <w:rPr>
                <w:sz w:val="18"/>
              </w:rPr>
              <w:t>Cobalt strategy; tailings framework; cable expansion</w:t>
            </w:r>
          </w:p>
        </w:tc>
        <w:tc>
          <w:tcPr>
            <w:tcW w:type="dxa" w:w="2351"/>
            <w:shd w:val="clear" w:color="auto" w:fill="FFFFFF"/>
          </w:tcPr>
          <w:p>
            <w:r>
              <w:rPr>
                <w:sz w:val="18"/>
              </w:rPr>
              <w:t>Local-content/CKD incentives; skills compact; supplier development</w:t>
            </w:r>
          </w:p>
        </w:tc>
      </w:tr>
      <w:tr>
        <w:tc>
          <w:tcPr>
            <w:tcW w:type="dxa" w:w="2351"/>
            <w:shd w:val="clear" w:color="auto" w:fill="EEF3F9"/>
          </w:tcPr>
          <w:p>
            <w:r>
              <w:rPr>
                <w:b/>
                <w:sz w:val="18"/>
              </w:rPr>
              <w:t>Years 4–5 (major investment)</w:t>
            </w:r>
          </w:p>
        </w:tc>
        <w:tc>
          <w:tcPr>
            <w:tcW w:type="dxa" w:w="2351"/>
            <w:shd w:val="clear" w:color="auto" w:fill="EEF3F9"/>
          </w:tcPr>
          <w:p>
            <w:r>
              <w:rPr>
                <w:sz w:val="18"/>
              </w:rPr>
              <w:t>Integrated complex + flat mill commissioning</w:t>
            </w:r>
          </w:p>
        </w:tc>
        <w:tc>
          <w:tcPr>
            <w:tcW w:type="dxa" w:w="2351"/>
            <w:shd w:val="clear" w:color="auto" w:fill="EEF3F9"/>
          </w:tcPr>
          <w:p>
            <w:r>
              <w:rPr>
                <w:sz w:val="18"/>
              </w:rPr>
              <w:t>Kilembe cathode/cobalt production</w:t>
            </w:r>
          </w:p>
        </w:tc>
        <w:tc>
          <w:tcPr>
            <w:tcW w:type="dxa" w:w="2351"/>
            <w:shd w:val="clear" w:color="auto" w:fill="EEF3F9"/>
          </w:tcPr>
          <w:p>
            <w:r>
              <w:rPr>
                <w:sz w:val="18"/>
              </w:rPr>
              <w:t>KMC expansion to 10,000/yr; motorcycle CKD plant(s)</w:t>
            </w:r>
          </w:p>
        </w:tc>
      </w:tr>
    </w:tbl>
    <w:p/>
    <w:p>
      <w:r>
        <w:rPr>
          <w:b/>
        </w:rPr>
        <w:t>Sequencing principle.</w:t>
      </w:r>
      <w:r>
        <w:t xml:space="preserve"> Year 1 is policy and demand-anchoring (low cost, high signal). Years 2–3 secure feedstock, power, skills, and finance. Years 4–5 are the major capital builds, by which time the enabling conditions are in place. This ordering reduces the risk that large plants are built without feedstock, power, or demand.</w:t>
      </w:r>
    </w:p>
    <w:p>
      <w:pPr>
        <w:pStyle w:val="Heading2"/>
      </w:pPr>
      <w:r>
        <w:t>8.5 Indicative Portfolio Total</w:t>
      </w:r>
    </w:p>
    <w:p>
      <w:r>
        <w:t xml:space="preserve">The seven priority investments represent an </w:t>
      </w:r>
      <w:r>
        <w:rPr>
          <w:b/>
        </w:rPr>
        <w:t>indicative total in the order of USD 1.0–2.0 billion</w:t>
      </w:r>
      <w:r>
        <w:t xml:space="preserve"> over five years, dominated by the integrated steel complex and Kilembe redevelopment. The majority is intended to be </w:t>
      </w:r>
      <w:r>
        <w:rPr>
          <w:b/>
        </w:rPr>
        <w:t>private- or investor-financed</w:t>
      </w:r>
      <w:r>
        <w:t xml:space="preserve"> (Devki; Sarrai/Nile Fibreboard production-sharing; Cable Corp; motorcycle assemblers), with public and PPP support concentrated in </w:t>
      </w:r>
      <w:r>
        <w:rPr>
          <w:b/>
        </w:rPr>
        <w:t>enabling infrastructure, the KMC anchor, and blended finance</w:t>
      </w:r>
      <w:r>
        <w:t>. These figures are indicative and require feasibility confirmation.</w:t>
      </w:r>
    </w:p>
    <w:p>
      <w:r>
        <w:br w:type="page"/>
      </w:r>
    </w:p>
    <w:p>
      <w:pPr>
        <w:pStyle w:val="Heading1"/>
      </w:pPr>
      <w:r>
        <w:t>Annex A: Value Chain Status Reports (Sector Snapshots)</w:t>
      </w:r>
    </w:p>
    <w:p>
      <w:r>
        <w:t xml:space="preserve">These one-page </w:t>
      </w:r>
      <w:r>
        <w:rPr>
          <w:b/>
        </w:rPr>
        <w:t>sector snapshots</w:t>
      </w:r>
      <w:r>
        <w:t xml:space="preserve"> distil the current status, market, constraints, priorities and green opportunity for each value chain in this report. Each is designed to be </w:t>
      </w:r>
      <w:r>
        <w:rPr>
          <w:b/>
        </w:rPr>
        <w:t>extracted and shared independently</w:t>
      </w:r>
      <w:r>
        <w:t xml:space="preserve"> as a quick-reference brief. Figures and sources are detailed in the corresponding chapter (4–6) and the consolidated References.</w:t>
      </w:r>
    </w:p>
    <w:p>
      <w:pPr>
        <w:pStyle w:val="Heading2"/>
      </w:pPr>
      <w:r>
        <w:t>A.1 Iron &amp; Steel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 (2024/25)</w:t>
            </w:r>
          </w:p>
        </w:tc>
      </w:tr>
      <w:tr>
        <w:tc>
          <w:tcPr>
            <w:tcW w:type="dxa" w:w="4703"/>
            <w:shd w:val="clear" w:color="auto" w:fill="EEF3F9"/>
          </w:tcPr>
          <w:p>
            <w:r>
              <w:rPr>
                <w:sz w:val="18"/>
              </w:rPr>
              <w:t>Installed capacity / utilisation</w:t>
            </w:r>
          </w:p>
        </w:tc>
        <w:tc>
          <w:tcPr>
            <w:tcW w:type="dxa" w:w="4703"/>
            <w:shd w:val="clear" w:color="auto" w:fill="EEF3F9"/>
          </w:tcPr>
          <w:p>
            <w:r>
              <w:rPr>
                <w:b/>
                <w:sz w:val="18"/>
              </w:rPr>
              <w:t>1,682,779 tpa / 30.5%</w:t>
            </w:r>
          </w:p>
        </w:tc>
      </w:tr>
      <w:tr>
        <w:tc>
          <w:tcPr>
            <w:tcW w:type="dxa" w:w="4703"/>
            <w:shd w:val="clear" w:color="auto" w:fill="FFFFFF"/>
          </w:tcPr>
          <w:p>
            <w:r>
              <w:rPr>
                <w:sz w:val="18"/>
              </w:rPr>
              <w:t>Iron-ore reserves</w:t>
            </w:r>
          </w:p>
        </w:tc>
        <w:tc>
          <w:tcPr>
            <w:tcW w:type="dxa" w:w="4703"/>
            <w:shd w:val="clear" w:color="auto" w:fill="FFFFFF"/>
          </w:tcPr>
          <w:p>
            <w:r>
              <w:rPr>
                <w:sz w:val="18"/>
              </w:rPr>
              <w:t>~350 million tonnes</w:t>
            </w:r>
          </w:p>
        </w:tc>
      </w:tr>
      <w:tr>
        <w:tc>
          <w:tcPr>
            <w:tcW w:type="dxa" w:w="4703"/>
            <w:shd w:val="clear" w:color="auto" w:fill="EEF3F9"/>
          </w:tcPr>
          <w:p>
            <w:r>
              <w:rPr>
                <w:sz w:val="18"/>
              </w:rPr>
              <w:t>Sponge-iron (Phase II)</w:t>
            </w:r>
          </w:p>
        </w:tc>
        <w:tc>
          <w:tcPr>
            <w:tcW w:type="dxa" w:w="4703"/>
            <w:shd w:val="clear" w:color="auto" w:fill="EEF3F9"/>
          </w:tcPr>
          <w:p>
            <w:r>
              <w:rPr>
                <w:sz w:val="18"/>
              </w:rPr>
              <w:t>~400,000 tpa (Tembo Iganga 350k; Abyssinia Jinja 30k)</w:t>
            </w:r>
          </w:p>
        </w:tc>
      </w:tr>
      <w:tr>
        <w:tc>
          <w:tcPr>
            <w:tcW w:type="dxa" w:w="4703"/>
            <w:shd w:val="clear" w:color="auto" w:fill="FFFFFF"/>
          </w:tcPr>
          <w:p>
            <w:r>
              <w:rPr>
                <w:sz w:val="18"/>
              </w:rPr>
              <w:t>Industry investment</w:t>
            </w:r>
          </w:p>
        </w:tc>
        <w:tc>
          <w:tcPr>
            <w:tcW w:type="dxa" w:w="4703"/>
            <w:shd w:val="clear" w:color="auto" w:fill="FFFFFF"/>
          </w:tcPr>
          <w:p>
            <w:r>
              <w:rPr>
                <w:sz w:val="18"/>
              </w:rPr>
              <w:t>&gt; USD 1 billion</w:t>
            </w:r>
          </w:p>
        </w:tc>
      </w:tr>
      <w:tr>
        <w:tc>
          <w:tcPr>
            <w:tcW w:type="dxa" w:w="4703"/>
            <w:shd w:val="clear" w:color="auto" w:fill="EEF3F9"/>
          </w:tcPr>
          <w:p>
            <w:r>
              <w:rPr>
                <w:sz w:val="18"/>
              </w:rPr>
              <w:t>Direct jobs</w:t>
            </w:r>
          </w:p>
        </w:tc>
        <w:tc>
          <w:tcPr>
            <w:tcW w:type="dxa" w:w="4703"/>
            <w:shd w:val="clear" w:color="auto" w:fill="EEF3F9"/>
          </w:tcPr>
          <w:p>
            <w:r>
              <w:rPr>
                <w:sz w:val="18"/>
              </w:rPr>
              <w:t>~2,500 (+ large indirect)</w:t>
            </w:r>
          </w:p>
        </w:tc>
      </w:tr>
      <w:tr>
        <w:tc>
          <w:tcPr>
            <w:tcW w:type="dxa" w:w="4703"/>
            <w:shd w:val="clear" w:color="auto" w:fill="FFFFFF"/>
          </w:tcPr>
          <w:p>
            <w:r>
              <w:rPr>
                <w:sz w:val="18"/>
              </w:rPr>
              <w:t>Largest import</w:t>
            </w:r>
          </w:p>
        </w:tc>
        <w:tc>
          <w:tcPr>
            <w:tcW w:type="dxa" w:w="4703"/>
            <w:shd w:val="clear" w:color="auto" w:fill="FFFFFF"/>
          </w:tcPr>
          <w:p>
            <w:r>
              <w:rPr>
                <w:sz w:val="18"/>
              </w:rPr>
              <w:t xml:space="preserve">Flat steel (HS 7208) — </w:t>
            </w:r>
            <w:r>
              <w:rPr>
                <w:b/>
                <w:sz w:val="18"/>
              </w:rPr>
              <w:t>USD 219.5m</w:t>
            </w:r>
          </w:p>
        </w:tc>
      </w:tr>
      <w:tr>
        <w:tc>
          <w:tcPr>
            <w:tcW w:type="dxa" w:w="4703"/>
            <w:shd w:val="clear" w:color="auto" w:fill="EEF3F9"/>
          </w:tcPr>
          <w:p>
            <w:r>
              <w:rPr>
                <w:sz w:val="18"/>
              </w:rPr>
              <w:t>Competitive export</w:t>
            </w:r>
          </w:p>
        </w:tc>
        <w:tc>
          <w:tcPr>
            <w:tcW w:type="dxa" w:w="4703"/>
            <w:shd w:val="clear" w:color="auto" w:fill="EEF3F9"/>
          </w:tcPr>
          <w:p>
            <w:r>
              <w:rPr>
                <w:sz w:val="18"/>
              </w:rPr>
              <w:t xml:space="preserve">Rebar (HS 7214) — </w:t>
            </w:r>
            <w:r>
              <w:rPr>
                <w:b/>
                <w:sz w:val="18"/>
              </w:rPr>
              <w:t>USD 55.8m</w:t>
            </w:r>
          </w:p>
        </w:tc>
      </w:tr>
      <w:tr>
        <w:tc>
          <w:tcPr>
            <w:tcW w:type="dxa" w:w="4703"/>
            <w:shd w:val="clear" w:color="auto" w:fill="FFFFFF"/>
          </w:tcPr>
          <w:p>
            <w:r>
              <w:rPr>
                <w:sz w:val="18"/>
              </w:rPr>
              <w:t>Cost penalty</w:t>
            </w:r>
          </w:p>
        </w:tc>
        <w:tc>
          <w:tcPr>
            <w:tcW w:type="dxa" w:w="4703"/>
            <w:shd w:val="clear" w:color="auto" w:fill="FFFFFF"/>
          </w:tcPr>
          <w:p>
            <w:r>
              <w:rPr>
                <w:sz w:val="18"/>
              </w:rPr>
              <w:t>Imported-scrap billet ~USD 676/t vs gas-DRI ~USD 478/t</w:t>
            </w:r>
          </w:p>
        </w:tc>
      </w:tr>
    </w:tbl>
    <w:p/>
    <w:p>
      <w:pPr>
        <w:pStyle w:val="ListBullet"/>
      </w:pPr>
      <w:r>
        <w:rPr>
          <w:b/>
        </w:rPr>
        <w:t>Position:</w:t>
      </w:r>
      <w:r>
        <w:t xml:space="preserve"> strong downstream (rolling, ~70% of capacity); critical gap upstream (ironmaking/steelmaking); exports ore raw.</w:t>
      </w:r>
    </w:p>
    <w:p>
      <w:pPr>
        <w:pStyle w:val="ListBullet"/>
      </w:pPr>
      <w:r>
        <w:rPr>
          <w:b/>
        </w:rPr>
        <w:t>Top constraints (weighted):</w:t>
      </w:r>
      <w:r>
        <w:t xml:space="preserve"> upstream feedstock gap (5); electricity reliability &amp; cost (5, ~8–10¢ vs peers); market/standards &amp; import competition (4); capital for upstream (4).</w:t>
      </w:r>
    </w:p>
    <w:p>
      <w:pPr>
        <w:pStyle w:val="ListBullet"/>
      </w:pPr>
      <w:r>
        <w:rPr>
          <w:b/>
        </w:rPr>
        <w:t>Priorities:</w:t>
      </w:r>
      <w:r>
        <w:t xml:space="preserve"> ① Ironmaking (DRI on domestic ore) ② Flat-steel production ③ Long products (defend &amp; expand) ④ Iron-ore mining &amp; beneficiation.</w:t>
      </w:r>
    </w:p>
    <w:p>
      <w:pPr>
        <w:pStyle w:val="ListBullet"/>
      </w:pPr>
      <w:r>
        <w:rPr>
          <w:b/>
        </w:rPr>
        <w:t>2040 (tenfold):</w:t>
      </w:r>
      <w:r>
        <w:t xml:space="preserve"> demand ~1 Mtpa → </w:t>
      </w:r>
      <w:r>
        <w:rPr>
          <w:b/>
        </w:rPr>
        <w:t>~5.5–8 Mtpa</w:t>
      </w:r>
      <w:r>
        <w:t>.</w:t>
      </w:r>
    </w:p>
    <w:p>
      <w:pPr>
        <w:pStyle w:val="ListBullet"/>
      </w:pPr>
      <w:r>
        <w:rPr>
          <w:b/>
        </w:rPr>
        <w:t>Green edge:</w:t>
      </w:r>
      <w:r>
        <w:t xml:space="preserve"> gas/H₂-DRI + hydro-EAF (also cheapest); slag → cement.</w:t>
      </w:r>
    </w:p>
    <w:p>
      <w:pPr>
        <w:pStyle w:val="Heading2"/>
      </w:pPr>
      <w:r>
        <w:t>A.2 Copper &amp; Allied Metals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Kilembe reserves</w:t>
            </w:r>
          </w:p>
        </w:tc>
        <w:tc>
          <w:tcPr>
            <w:tcW w:type="dxa" w:w="4703"/>
            <w:shd w:val="clear" w:color="auto" w:fill="EEF3F9"/>
          </w:tcPr>
          <w:p>
            <w:r>
              <w:rPr>
                <w:sz w:val="18"/>
              </w:rPr>
              <w:t>&gt;6.5 Mt ore @ 1.77% Cu; ~5.5 Mt @ 0.17% cobalt</w:t>
            </w:r>
          </w:p>
        </w:tc>
      </w:tr>
      <w:tr>
        <w:tc>
          <w:tcPr>
            <w:tcW w:type="dxa" w:w="4703"/>
            <w:shd w:val="clear" w:color="auto" w:fill="FFFFFF"/>
          </w:tcPr>
          <w:p>
            <w:r>
              <w:rPr>
                <w:sz w:val="18"/>
              </w:rPr>
              <w:t>Mine status</w:t>
            </w:r>
          </w:p>
        </w:tc>
        <w:tc>
          <w:tcPr>
            <w:tcW w:type="dxa" w:w="4703"/>
            <w:shd w:val="clear" w:color="auto" w:fill="FFFFFF"/>
          </w:tcPr>
          <w:p>
            <w:r>
              <w:rPr>
                <w:sz w:val="18"/>
              </w:rPr>
              <w:t xml:space="preserve">Dormant since 1980s; </w:t>
            </w:r>
            <w:r>
              <w:rPr>
                <w:b/>
                <w:sz w:val="18"/>
              </w:rPr>
              <w:t>production-sharing agreement Mar 2025</w:t>
            </w:r>
          </w:p>
        </w:tc>
      </w:tr>
      <w:tr>
        <w:tc>
          <w:tcPr>
            <w:tcW w:type="dxa" w:w="4703"/>
            <w:shd w:val="clear" w:color="auto" w:fill="EEF3F9"/>
          </w:tcPr>
          <w:p>
            <w:r>
              <w:rPr>
                <w:sz w:val="18"/>
              </w:rPr>
              <w:t>Largest import</w:t>
            </w:r>
          </w:p>
        </w:tc>
        <w:tc>
          <w:tcPr>
            <w:tcW w:type="dxa" w:w="4703"/>
            <w:shd w:val="clear" w:color="auto" w:fill="EEF3F9"/>
          </w:tcPr>
          <w:p>
            <w:r>
              <w:rPr>
                <w:sz w:val="18"/>
              </w:rPr>
              <w:t xml:space="preserve">Insulated cable (HS 8544) — </w:t>
            </w:r>
            <w:r>
              <w:rPr>
                <w:b/>
                <w:sz w:val="18"/>
              </w:rPr>
              <w:t>USD 57.7m</w:t>
            </w:r>
            <w:r>
              <w:rPr>
                <w:sz w:val="18"/>
              </w:rPr>
              <w:t xml:space="preserve"> (rising)</w:t>
            </w:r>
          </w:p>
        </w:tc>
      </w:tr>
      <w:tr>
        <w:tc>
          <w:tcPr>
            <w:tcW w:type="dxa" w:w="4703"/>
            <w:shd w:val="clear" w:color="auto" w:fill="FFFFFF"/>
          </w:tcPr>
          <w:p>
            <w:r>
              <w:rPr>
                <w:sz w:val="18"/>
              </w:rPr>
              <w:t>Feedstock imports</w:t>
            </w:r>
          </w:p>
        </w:tc>
        <w:tc>
          <w:tcPr>
            <w:tcW w:type="dxa" w:w="4703"/>
            <w:shd w:val="clear" w:color="auto" w:fill="FFFFFF"/>
          </w:tcPr>
          <w:p>
            <w:r>
              <w:rPr>
                <w:sz w:val="18"/>
              </w:rPr>
              <w:t>Cathode (7403) USD 6.9m + wire (7408) USD 3.1m</w:t>
            </w:r>
          </w:p>
        </w:tc>
      </w:tr>
      <w:tr>
        <w:tc>
          <w:tcPr>
            <w:tcW w:type="dxa" w:w="4703"/>
            <w:shd w:val="clear" w:color="auto" w:fill="EEF3F9"/>
          </w:tcPr>
          <w:p>
            <w:r>
              <w:rPr>
                <w:sz w:val="18"/>
              </w:rPr>
              <w:t>Lead fabricator</w:t>
            </w:r>
          </w:p>
        </w:tc>
        <w:tc>
          <w:tcPr>
            <w:tcW w:type="dxa" w:w="4703"/>
            <w:shd w:val="clear" w:color="auto" w:fill="EEF3F9"/>
          </w:tcPr>
          <w:p>
            <w:r>
              <w:rPr>
                <w:sz w:val="18"/>
              </w:rPr>
              <w:t xml:space="preserve">Cable Corporation (est. 1968) — </w:t>
            </w:r>
            <w:r>
              <w:rPr>
                <w:b/>
                <w:sz w:val="18"/>
              </w:rPr>
              <w:t>~65% market</w:t>
            </w:r>
          </w:p>
        </w:tc>
      </w:tr>
      <w:tr>
        <w:tc>
          <w:tcPr>
            <w:tcW w:type="dxa" w:w="4703"/>
            <w:shd w:val="clear" w:color="auto" w:fill="FFFFFF"/>
          </w:tcPr>
          <w:p>
            <w:r>
              <w:rPr>
                <w:sz w:val="18"/>
              </w:rPr>
              <w:t>Demand driver</w:t>
            </w:r>
          </w:p>
        </w:tc>
        <w:tc>
          <w:tcPr>
            <w:tcW w:type="dxa" w:w="4703"/>
            <w:shd w:val="clear" w:color="auto" w:fill="FFFFFF"/>
          </w:tcPr>
          <w:p>
            <w:r>
              <w:rPr>
                <w:sz w:val="18"/>
              </w:rPr>
              <w:t xml:space="preserve">Grid access only </w:t>
            </w:r>
            <w:r>
              <w:rPr>
                <w:b/>
                <w:sz w:val="18"/>
              </w:rPr>
              <w:t>25.3%</w:t>
            </w:r>
            <w:r>
              <w:rPr>
                <w:sz w:val="18"/>
              </w:rPr>
              <w:t xml:space="preserve"> (UBOS 2024)</w:t>
            </w:r>
          </w:p>
        </w:tc>
      </w:tr>
    </w:tbl>
    <w:p/>
    <w:p>
      <w:pPr>
        <w:pStyle w:val="ListBullet"/>
      </w:pPr>
      <w:r>
        <w:rPr>
          <w:b/>
        </w:rPr>
        <w:t>Position:</w:t>
      </w:r>
      <w:r>
        <w:t xml:space="preserve"> dormant midstream (mining/refining); strong, competitive downstream cable industry running on imported metal.</w:t>
      </w:r>
    </w:p>
    <w:p>
      <w:pPr>
        <w:pStyle w:val="ListBullet"/>
      </w:pPr>
      <w:r>
        <w:rPr>
          <w:b/>
        </w:rPr>
        <w:t>Top constraints (weighted):</w:t>
      </w:r>
      <w:r>
        <w:t xml:space="preserve"> dormant midstream/feedstock (5); capital &amp; long lead time (5); energy reliability (4).</w:t>
      </w:r>
    </w:p>
    <w:p>
      <w:pPr>
        <w:pStyle w:val="ListBullet"/>
      </w:pPr>
      <w:r>
        <w:rPr>
          <w:b/>
        </w:rPr>
        <w:t>Priorities:</w:t>
      </w:r>
      <w:r>
        <w:t xml:space="preserve"> ① Insulated wire &amp; cable (expand) ② Kilembe cathode &amp; cobalt (revive) ③ Copper wire rod/semi-fabrication.</w:t>
      </w:r>
    </w:p>
    <w:p>
      <w:pPr>
        <w:pStyle w:val="ListBullet"/>
      </w:pPr>
      <w:r>
        <w:rPr>
          <w:b/>
        </w:rPr>
        <w:t>2040 (tenfold):</w:t>
      </w:r>
      <w:r>
        <w:t xml:space="preserve"> cable demand several-fold on electrification → order of </w:t>
      </w:r>
      <w:r>
        <w:rPr>
          <w:b/>
        </w:rPr>
        <w:t>USD 300–500m+/yr</w:t>
      </w:r>
      <w:r>
        <w:t>.</w:t>
      </w:r>
    </w:p>
    <w:p>
      <w:pPr>
        <w:pStyle w:val="ListBullet"/>
      </w:pPr>
      <w:r>
        <w:rPr>
          <w:b/>
        </w:rPr>
        <w:t>Green edge:</w:t>
      </w:r>
      <w:r>
        <w:t xml:space="preserve"> hydro electro-refining; cobalt for batteries; tailings reprocessing; scrap recycling.</w:t>
      </w:r>
    </w:p>
    <w:p>
      <w:pPr>
        <w:pStyle w:val="Heading2"/>
      </w:pPr>
      <w:r>
        <w:t>A.3 Automotive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Flagship</w:t>
            </w:r>
          </w:p>
        </w:tc>
        <w:tc>
          <w:tcPr>
            <w:tcW w:type="dxa" w:w="4703"/>
            <w:shd w:val="clear" w:color="auto" w:fill="EEF3F9"/>
          </w:tcPr>
          <w:p>
            <w:r>
              <w:rPr>
                <w:sz w:val="18"/>
              </w:rPr>
              <w:t xml:space="preserve">Kiira Vehicle Plant, Jinja — </w:t>
            </w:r>
            <w:r>
              <w:rPr>
                <w:b/>
                <w:sz w:val="18"/>
              </w:rPr>
              <w:t>commissioned 27 Sep 2025</w:t>
            </w:r>
          </w:p>
        </w:tc>
      </w:tr>
      <w:tr>
        <w:tc>
          <w:tcPr>
            <w:tcW w:type="dxa" w:w="4703"/>
            <w:shd w:val="clear" w:color="auto" w:fill="FFFFFF"/>
          </w:tcPr>
          <w:p>
            <w:r>
              <w:rPr>
                <w:sz w:val="18"/>
              </w:rPr>
              <w:t>Capacity</w:t>
            </w:r>
          </w:p>
        </w:tc>
        <w:tc>
          <w:tcPr>
            <w:tcW w:type="dxa" w:w="4703"/>
            <w:shd w:val="clear" w:color="auto" w:fill="FFFFFF"/>
          </w:tcPr>
          <w:p>
            <w:r>
              <w:rPr>
                <w:sz w:val="18"/>
              </w:rPr>
              <w:t>~2,500 veh/yr → target 10,000</w:t>
            </w:r>
          </w:p>
        </w:tc>
      </w:tr>
      <w:tr>
        <w:tc>
          <w:tcPr>
            <w:tcW w:type="dxa" w:w="4703"/>
            <w:shd w:val="clear" w:color="auto" w:fill="EEF3F9"/>
          </w:tcPr>
          <w:p>
            <w:r>
              <w:rPr>
                <w:sz w:val="18"/>
              </w:rPr>
              <w:t>Vehicle + parts imports</w:t>
            </w:r>
          </w:p>
        </w:tc>
        <w:tc>
          <w:tcPr>
            <w:tcW w:type="dxa" w:w="4703"/>
            <w:shd w:val="clear" w:color="auto" w:fill="EEF3F9"/>
          </w:tcPr>
          <w:p>
            <w:r>
              <w:rPr>
                <w:b/>
                <w:sz w:val="18"/>
              </w:rPr>
              <w:t>&gt; USD 650m/yr</w:t>
            </w:r>
          </w:p>
        </w:tc>
      </w:tr>
      <w:tr>
        <w:tc>
          <w:tcPr>
            <w:tcW w:type="dxa" w:w="4703"/>
            <w:shd w:val="clear" w:color="auto" w:fill="FFFFFF"/>
          </w:tcPr>
          <w:p>
            <w:r>
              <w:rPr>
                <w:sz w:val="18"/>
              </w:rPr>
              <w:t>Used vehicles imported</w:t>
            </w:r>
          </w:p>
        </w:tc>
        <w:tc>
          <w:tcPr>
            <w:tcW w:type="dxa" w:w="4703"/>
            <w:shd w:val="clear" w:color="auto" w:fill="FFFFFF"/>
          </w:tcPr>
          <w:p>
            <w:r>
              <w:rPr>
                <w:sz w:val="18"/>
              </w:rPr>
              <w:t>~48,700/yr</w:t>
            </w:r>
          </w:p>
        </w:tc>
      </w:tr>
      <w:tr>
        <w:tc>
          <w:tcPr>
            <w:tcW w:type="dxa" w:w="4703"/>
            <w:shd w:val="clear" w:color="auto" w:fill="EEF3F9"/>
          </w:tcPr>
          <w:p>
            <w:r>
              <w:rPr>
                <w:sz w:val="18"/>
              </w:rPr>
              <w:t>Motorcycle imports (HS 8711)</w:t>
            </w:r>
          </w:p>
        </w:tc>
        <w:tc>
          <w:tcPr>
            <w:tcW w:type="dxa" w:w="4703"/>
            <w:shd w:val="clear" w:color="auto" w:fill="EEF3F9"/>
          </w:tcPr>
          <w:p>
            <w:r>
              <w:rPr>
                <w:sz w:val="18"/>
              </w:rPr>
              <w:t>USD 157.1m</w:t>
            </w:r>
          </w:p>
        </w:tc>
      </w:tr>
      <w:tr>
        <w:tc>
          <w:tcPr>
            <w:tcW w:type="dxa" w:w="4703"/>
            <w:shd w:val="clear" w:color="auto" w:fill="FFFFFF"/>
          </w:tcPr>
          <w:p>
            <w:r>
              <w:rPr>
                <w:sz w:val="18"/>
              </w:rPr>
              <w:t>KMC financing gap</w:t>
            </w:r>
          </w:p>
        </w:tc>
        <w:tc>
          <w:tcPr>
            <w:tcW w:type="dxa" w:w="4703"/>
            <w:shd w:val="clear" w:color="auto" w:fill="FFFFFF"/>
          </w:tcPr>
          <w:p>
            <w:r>
              <w:rPr>
                <w:sz w:val="18"/>
              </w:rPr>
              <w:t>~UGX 50bn (FY25/26)</w:t>
            </w:r>
          </w:p>
        </w:tc>
      </w:tr>
    </w:tbl>
    <w:p/>
    <w:p>
      <w:pPr>
        <w:pStyle w:val="ListBullet"/>
      </w:pPr>
      <w:r>
        <w:rPr>
          <w:b/>
        </w:rPr>
        <w:t>Position:</w:t>
      </w:r>
      <w:r>
        <w:t xml:space="preserve"> early, state-anchored assembly (KMC + motorcycle assembly); market dominated by used imports.</w:t>
      </w:r>
    </w:p>
    <w:p>
      <w:pPr>
        <w:pStyle w:val="ListBullet"/>
      </w:pPr>
      <w:r>
        <w:rPr>
          <w:b/>
        </w:rPr>
        <w:t>Top constraints (weighted):</w:t>
      </w:r>
      <w:r>
        <w:t xml:space="preserve"> finance/capital for scale-up (5); shallow local content (4); demand policy / used-import competition (4).</w:t>
      </w:r>
    </w:p>
    <w:p>
      <w:pPr>
        <w:pStyle w:val="ListBullet"/>
      </w:pPr>
      <w:r>
        <w:rPr>
          <w:b/>
        </w:rPr>
        <w:t>Priorities:</w:t>
      </w:r>
      <w:r>
        <w:t xml:space="preserve"> ① Buses / EV buses (KMC) ② Motorcycle assembly (CKD → e-boda) ③ Spare-parts &amp; component localisation.</w:t>
      </w:r>
    </w:p>
    <w:p>
      <w:pPr>
        <w:pStyle w:val="ListBullet"/>
      </w:pPr>
      <w:r>
        <w:rPr>
          <w:b/>
        </w:rPr>
        <w:t>2040 (tenfold):</w:t>
      </w:r>
      <w:r>
        <w:t xml:space="preserve"> multi-fold mobility demand — capture via domestic assembly vs. the USD 650m+ import leak.</w:t>
      </w:r>
    </w:p>
    <w:p>
      <w:pPr>
        <w:pStyle w:val="ListBullet"/>
      </w:pPr>
      <w:r>
        <w:rPr>
          <w:b/>
        </w:rPr>
        <w:t>Green edge:</w:t>
      </w:r>
      <w:r>
        <w:t xml:space="preserve"> electric buses (Kayoola) and e-boda on the hydro grid; battery link to Kilembe cobalt.</w:t>
      </w:r>
    </w:p>
    <w:p>
      <w:r>
        <w:rPr>
          <w:i/>
        </w:rPr>
        <w:t>Full analysis: Chapters 4–6. Sources: consolidated References.</w:t>
      </w:r>
    </w:p>
    <w:p>
      <w:r>
        <w:br w:type="page"/>
      </w:r>
    </w:p>
    <w:p>
      <w:pPr>
        <w:pStyle w:val="Heading1"/>
      </w:pPr>
      <w:r>
        <w:t>References</w:t>
      </w:r>
    </w:p>
    <w:p>
      <w:r>
        <w:t>Consolidated sources for Report 1.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https://npa.go.ug/uganda-vision-2040/</w:t>
      </w:r>
    </w:p>
    <w:p>
      <w:pPr>
        <w:pStyle w:val="ListBullet"/>
      </w:pPr>
      <w:r>
        <w:t xml:space="preserve">National Planning Authority, </w:t>
      </w:r>
      <w:r>
        <w:rPr>
          <w:i/>
        </w:rPr>
        <w:t>National Development Plan IV (FY2025/26–2029/30)</w:t>
      </w:r>
      <w:r>
        <w:t>. https://npa.go.ug/national-development-plan/</w:t>
      </w:r>
    </w:p>
    <w:p>
      <w:pPr>
        <w:pStyle w:val="ListBullet"/>
      </w:pPr>
      <w:r>
        <w:t>Parliament of Uganda, "President Launches NDP IV to Drive Uganda's Economic Transformation." https://www.parliament.go.ug/news/3724/president-launches-ndp-iv-drive-ugandas-economic-transformation</w:t>
      </w:r>
    </w:p>
    <w:p>
      <w:pPr>
        <w:pStyle w:val="ListBullet"/>
      </w:pPr>
      <w:r>
        <w:t>Ministry of Finance, Planning and Economic Development, "Presentation of the Fourth National Development Plan (NDP IV) to the Parliamentary Committee on Budget." https://www.finance.go.ug/media-center/news-and-updates/presentation-fourth-national-development-plan-ndpiv-parliamentary</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Uganda Bureau of Statistics (UBOS), </w:t>
      </w:r>
      <w:r>
        <w:rPr>
          <w:i/>
        </w:rPr>
        <w:t>Statistical Abstract</w:t>
      </w:r>
      <w:r>
        <w:t xml:space="preserve"> and national/industrial accounts (production, employment, GDP, electrification). https://www.ubos.org/</w:t>
      </w:r>
    </w:p>
    <w:p>
      <w:pPr>
        <w:pStyle w:val="ListBullet"/>
      </w:pPr>
      <w:r>
        <w:t xml:space="preserve">World Bank, </w:t>
      </w:r>
      <w:r>
        <w:rPr>
          <w:i/>
        </w:rPr>
        <w:t>World Development Indicators — Manufacturing, value added (% of GDP), Uganda</w:t>
      </w:r>
      <w:r>
        <w:t>. https://data.worldbank.org/indicator/NV.IND.MANF.ZS?locations=UG</w:t>
      </w:r>
    </w:p>
    <w:p>
      <w:pPr>
        <w:pStyle w:val="ListBullet"/>
      </w:pPr>
      <w:r>
        <w:t>State House Uganda, "President Museveni commissions new Tembo Steels plant in Iganga" (2025). https://statehouse.go.ug/</w:t>
      </w:r>
    </w:p>
    <w:p>
      <w:pPr>
        <w:pStyle w:val="ListBullet"/>
      </w:pPr>
      <w:r>
        <w:t>East African Community, intra-regional trade data. https://www.eac.int/ ; Ecofin Agency, "East African Community trade rises 22% in 2024, topping $11bn" (2025). https://www.ecofinagency.com/</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Uganda Broadcasting Corporation, "Uganda Commissions Africa's Most Advanced Vehicle Plant" (27 September 2025). https://ubc.go.ug/2025/09/27/uganda-commissions-africas-most-advanced-vehicle-plant-a-historic-milestone-for-industrialization-and-innovation/</w:t>
      </w:r>
    </w:p>
    <w:p>
      <w:pPr>
        <w:pStyle w:val="ListBullet"/>
      </w:pPr>
      <w:r>
        <w:t xml:space="preserve">Mobility Foresights, </w:t>
      </w:r>
      <w:r>
        <w:rPr>
          <w:i/>
        </w:rPr>
        <w:t>Uganda Used Car Market 2024–2030</w:t>
      </w:r>
      <w:r>
        <w:t>. https://mobilityforesights.com/product/uganda-used-car-market</w:t>
      </w:r>
    </w:p>
    <w:p>
      <w:pPr>
        <w:pStyle w:val="ListBullet"/>
      </w:pPr>
      <w:r>
        <w:t>Uganda Investment Authority, "Uganda seeing surge in export of manufactured products" (2025). https://ugandainvest.go.ug/uganda-seeing-surge-in-export-of-manufactured-products/</w:t>
      </w:r>
    </w:p>
    <w:p>
      <w:pPr>
        <w:pStyle w:val="ListBullet"/>
      </w:pPr>
      <w:r>
        <w:t>ITC TradeMap, trade statistics by HS code. https://www.trademap.org</w:t>
      </w:r>
    </w:p>
    <w:p>
      <w:pPr>
        <w:pStyle w:val="ListBullet"/>
      </w:pPr>
      <w:r>
        <w:t xml:space="preserve">National Planning Authority, </w:t>
      </w:r>
      <w:r>
        <w:rPr>
          <w:i/>
        </w:rPr>
        <w:t>Uganda Vision 2040</w:t>
      </w:r>
      <w:r>
        <w:t xml:space="preserve">; </w:t>
      </w:r>
      <w:r>
        <w:rPr>
          <w:i/>
        </w:rPr>
        <w:t>National Development Plan IV (FY2025/26–2029/30)</w:t>
      </w:r>
      <w:r>
        <w:t>. https://npa.go.ug/national-development-plan/</w:t>
      </w:r>
    </w:p>
    <w:p>
      <w:pPr>
        <w:pStyle w:val="ListBullet"/>
      </w:pPr>
      <w:r>
        <w:t>Directorate of Geological Survey and Mines. https://dgsm.go.ug/</w:t>
      </w:r>
    </w:p>
    <w:p>
      <w:pPr>
        <w:pStyle w:val="ListBullet"/>
      </w:pPr>
      <w:r>
        <w:t>Electricity Regulatory Authority, end-user tariffs 2025. https://www.era.go.ug/</w:t>
      </w:r>
    </w:p>
    <w:p>
      <w:pPr>
        <w:pStyle w:val="ListBullet"/>
      </w:pPr>
      <w:r>
        <w:t xml:space="preserve">NEMA, </w:t>
      </w:r>
      <w:r>
        <w:rPr>
          <w:i/>
        </w:rPr>
        <w:t>National Environment (Standards for Discharge of Effluent into Water or Land) Regulations 2020</w:t>
      </w:r>
      <w:r>
        <w:t>. https://www.nema.go.ug/</w:t>
      </w:r>
    </w:p>
    <w:p>
      <w:pPr>
        <w:pStyle w:val="ListBullet"/>
      </w:pPr>
      <w:r>
        <w:t xml:space="preserve">World Bank, </w:t>
      </w:r>
      <w:r>
        <w:rPr>
          <w:i/>
        </w:rPr>
        <w:t>World Development Indicators</w:t>
      </w:r>
      <w:r>
        <w:t>. https://data.worldbank.org/country/UG</w:t>
      </w:r>
    </w:p>
    <w:p>
      <w:pPr>
        <w:pStyle w:val="ListBullet"/>
      </w:pPr>
      <w:r>
        <w:t xml:space="preserve">World Steel Association, </w:t>
      </w:r>
      <w:r>
        <w:rPr>
          <w:i/>
        </w:rPr>
        <w:t>World Steel in Figures 2025</w:t>
      </w:r>
      <w:r>
        <w:t>. https://worldsteel.org/data/world-steel-in-figures/</w:t>
      </w:r>
    </w:p>
    <w:p>
      <w:pPr>
        <w:pStyle w:val="ListBullet"/>
      </w:pPr>
      <w:r>
        <w:t xml:space="preserve">International Copper Study Group, </w:t>
      </w:r>
      <w:r>
        <w:rPr>
          <w:i/>
        </w:rPr>
        <w:t>World Copper Factbook 2025</w:t>
      </w:r>
      <w:r>
        <w:t>. https://icsg.org/copper-factbook/</w:t>
      </w:r>
    </w:p>
    <w:p>
      <w:pPr>
        <w:pStyle w:val="ListBullet"/>
      </w:pPr>
      <w:r>
        <w:t xml:space="preserve">Uganda Bankers Association, </w:t>
      </w:r>
      <w:r>
        <w:rPr>
          <w:i/>
        </w:rPr>
        <w:t>Unlocking the Potential of Uganda's Manufacturing Sector</w:t>
      </w:r>
      <w:r>
        <w:t xml:space="preserve"> (2024). https://ugandabankers.org/</w:t>
      </w:r>
    </w:p>
    <w:p>
      <w:pPr>
        <w:pStyle w:val="ListBullet"/>
      </w:pPr>
      <w:r>
        <w:t>ITC TradeMap. https://www.trademap.org</w:t>
      </w:r>
    </w:p>
    <w:p>
      <w:pPr>
        <w:pStyle w:val="ListBullet"/>
      </w:pPr>
      <w:r>
        <w:t>Cable Corporation (Uganda), "About us." https://cablecorp-uganda.com/pages/about-us</w:t>
      </w:r>
    </w:p>
    <w:p>
      <w:pPr>
        <w:pStyle w:val="ListBullet"/>
      </w:pPr>
      <w:r>
        <w:t>Mehta Group, "Electric Cables." https://www.mehtagroup.com/electric_cables.html</w:t>
      </w:r>
    </w:p>
    <w:p>
      <w:pPr>
        <w:pStyle w:val="ListBullet"/>
      </w:pPr>
      <w:r>
        <w:t>ITC TradeMap, trade statistics — HS 8544, 7403, 7408, Uganda, 2024. https://www.trademap.org</w:t>
      </w:r>
    </w:p>
    <w:p>
      <w:pPr>
        <w:pStyle w:val="ListBullet"/>
      </w:pPr>
      <w:r>
        <w:t xml:space="preserve">NEMA, </w:t>
      </w:r>
      <w:r>
        <w:rPr>
          <w:i/>
        </w:rPr>
        <w:t>Effluent Discharge Regulations 2020</w:t>
      </w:r>
      <w:r>
        <w:t>. https://www.nema.go.ug/</w:t>
      </w:r>
    </w:p>
    <w:p>
      <w:pPr>
        <w:pStyle w:val="ListBullet"/>
      </w:pPr>
      <w:r>
        <w:t>Kiira Motors Corporation. https://kiiramotors.com/ ; Wikipedia summary: https://en.wikipedia.org/wiki/Kiira_Motors_Corporation</w:t>
      </w:r>
    </w:p>
    <w:p>
      <w:pPr>
        <w:pStyle w:val="ListBullet"/>
      </w:pPr>
      <w:r>
        <w:t>AutoMag.ug, "Kiira Motors unveils Kayoola electric buses for public transport" (2025). https://automag.ug/2025/08/25/kiira-motors-unveils-kayoola-electric-buses-for-public-transport/</w:t>
      </w:r>
    </w:p>
    <w:p>
      <w:pPr>
        <w:pStyle w:val="ListBullet"/>
      </w:pPr>
      <w:r>
        <w:t>ITC TradeMap, trade statistics — HS 8703, 8704, 8711, 8708, Uganda, 2024. https://www.trademap.org</w:t>
      </w:r>
    </w:p>
    <w:p>
      <w:pPr>
        <w:pStyle w:val="ListBullet"/>
      </w:pPr>
      <w:r>
        <w:t>NEMA. https://www.nema.go.ug/</w:t>
      </w:r>
    </w:p>
    <w:p>
      <w:pPr>
        <w:pStyle w:val="ListBullet"/>
      </w:pPr>
      <w:r>
        <w:t xml:space="preserve">KPMG, </w:t>
      </w:r>
      <w:r>
        <w:rPr>
          <w:i/>
        </w:rPr>
        <w:t>Uganda Budget Brief 2025/26</w:t>
      </w:r>
      <w:r>
        <w:t>. https://assets.kpmg.com/</w:t>
      </w:r>
    </w:p>
    <w:p>
      <w:pPr>
        <w:pStyle w:val="ListBullet"/>
      </w:pPr>
      <w:r>
        <w:t>Uganda Manufacturers Association; UNIDO — manufacturing skills evidence. https://uma.or.ug/ ; https://www.unido.org/</w:t>
      </w:r>
    </w:p>
    <w:p>
      <w:pPr>
        <w:pStyle w:val="ListBullet"/>
      </w:pPr>
      <w:r>
        <w:t>ITC TradeMap, trade statistics (2024). https://www.trademap.org</w:t>
      </w:r>
    </w:p>
    <w:p>
      <w:pPr>
        <w:pStyle w:val="ListBullet"/>
      </w:pPr>
      <w:r>
        <w:t>GMK Center, "A steel plant will be built in Uganda with investments of $500 million" (2025). https://gmk.center/en/news/a-steel-plant-will-be-built-in-uganda-with-investments-of-500-million/</w:t>
      </w:r>
    </w:p>
    <w:p>
      <w:pPr>
        <w:pStyle w:val="ListBullet"/>
      </w:pPr>
      <w:r>
        <w:t>The Independent, "Devki Group bets $500m on Uganda steel production" (2025). https://www.independent.co.ug/devki-group-bets-500m-on-uganda-steel-production/</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