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jc w:val="left"/>
      </w:pPr>
      <w:r>
        <w:rPr>
          <w:b/>
          <w:color w:val="002B5B"/>
          <w:sz w:val="44"/>
        </w:rPr>
        <w:t>Inception Report: Iron &amp; Steel, Copper &amp; Allied Metals, and Automotive Value Chains</w:t>
      </w:r>
    </w:p>
    <w:p/>
    <w:p>
      <w:pPr>
        <w:spacing w:after="40"/>
      </w:pPr>
      <w:r/>
      <w:r>
        <w:rPr>
          <w:b/>
        </w:rPr>
        <w:t>Client:</w:t>
      </w:r>
      <w:r>
        <w:t xml:space="preserve"> Ministry of Trade, Industry and Cooperatives (MTIC), Uganda</w:t>
      </w:r>
    </w:p>
    <w:p>
      <w:pPr>
        <w:spacing w:after="40"/>
      </w:pPr>
      <w:r/>
      <w:r>
        <w:rPr>
          <w:b/>
        </w:rPr>
        <w:t>Programme:</w:t>
      </w:r>
      <w:r>
        <w:t xml:space="preserve"> Uganda-UNIDO Programme for Country Partnership (PCP) for Inclusive and Sustainable Industrial Development (ISID)</w:t>
      </w:r>
    </w:p>
    <w:p>
      <w:pPr>
        <w:spacing w:after="40"/>
      </w:pPr>
      <w:r/>
      <w:r>
        <w:rPr>
          <w:b/>
        </w:rPr>
        <w:t>ToR Reference:</w:t>
      </w:r>
      <w:r>
        <w:t xml:space="preserve"> MTIC-Diagnostic Study on Iron &amp; Steel, Copper.docx</w:t>
      </w:r>
    </w:p>
    <w:p>
      <w:pPr>
        <w:spacing w:after="40"/>
      </w:pPr>
      <w:r/>
      <w:r>
        <w:rPr>
          <w:b/>
        </w:rPr>
        <w:t>Prepared by:</w:t>
      </w:r>
      <w:r>
        <w:t xml:space="preserve"> Solomon Ariho</w:t>
      </w:r>
    </w:p>
    <w:p>
      <w:pPr>
        <w:spacing w:after="40"/>
      </w:pPr>
      <w:r/>
      <w:r>
        <w:rPr>
          <w:b/>
        </w:rPr>
        <w:t>Date:</w:t>
      </w:r>
      <w:r>
        <w:t xml:space="preserve"> 27 May 2026</w:t>
      </w:r>
    </w:p>
    <w:p>
      <w:pPr>
        <w:spacing w:after="40"/>
      </w:pPr>
      <w:r/>
      <w:r>
        <w:rPr>
          <w:b/>
        </w:rPr>
        <w:t>Status:</w:t>
      </w:r>
      <w:r>
        <w:t xml:space="preserve"> Draft — submitted for TWG review and approval</w:t>
      </w:r>
    </w:p>
    <w:p/>
    <w:p/>
    <w:p/>
    <w:p>
      <w:pPr>
        <w:pStyle w:val="Heading2"/>
        <w:spacing w:before="280" w:after="80"/>
      </w:pPr>
      <w:r>
        <w:rPr>
          <w:b/>
          <w:color w:val="002B5B"/>
          <w:sz w:val="32"/>
        </w:rPr>
        <w:t>1. Introduction</w:t>
      </w:r>
    </w:p>
    <w:p/>
    <w:p>
      <w:pPr>
        <w:spacing w:after="80"/>
      </w:pPr>
      <w:r>
        <w:t>This Inception Report covers three priority value chains designated under NDP IV:</w:t>
      </w:r>
    </w:p>
    <w:p/>
    <w:p>
      <w:pPr>
        <w:pStyle w:val="ListNumber"/>
        <w:spacing w:after="40"/>
      </w:pPr>
      <w:r>
        <w:t>Iron &amp; Steel</w:t>
      </w:r>
    </w:p>
    <w:p>
      <w:pPr>
        <w:pStyle w:val="ListNumber"/>
        <w:spacing w:after="40"/>
      </w:pPr>
      <w:r>
        <w:t>Copper &amp; Allied Metals</w:t>
      </w:r>
    </w:p>
    <w:p>
      <w:pPr>
        <w:pStyle w:val="ListNumber"/>
        <w:spacing w:after="40"/>
      </w:pPr>
      <w:r>
        <w:t>Automotives</w:t>
      </w:r>
    </w:p>
    <w:p/>
    <w:p>
      <w:pPr>
        <w:spacing w:after="80"/>
      </w:pPr>
      <w:r>
        <w:t>Together, these chains represent Uganda's most significant opportunity for mineral-based industrialization — anchored in the country's iron ore and copper resource endowments and the strategic push toward domestic vehicle manufacturing through Kiira Motors Corporation.</w:t>
      </w:r>
    </w:p>
    <w:p/>
    <w:p>
      <w:pPr>
        <w:spacing w:after="80"/>
      </w:pPr>
      <w:r>
        <w:t>This document sets out the study design and workplan, the diagnostic framework and assessment templates to be applied to each chain, the data plan, the stakeholder consultation approach, and the prioritization methodology.</w:t>
      </w:r>
    </w:p>
    <w:p/>
    <w:p/>
    <w:p/>
    <w:p>
      <w:pPr>
        <w:pStyle w:val="Heading2"/>
        <w:spacing w:before="280" w:after="80"/>
      </w:pPr>
      <w:r>
        <w:rPr>
          <w:b/>
          <w:color w:val="002B5B"/>
          <w:sz w:val="32"/>
        </w:rPr>
        <w:t>2. Study Design and Workplan</w:t>
      </w:r>
    </w:p>
    <w:p/>
    <w:p>
      <w:pPr>
        <w:pStyle w:val="Heading3"/>
        <w:spacing w:before="280" w:after="80"/>
      </w:pPr>
      <w:r>
        <w:rPr>
          <w:b/>
          <w:color w:val="005CA8"/>
          <w:sz w:val="26"/>
        </w:rPr>
        <w:t>2.1 Report Structure</w:t>
      </w:r>
    </w:p>
    <w:p/>
    <w:p>
      <w:pPr>
        <w:spacing w:after="80"/>
      </w:pPr>
      <w:r>
        <w:t>The diagnostic report will be structured as follows: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Chapter</w:t>
            </w:r>
          </w:p>
        </w:tc>
        <w:tc>
          <w:tcPr>
            <w:tcW w:type="dxa" w:w="4703"/>
            <w:shd w:val="clear" w:color="auto" w:fill="002B5B"/>
          </w:tcPr>
          <w:p>
            <w:r>
              <w:rPr>
                <w:b/>
                <w:color w:val="FFFFFF"/>
                <w:sz w:val="20"/>
              </w:rPr>
              <w:t>Title</w:t>
            </w:r>
          </w:p>
        </w:tc>
      </w:tr>
      <w:tr>
        <w:tc>
          <w:tcPr>
            <w:tcW w:type="dxa" w:w="4703"/>
            <w:shd w:val="clear" w:color="auto" w:fill="D6E8F7"/>
          </w:tcPr>
          <w:p>
            <w:r>
              <w:rPr>
                <w:sz w:val="20"/>
              </w:rPr>
              <w:t>1</w:t>
            </w:r>
          </w:p>
        </w:tc>
        <w:tc>
          <w:tcPr>
            <w:tcW w:type="dxa" w:w="4703"/>
            <w:shd w:val="clear" w:color="auto" w:fill="D6E8F7"/>
          </w:tcPr>
          <w:p>
            <w:r>
              <w:rPr>
                <w:sz w:val="20"/>
              </w:rPr>
              <w:t xml:space="preserve">Executive Summary </w:t>
            </w:r>
            <w:r>
              <w:rPr>
                <w:i/>
                <w:sz w:val="20"/>
              </w:rPr>
              <w:t>(written last)</w:t>
            </w:r>
            <w:r>
              <w:rPr>
                <w:sz w:val="20"/>
              </w:rPr>
            </w:r>
          </w:p>
        </w:tc>
      </w:tr>
      <w:tr>
        <w:tc>
          <w:tcPr>
            <w:tcW w:type="dxa" w:w="4703"/>
            <w:shd w:val="clear" w:color="auto" w:fill="FFFFFF"/>
          </w:tcPr>
          <w:p>
            <w:r>
              <w:rPr>
                <w:sz w:val="20"/>
              </w:rPr>
              <w:t>2</w:t>
            </w:r>
          </w:p>
        </w:tc>
        <w:tc>
          <w:tcPr>
            <w:tcW w:type="dxa" w:w="4703"/>
            <w:shd w:val="clear" w:color="auto" w:fill="FFFFFF"/>
          </w:tcPr>
          <w:p>
            <w:r>
              <w:rPr>
                <w:sz w:val="20"/>
              </w:rPr>
              <w:t>Background and Policy Context</w:t>
            </w:r>
          </w:p>
        </w:tc>
      </w:tr>
      <w:tr>
        <w:tc>
          <w:tcPr>
            <w:tcW w:type="dxa" w:w="4703"/>
            <w:shd w:val="clear" w:color="auto" w:fill="D6E8F7"/>
          </w:tcPr>
          <w:p>
            <w:r>
              <w:rPr>
                <w:sz w:val="20"/>
              </w:rPr>
              <w:t>3</w:t>
            </w:r>
          </w:p>
        </w:tc>
        <w:tc>
          <w:tcPr>
            <w:tcW w:type="dxa" w:w="4703"/>
            <w:shd w:val="clear" w:color="auto" w:fill="D6E8F7"/>
          </w:tcPr>
          <w:p>
            <w:r>
              <w:rPr>
                <w:sz w:val="20"/>
              </w:rPr>
              <w:t>Methodology and Analytical Framework</w:t>
            </w:r>
          </w:p>
        </w:tc>
      </w:tr>
      <w:tr>
        <w:tc>
          <w:tcPr>
            <w:tcW w:type="dxa" w:w="4703"/>
            <w:shd w:val="clear" w:color="auto" w:fill="FFFFFF"/>
          </w:tcPr>
          <w:p>
            <w:r>
              <w:rPr>
                <w:sz w:val="20"/>
              </w:rPr>
              <w:t>4</w:t>
            </w:r>
          </w:p>
        </w:tc>
        <w:tc>
          <w:tcPr>
            <w:tcW w:type="dxa" w:w="4703"/>
            <w:shd w:val="clear" w:color="auto" w:fill="FFFFFF"/>
          </w:tcPr>
          <w:p>
            <w:r>
              <w:rPr>
                <w:sz w:val="20"/>
              </w:rPr>
              <w:t>Iron &amp; Steel Value Chain</w:t>
            </w:r>
          </w:p>
        </w:tc>
      </w:tr>
      <w:tr>
        <w:tc>
          <w:tcPr>
            <w:tcW w:type="dxa" w:w="4703"/>
            <w:shd w:val="clear" w:color="auto" w:fill="D6E8F7"/>
          </w:tcPr>
          <w:p>
            <w:r>
              <w:rPr>
                <w:sz w:val="20"/>
              </w:rPr>
              <w:t>5</w:t>
            </w:r>
          </w:p>
        </w:tc>
        <w:tc>
          <w:tcPr>
            <w:tcW w:type="dxa" w:w="4703"/>
            <w:shd w:val="clear" w:color="auto" w:fill="D6E8F7"/>
          </w:tcPr>
          <w:p>
            <w:r>
              <w:rPr>
                <w:sz w:val="20"/>
              </w:rPr>
              <w:t>Copper &amp; Allied Metals Value Chain</w:t>
            </w:r>
          </w:p>
        </w:tc>
      </w:tr>
      <w:tr>
        <w:tc>
          <w:tcPr>
            <w:tcW w:type="dxa" w:w="4703"/>
            <w:shd w:val="clear" w:color="auto" w:fill="FFFFFF"/>
          </w:tcPr>
          <w:p>
            <w:r>
              <w:rPr>
                <w:sz w:val="20"/>
              </w:rPr>
              <w:t>6</w:t>
            </w:r>
          </w:p>
        </w:tc>
        <w:tc>
          <w:tcPr>
            <w:tcW w:type="dxa" w:w="4703"/>
            <w:shd w:val="clear" w:color="auto" w:fill="FFFFFF"/>
          </w:tcPr>
          <w:p>
            <w:r>
              <w:rPr>
                <w:sz w:val="20"/>
              </w:rPr>
              <w:t>Automotive Value Chain</w:t>
            </w:r>
          </w:p>
        </w:tc>
      </w:tr>
      <w:tr>
        <w:tc>
          <w:tcPr>
            <w:tcW w:type="dxa" w:w="4703"/>
            <w:shd w:val="clear" w:color="auto" w:fill="D6E8F7"/>
          </w:tcPr>
          <w:p>
            <w:r>
              <w:rPr>
                <w:sz w:val="20"/>
              </w:rPr>
              <w:t>7</w:t>
            </w:r>
          </w:p>
        </w:tc>
        <w:tc>
          <w:tcPr>
            <w:tcW w:type="dxa" w:w="4703"/>
            <w:shd w:val="clear" w:color="auto" w:fill="D6E8F7"/>
          </w:tcPr>
          <w:p>
            <w:r>
              <w:rPr>
                <w:sz w:val="20"/>
              </w:rPr>
              <w:t>Cross-Cutting Priority Actions and Policy Recommendations</w:t>
            </w:r>
          </w:p>
        </w:tc>
      </w:tr>
      <w:tr>
        <w:tc>
          <w:tcPr>
            <w:tcW w:type="dxa" w:w="4703"/>
            <w:shd w:val="clear" w:color="auto" w:fill="FFFFFF"/>
          </w:tcPr>
          <w:p>
            <w:r>
              <w:rPr>
                <w:sz w:val="20"/>
              </w:rPr>
              <w:t>8</w:t>
            </w:r>
          </w:p>
        </w:tc>
        <w:tc>
          <w:tcPr>
            <w:tcW w:type="dxa" w:w="4703"/>
            <w:shd w:val="clear" w:color="auto" w:fill="FFFFFF"/>
          </w:tcPr>
          <w:p>
            <w:r>
              <w:rPr>
                <w:sz w:val="20"/>
              </w:rPr>
              <w:t>Investment Portfolio and Implementation Roadmap</w:t>
            </w:r>
          </w:p>
        </w:tc>
      </w:tr>
    </w:tbl>
    <w:p/>
    <w:p/>
    <w:p>
      <w:pPr>
        <w:pStyle w:val="Heading3"/>
        <w:spacing w:before="280" w:after="80"/>
      </w:pPr>
      <w:r>
        <w:rPr>
          <w:b/>
          <w:color w:val="005CA8"/>
          <w:sz w:val="26"/>
        </w:rPr>
        <w:t>2.2 Scope Confirmation</w:t>
      </w:r>
    </w:p>
    <w:p/>
    <w:p>
      <w:pPr>
        <w:spacing w:after="80"/>
      </w:pPr>
      <w:r>
        <w:t>This study covers the full value chains of Iron &amp; Steel, Copper &amp; Allied Metals, and Automotives as defined in the ToR. For each chain the study will deliver:</w:t>
      </w:r>
    </w:p>
    <w:p/>
    <w:p>
      <w:pPr>
        <w:pStyle w:val="ListBullet"/>
        <w:spacing w:after="40"/>
      </w:pPr>
      <w:r>
        <w:t>A complete value chain map from primary inputs to all end products</w:t>
      </w:r>
    </w:p>
    <w:p>
      <w:pPr>
        <w:pStyle w:val="ListBullet"/>
        <w:spacing w:after="40"/>
      </w:pPr>
      <w:r>
        <w:t>A current state assessment (production, firms, employment, capacity utilization, trade)</w:t>
      </w:r>
    </w:p>
    <w:p>
      <w:pPr>
        <w:pStyle w:val="ListBullet"/>
        <w:spacing w:after="40"/>
      </w:pPr>
      <w:r>
        <w:t>A binding constraints analysis across ten dimensions</w:t>
      </w:r>
    </w:p>
    <w:p>
      <w:pPr>
        <w:pStyle w:val="ListBullet"/>
        <w:spacing w:after="40"/>
      </w:pPr>
      <w:r>
        <w:t>A market assessment (domestic, regional EAC/COMESA, export)</w:t>
      </w:r>
    </w:p>
    <w:p>
      <w:pPr>
        <w:pStyle w:val="ListBullet"/>
        <w:spacing w:after="40"/>
      </w:pPr>
      <w:r>
        <w:t>A prioritized product selection (3–4 products per chain) with explicit deprioritization rationale</w:t>
      </w:r>
    </w:p>
    <w:p>
      <w:pPr>
        <w:pStyle w:val="ListBullet"/>
        <w:spacing w:after="40"/>
      </w:pPr>
      <w:r>
        <w:t>A priority action matrix (quick wins, medium term, long term)</w:t>
      </w:r>
    </w:p>
    <w:p/>
    <w:p>
      <w:pPr>
        <w:spacing w:after="80"/>
      </w:pPr>
      <w:r>
        <w:t>The study also delivers two cross-cutting chapters: consolidated policy recommendations and an investment portfolio and implementation roadmap.</w:t>
      </w:r>
    </w:p>
    <w:p/>
    <w:p>
      <w:pPr>
        <w:pStyle w:val="Heading3"/>
        <w:spacing w:before="280" w:after="80"/>
      </w:pPr>
      <w:r>
        <w:rPr>
          <w:b/>
          <w:color w:val="005CA8"/>
          <w:sz w:val="26"/>
        </w:rPr>
        <w:t>2.3 Workplan and Timeline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Task</w:t>
            </w:r>
          </w:p>
        </w:tc>
        <w:tc>
          <w:tcPr>
            <w:tcW w:type="dxa" w:w="4703"/>
            <w:shd w:val="clear" w:color="auto" w:fill="002B5B"/>
          </w:tcPr>
          <w:p>
            <w:r>
              <w:rPr>
                <w:b/>
                <w:color w:val="FFFFFF"/>
                <w:sz w:val="20"/>
              </w:rPr>
              <w:t>Target Date</w:t>
            </w:r>
          </w:p>
        </w:tc>
      </w:tr>
      <w:tr>
        <w:tc>
          <w:tcPr>
            <w:tcW w:type="dxa" w:w="4703"/>
            <w:shd w:val="clear" w:color="auto" w:fill="D6E8F7"/>
          </w:tcPr>
          <w:p>
            <w:r>
              <w:rPr>
                <w:sz w:val="20"/>
              </w:rPr>
              <w:t>Inception Report submitted for TWG review</w:t>
            </w:r>
          </w:p>
        </w:tc>
        <w:tc>
          <w:tcPr>
            <w:tcW w:type="dxa" w:w="4703"/>
            <w:shd w:val="clear" w:color="auto" w:fill="D6E8F7"/>
          </w:tcPr>
          <w:p>
            <w:r>
              <w:rPr>
                <w:sz w:val="20"/>
              </w:rPr>
              <w:t>29 May 2026</w:t>
            </w:r>
          </w:p>
        </w:tc>
      </w:tr>
      <w:tr>
        <w:tc>
          <w:tcPr>
            <w:tcW w:type="dxa" w:w="4703"/>
            <w:shd w:val="clear" w:color="auto" w:fill="FFFFFF"/>
          </w:tcPr>
          <w:p>
            <w:r>
              <w:rPr>
                <w:sz w:val="20"/>
              </w:rPr>
              <w:t>TWG approval of Inception Report</w:t>
            </w:r>
          </w:p>
        </w:tc>
        <w:tc>
          <w:tcPr>
            <w:tcW w:type="dxa" w:w="4703"/>
            <w:shd w:val="clear" w:color="auto" w:fill="FFFFFF"/>
          </w:tcPr>
          <w:p>
            <w:r>
              <w:rPr>
                <w:sz w:val="20"/>
              </w:rPr>
              <w:t>31 May 2026</w:t>
            </w:r>
          </w:p>
        </w:tc>
      </w:tr>
      <w:tr>
        <w:tc>
          <w:tcPr>
            <w:tcW w:type="dxa" w:w="4703"/>
            <w:shd w:val="clear" w:color="auto" w:fill="D6E8F7"/>
          </w:tcPr>
          <w:p>
            <w:r>
              <w:rPr>
                <w:sz w:val="20"/>
              </w:rPr>
              <w:t>Chapter 2: Background and Policy Context</w:t>
            </w:r>
          </w:p>
        </w:tc>
        <w:tc>
          <w:tcPr>
            <w:tcW w:type="dxa" w:w="4703"/>
            <w:shd w:val="clear" w:color="auto" w:fill="D6E8F7"/>
          </w:tcPr>
          <w:p>
            <w:r>
              <w:rPr>
                <w:sz w:val="20"/>
              </w:rPr>
              <w:t>31 May 2026</w:t>
            </w:r>
          </w:p>
        </w:tc>
      </w:tr>
      <w:tr>
        <w:tc>
          <w:tcPr>
            <w:tcW w:type="dxa" w:w="4703"/>
            <w:shd w:val="clear" w:color="auto" w:fill="FFFFFF"/>
          </w:tcPr>
          <w:p>
            <w:r>
              <w:rPr>
                <w:sz w:val="20"/>
              </w:rPr>
              <w:t>Chapter 3: Methodology and Analytical Framework</w:t>
            </w:r>
          </w:p>
        </w:tc>
        <w:tc>
          <w:tcPr>
            <w:tcW w:type="dxa" w:w="4703"/>
            <w:shd w:val="clear" w:color="auto" w:fill="FFFFFF"/>
          </w:tcPr>
          <w:p>
            <w:r>
              <w:rPr>
                <w:sz w:val="20"/>
              </w:rPr>
              <w:t>1 June 2026</w:t>
            </w:r>
          </w:p>
        </w:tc>
      </w:tr>
      <w:tr>
        <w:tc>
          <w:tcPr>
            <w:tcW w:type="dxa" w:w="4703"/>
            <w:shd w:val="clear" w:color="auto" w:fill="D6E8F7"/>
          </w:tcPr>
          <w:p>
            <w:r>
              <w:rPr>
                <w:sz w:val="20"/>
              </w:rPr>
              <w:t>Chapter 4: Iron &amp; Steel — draft</w:t>
            </w:r>
          </w:p>
        </w:tc>
        <w:tc>
          <w:tcPr>
            <w:tcW w:type="dxa" w:w="4703"/>
            <w:shd w:val="clear" w:color="auto" w:fill="D6E8F7"/>
          </w:tcPr>
          <w:p>
            <w:r>
              <w:rPr>
                <w:sz w:val="20"/>
              </w:rPr>
              <w:t>2 June 2026</w:t>
            </w:r>
          </w:p>
        </w:tc>
      </w:tr>
      <w:tr>
        <w:tc>
          <w:tcPr>
            <w:tcW w:type="dxa" w:w="4703"/>
            <w:shd w:val="clear" w:color="auto" w:fill="FFFFFF"/>
          </w:tcPr>
          <w:p>
            <w:r>
              <w:rPr>
                <w:sz w:val="20"/>
              </w:rPr>
              <w:t>Chapter 5: Copper &amp; Allied Metals — draft</w:t>
            </w:r>
          </w:p>
        </w:tc>
        <w:tc>
          <w:tcPr>
            <w:tcW w:type="dxa" w:w="4703"/>
            <w:shd w:val="clear" w:color="auto" w:fill="FFFFFF"/>
          </w:tcPr>
          <w:p>
            <w:r>
              <w:rPr>
                <w:sz w:val="20"/>
              </w:rPr>
              <w:t>3 June 2026</w:t>
            </w:r>
          </w:p>
        </w:tc>
      </w:tr>
      <w:tr>
        <w:tc>
          <w:tcPr>
            <w:tcW w:type="dxa" w:w="4703"/>
            <w:shd w:val="clear" w:color="auto" w:fill="D6E8F7"/>
          </w:tcPr>
          <w:p>
            <w:r>
              <w:rPr>
                <w:sz w:val="20"/>
              </w:rPr>
              <w:t>Chapter 6: Automotive — draft</w:t>
            </w:r>
          </w:p>
        </w:tc>
        <w:tc>
          <w:tcPr>
            <w:tcW w:type="dxa" w:w="4703"/>
            <w:shd w:val="clear" w:color="auto" w:fill="D6E8F7"/>
          </w:tcPr>
          <w:p>
            <w:r>
              <w:rPr>
                <w:sz w:val="20"/>
              </w:rPr>
              <w:t>4 June 2026</w:t>
            </w:r>
          </w:p>
        </w:tc>
      </w:tr>
      <w:tr>
        <w:tc>
          <w:tcPr>
            <w:tcW w:type="dxa" w:w="4703"/>
            <w:shd w:val="clear" w:color="auto" w:fill="FFFFFF"/>
          </w:tcPr>
          <w:p>
            <w:r>
              <w:rPr>
                <w:sz w:val="20"/>
              </w:rPr>
              <w:t>Chapter 7: Cross-cutting recommendations</w:t>
            </w:r>
          </w:p>
        </w:tc>
        <w:tc>
          <w:tcPr>
            <w:tcW w:type="dxa" w:w="4703"/>
            <w:shd w:val="clear" w:color="auto" w:fill="FFFFFF"/>
          </w:tcPr>
          <w:p>
            <w:r>
              <w:rPr>
                <w:sz w:val="20"/>
              </w:rPr>
              <w:t>5 June 2026</w:t>
            </w:r>
          </w:p>
        </w:tc>
      </w:tr>
      <w:tr>
        <w:tc>
          <w:tcPr>
            <w:tcW w:type="dxa" w:w="4703"/>
            <w:shd w:val="clear" w:color="auto" w:fill="D6E8F7"/>
          </w:tcPr>
          <w:p>
            <w:r>
              <w:rPr>
                <w:sz w:val="20"/>
              </w:rPr>
              <w:t>Chapter 8: Investment portfolio and roadmap</w:t>
            </w:r>
          </w:p>
        </w:tc>
        <w:tc>
          <w:tcPr>
            <w:tcW w:type="dxa" w:w="4703"/>
            <w:shd w:val="clear" w:color="auto" w:fill="D6E8F7"/>
          </w:tcPr>
          <w:p>
            <w:r>
              <w:rPr>
                <w:sz w:val="20"/>
              </w:rPr>
              <w:t>6 June 2026</w:t>
            </w:r>
          </w:p>
        </w:tc>
      </w:tr>
      <w:tr>
        <w:tc>
          <w:tcPr>
            <w:tcW w:type="dxa" w:w="4703"/>
            <w:shd w:val="clear" w:color="auto" w:fill="FFFFFF"/>
          </w:tcPr>
          <w:p>
            <w:r>
              <w:rPr>
                <w:sz w:val="20"/>
              </w:rPr>
              <w:t>Chapter 1: Executive Summary</w:t>
            </w:r>
          </w:p>
        </w:tc>
        <w:tc>
          <w:tcPr>
            <w:tcW w:type="dxa" w:w="4703"/>
            <w:shd w:val="clear" w:color="auto" w:fill="FFFFFF"/>
          </w:tcPr>
          <w:p>
            <w:r>
              <w:rPr>
                <w:sz w:val="20"/>
              </w:rPr>
              <w:t>7 June 2026</w:t>
            </w:r>
          </w:p>
        </w:tc>
      </w:tr>
      <w:tr>
        <w:tc>
          <w:tcPr>
            <w:tcW w:type="dxa" w:w="4703"/>
            <w:shd w:val="clear" w:color="auto" w:fill="D6E8F7"/>
          </w:tcPr>
          <w:p>
            <w:r>
              <w:rPr>
                <w:sz w:val="20"/>
              </w:rPr>
              <w:t>Final report submitted to MTIC</w:t>
            </w:r>
          </w:p>
        </w:tc>
        <w:tc>
          <w:tcPr>
            <w:tcW w:type="dxa" w:w="4703"/>
            <w:shd w:val="clear" w:color="auto" w:fill="D6E8F7"/>
          </w:tcPr>
          <w:p>
            <w:r>
              <w:rPr>
                <w:sz w:val="20"/>
              </w:rPr>
              <w:t>8 June 2026</w:t>
            </w:r>
          </w:p>
        </w:tc>
      </w:tr>
    </w:tbl>
    <w:p/>
    <w:p/>
    <w:p>
      <w:pPr>
        <w:pStyle w:val="Heading3"/>
        <w:spacing w:before="280" w:after="80"/>
      </w:pPr>
      <w:r>
        <w:rPr>
          <w:b/>
          <w:color w:val="005CA8"/>
          <w:sz w:val="26"/>
        </w:rPr>
        <w:t>2.4 Gantt Chart</w:t>
      </w:r>
    </w:p>
    <w:p/>
    <w:p>
      <w:pPr>
        <w:spacing w:before="80" w:after="80"/>
      </w:pPr>
      <w:r>
        <w:rPr>
          <w:rFonts w:ascii="Courier New" w:hAnsi="Courier New"/>
          <w:sz w:val="15"/>
        </w:rPr>
        <w:t>Task                              May 29  May 31  Jun 1   Jun 2   Jun 3   Jun 4   Jun 5   Jun 6   Jun 7   Jun 8</w:t>
        <w:br/>
        <w:t>Inception Report draft            ████████</w:t>
        <w:br/>
        <w:t>TWG approval                      ████████</w:t>
        <w:br/>
        <w:t>Ch2 Background and Policy Context         ████████</w:t>
        <w:br/>
        <w:t>Ch3 Methodology and Framework                     ████████</w:t>
        <w:br/>
        <w:t>Ch4 Iron &amp; Steel                                          ████████</w:t>
        <w:br/>
        <w:t>Ch5 Copper &amp; Allied Metals                                        ████████</w:t>
        <w:br/>
        <w:t>Ch6 Automotive                                                            ████████</w:t>
        <w:br/>
        <w:t>Ch7 Cross-cutting                                                                 ████████</w:t>
        <w:br/>
        <w:t>Ch8 Investment roadmap                                                                    ████████</w:t>
        <w:br/>
        <w:t>Ch1 Executive Summary                                                                             ████████</w:t>
        <w:br/>
        <w:t>Final submission                                                                                          ████████</w:t>
      </w:r>
    </w:p>
    <w:p/>
    <w:p/>
    <w:p/>
    <w:p/>
    <w:p>
      <w:pPr>
        <w:pStyle w:val="Heading2"/>
        <w:spacing w:before="280" w:after="80"/>
      </w:pPr>
      <w:r>
        <w:rPr>
          <w:b/>
          <w:color w:val="002B5B"/>
          <w:sz w:val="32"/>
        </w:rPr>
        <w:t>3. Diagnostic Framework and Assessment Templates</w:t>
      </w:r>
    </w:p>
    <w:p/>
    <w:p>
      <w:pPr>
        <w:spacing w:after="80"/>
      </w:pPr>
      <w:r>
        <w:t>Each value chain chapter follows a consistent six-part analytical framework applied uniformly across all three chains to ensure comparability of findings.</w:t>
      </w:r>
    </w:p>
    <w:p/>
    <w:p>
      <w:pPr>
        <w:pStyle w:val="Heading3"/>
        <w:spacing w:before="280" w:after="80"/>
      </w:pPr>
      <w:r>
        <w:rPr>
          <w:b/>
          <w:color w:val="005CA8"/>
          <w:sz w:val="26"/>
        </w:rPr>
        <w:t>Part A: Value Chain Map</w:t>
      </w:r>
    </w:p>
    <w:p>
      <w:pPr>
        <w:spacing w:after="80"/>
      </w:pPr>
      <w:r>
        <w:t>Full mapping from primary inputs through all intermediate processing stages to final end products. The map identifies: (a) where Uganda currently participates in the chain; (b) where value is lost through export of unprocessed inputs or import of intermediates; (c) where import substitution and export opportunities exist.</w:t>
      </w:r>
    </w:p>
    <w:p/>
    <w:p>
      <w:pPr>
        <w:pStyle w:val="Heading3"/>
        <w:spacing w:before="280" w:after="80"/>
      </w:pPr>
      <w:r>
        <w:rPr>
          <w:b/>
          <w:color w:val="005CA8"/>
          <w:sz w:val="26"/>
        </w:rPr>
        <w:t>Part B: Current State Assessment</w:t>
      </w:r>
    </w:p>
    <w:p>
      <w:pPr>
        <w:spacing w:after="80"/>
      </w:pPr>
      <w:r>
        <w:t>Compilation of production volumes, number of active firms, employment, capacity utilization, export values, and import values. Key public and private sector players identified and mapped against value chain phases.</w:t>
      </w:r>
    </w:p>
    <w:p/>
    <w:p>
      <w:pPr>
        <w:pStyle w:val="Heading3"/>
        <w:spacing w:before="280" w:after="80"/>
      </w:pPr>
      <w:r>
        <w:rPr>
          <w:b/>
          <w:color w:val="005CA8"/>
          <w:sz w:val="26"/>
        </w:rPr>
        <w:t>Part C: Binding Constraints Analysis</w:t>
      </w:r>
    </w:p>
    <w:p>
      <w:pPr>
        <w:spacing w:after="80"/>
      </w:pPr>
      <w:r>
        <w:t>Analysis across ten dimensions applied consistently to each chain: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w:t>
            </w:r>
          </w:p>
        </w:tc>
        <w:tc>
          <w:tcPr>
            <w:tcW w:type="dxa" w:w="4703"/>
            <w:shd w:val="clear" w:color="auto" w:fill="002B5B"/>
          </w:tcPr>
          <w:p>
            <w:r>
              <w:rPr>
                <w:b/>
                <w:color w:val="FFFFFF"/>
                <w:sz w:val="20"/>
              </w:rPr>
              <w:t>Dimension</w:t>
            </w:r>
          </w:p>
        </w:tc>
      </w:tr>
      <w:tr>
        <w:tc>
          <w:tcPr>
            <w:tcW w:type="dxa" w:w="4703"/>
            <w:shd w:val="clear" w:color="auto" w:fill="D6E8F7"/>
          </w:tcPr>
          <w:p>
            <w:r>
              <w:rPr>
                <w:sz w:val="20"/>
              </w:rPr>
              <w:t>1</w:t>
            </w:r>
          </w:p>
        </w:tc>
        <w:tc>
          <w:tcPr>
            <w:tcW w:type="dxa" w:w="4703"/>
            <w:shd w:val="clear" w:color="auto" w:fill="D6E8F7"/>
          </w:tcPr>
          <w:p>
            <w:r>
              <w:rPr>
                <w:sz w:val="20"/>
              </w:rPr>
              <w:t>Inputs and raw materials</w:t>
            </w:r>
          </w:p>
        </w:tc>
      </w:tr>
      <w:tr>
        <w:tc>
          <w:tcPr>
            <w:tcW w:type="dxa" w:w="4703"/>
            <w:shd w:val="clear" w:color="auto" w:fill="FFFFFF"/>
          </w:tcPr>
          <w:p>
            <w:r>
              <w:rPr>
                <w:sz w:val="20"/>
              </w:rPr>
              <w:t>2</w:t>
            </w:r>
          </w:p>
        </w:tc>
        <w:tc>
          <w:tcPr>
            <w:tcW w:type="dxa" w:w="4703"/>
            <w:shd w:val="clear" w:color="auto" w:fill="FFFFFF"/>
          </w:tcPr>
          <w:p>
            <w:r>
              <w:rPr>
                <w:sz w:val="20"/>
              </w:rPr>
              <w:t>Technology and productivity</w:t>
            </w:r>
          </w:p>
        </w:tc>
      </w:tr>
      <w:tr>
        <w:tc>
          <w:tcPr>
            <w:tcW w:type="dxa" w:w="4703"/>
            <w:shd w:val="clear" w:color="auto" w:fill="D6E8F7"/>
          </w:tcPr>
          <w:p>
            <w:r>
              <w:rPr>
                <w:sz w:val="20"/>
              </w:rPr>
              <w:t>3</w:t>
            </w:r>
          </w:p>
        </w:tc>
        <w:tc>
          <w:tcPr>
            <w:tcW w:type="dxa" w:w="4703"/>
            <w:shd w:val="clear" w:color="auto" w:fill="D6E8F7"/>
          </w:tcPr>
          <w:p>
            <w:r>
              <w:rPr>
                <w:sz w:val="20"/>
              </w:rPr>
              <w:t>Energy</w:t>
            </w:r>
          </w:p>
        </w:tc>
      </w:tr>
      <w:tr>
        <w:tc>
          <w:tcPr>
            <w:tcW w:type="dxa" w:w="4703"/>
            <w:shd w:val="clear" w:color="auto" w:fill="FFFFFF"/>
          </w:tcPr>
          <w:p>
            <w:r>
              <w:rPr>
                <w:sz w:val="20"/>
              </w:rPr>
              <w:t>4</w:t>
            </w:r>
          </w:p>
        </w:tc>
        <w:tc>
          <w:tcPr>
            <w:tcW w:type="dxa" w:w="4703"/>
            <w:shd w:val="clear" w:color="auto" w:fill="FFFFFF"/>
          </w:tcPr>
          <w:p>
            <w:r>
              <w:rPr>
                <w:sz w:val="20"/>
              </w:rPr>
              <w:t>Water</w:t>
            </w:r>
          </w:p>
        </w:tc>
      </w:tr>
      <w:tr>
        <w:tc>
          <w:tcPr>
            <w:tcW w:type="dxa" w:w="4703"/>
            <w:shd w:val="clear" w:color="auto" w:fill="D6E8F7"/>
          </w:tcPr>
          <w:p>
            <w:r>
              <w:rPr>
                <w:sz w:val="20"/>
              </w:rPr>
              <w:t>5</w:t>
            </w:r>
          </w:p>
        </w:tc>
        <w:tc>
          <w:tcPr>
            <w:tcW w:type="dxa" w:w="4703"/>
            <w:shd w:val="clear" w:color="auto" w:fill="D6E8F7"/>
          </w:tcPr>
          <w:p>
            <w:r>
              <w:rPr>
                <w:sz w:val="20"/>
              </w:rPr>
              <w:t>Logistics and transport</w:t>
            </w:r>
          </w:p>
        </w:tc>
      </w:tr>
      <w:tr>
        <w:tc>
          <w:tcPr>
            <w:tcW w:type="dxa" w:w="4703"/>
            <w:shd w:val="clear" w:color="auto" w:fill="FFFFFF"/>
          </w:tcPr>
          <w:p>
            <w:r>
              <w:rPr>
                <w:sz w:val="20"/>
              </w:rPr>
              <w:t>6</w:t>
            </w:r>
          </w:p>
        </w:tc>
        <w:tc>
          <w:tcPr>
            <w:tcW w:type="dxa" w:w="4703"/>
            <w:shd w:val="clear" w:color="auto" w:fill="FFFFFF"/>
          </w:tcPr>
          <w:p>
            <w:r>
              <w:rPr>
                <w:sz w:val="20"/>
              </w:rPr>
              <w:t>Waste and effluent management</w:t>
            </w:r>
          </w:p>
        </w:tc>
      </w:tr>
      <w:tr>
        <w:tc>
          <w:tcPr>
            <w:tcW w:type="dxa" w:w="4703"/>
            <w:shd w:val="clear" w:color="auto" w:fill="D6E8F7"/>
          </w:tcPr>
          <w:p>
            <w:r>
              <w:rPr>
                <w:sz w:val="20"/>
              </w:rPr>
              <w:t>7</w:t>
            </w:r>
          </w:p>
        </w:tc>
        <w:tc>
          <w:tcPr>
            <w:tcW w:type="dxa" w:w="4703"/>
            <w:shd w:val="clear" w:color="auto" w:fill="D6E8F7"/>
          </w:tcPr>
          <w:p>
            <w:r>
              <w:rPr>
                <w:sz w:val="20"/>
              </w:rPr>
              <w:t>Finance and investment environment</w:t>
            </w:r>
          </w:p>
        </w:tc>
      </w:tr>
      <w:tr>
        <w:tc>
          <w:tcPr>
            <w:tcW w:type="dxa" w:w="4703"/>
            <w:shd w:val="clear" w:color="auto" w:fill="FFFFFF"/>
          </w:tcPr>
          <w:p>
            <w:r>
              <w:rPr>
                <w:sz w:val="20"/>
              </w:rPr>
              <w:t>8</w:t>
            </w:r>
          </w:p>
        </w:tc>
        <w:tc>
          <w:tcPr>
            <w:tcW w:type="dxa" w:w="4703"/>
            <w:shd w:val="clear" w:color="auto" w:fill="FFFFFF"/>
          </w:tcPr>
          <w:p>
            <w:r>
              <w:rPr>
                <w:sz w:val="20"/>
              </w:rPr>
              <w:t>Skills and workforce</w:t>
            </w:r>
          </w:p>
        </w:tc>
      </w:tr>
      <w:tr>
        <w:tc>
          <w:tcPr>
            <w:tcW w:type="dxa" w:w="4703"/>
            <w:shd w:val="clear" w:color="auto" w:fill="D6E8F7"/>
          </w:tcPr>
          <w:p>
            <w:r>
              <w:rPr>
                <w:sz w:val="20"/>
              </w:rPr>
              <w:t>9</w:t>
            </w:r>
          </w:p>
        </w:tc>
        <w:tc>
          <w:tcPr>
            <w:tcW w:type="dxa" w:w="4703"/>
            <w:shd w:val="clear" w:color="auto" w:fill="D6E8F7"/>
          </w:tcPr>
          <w:p>
            <w:r>
              <w:rPr>
                <w:sz w:val="20"/>
              </w:rPr>
              <w:t>Standards and quality compliance</w:t>
            </w:r>
          </w:p>
        </w:tc>
      </w:tr>
      <w:tr>
        <w:tc>
          <w:tcPr>
            <w:tcW w:type="dxa" w:w="4703"/>
            <w:shd w:val="clear" w:color="auto" w:fill="FFFFFF"/>
          </w:tcPr>
          <w:p>
            <w:r>
              <w:rPr>
                <w:sz w:val="20"/>
              </w:rPr>
              <w:t>10</w:t>
            </w:r>
          </w:p>
        </w:tc>
        <w:tc>
          <w:tcPr>
            <w:tcW w:type="dxa" w:w="4703"/>
            <w:shd w:val="clear" w:color="auto" w:fill="FFFFFF"/>
          </w:tcPr>
          <w:p>
            <w:r>
              <w:rPr>
                <w:sz w:val="20"/>
              </w:rPr>
              <w:t>Policy and regulatory environment</w:t>
            </w:r>
          </w:p>
        </w:tc>
      </w:tr>
    </w:tbl>
    <w:p/>
    <w:p/>
    <w:p>
      <w:pPr>
        <w:pStyle w:val="Heading3"/>
        <w:spacing w:before="280" w:after="80"/>
      </w:pPr>
      <w:r>
        <w:rPr>
          <w:b/>
          <w:color w:val="005CA8"/>
          <w:sz w:val="26"/>
        </w:rPr>
        <w:t>Part D: Market Assessment</w:t>
      </w:r>
    </w:p>
    <w:p>
      <w:pPr>
        <w:spacing w:after="80"/>
      </w:pPr>
      <w:r>
        <w:t>Three-level market assessment: (1) domestic Uganda market; (2) regional East African and COMESA market; (3) global export markets. For each level: market size, growth trajectory, Uganda's current share, competitive landscape, and realistic market access potential.</w:t>
      </w:r>
    </w:p>
    <w:p/>
    <w:p>
      <w:pPr>
        <w:pStyle w:val="Heading3"/>
        <w:spacing w:before="280" w:after="80"/>
      </w:pPr>
      <w:r>
        <w:rPr>
          <w:b/>
          <w:color w:val="005CA8"/>
          <w:sz w:val="26"/>
        </w:rPr>
        <w:t>Part E: Prioritized Products</w:t>
      </w:r>
    </w:p>
    <w:p>
      <w:pPr>
        <w:spacing w:after="80"/>
      </w:pPr>
      <w:r>
        <w:t>Application of the prioritization scoring framework to identify 3–4 products or sub-sectors per chain that Uganda should concentrate on. Explicit deprioritization of products Uganda should not pursue at this stage, with rationale.</w:t>
      </w:r>
    </w:p>
    <w:p/>
    <w:p>
      <w:pPr>
        <w:pStyle w:val="Heading3"/>
        <w:spacing w:before="280" w:after="80"/>
      </w:pPr>
      <w:r>
        <w:rPr>
          <w:b/>
          <w:color w:val="005CA8"/>
          <w:sz w:val="26"/>
        </w:rPr>
        <w:t>Part F: Priority Action Matrix</w:t>
      </w:r>
    </w:p>
    <w:p>
      <w:pPr>
        <w:spacing w:after="80"/>
      </w:pPr>
      <w:r>
        <w:t>Actions organized by timeframe: quick wins (0–12 months), policy and institutional reforms (1–3 years), investment interventions (3–5 years). Each action specifies the responsible party and indicative investment or cost.</w:t>
      </w:r>
    </w:p>
    <w:p/>
    <w:p/>
    <w:p/>
    <w:p>
      <w:pPr>
        <w:pStyle w:val="Heading2"/>
        <w:spacing w:before="280" w:after="80"/>
      </w:pPr>
      <w:r>
        <w:rPr>
          <w:b/>
          <w:color w:val="002B5B"/>
          <w:sz w:val="32"/>
        </w:rPr>
        <w:t>4. Data Plan</w:t>
      </w:r>
    </w:p>
    <w:p/>
    <w:p>
      <w:pPr>
        <w:pStyle w:val="Heading3"/>
        <w:spacing w:before="280" w:after="80"/>
      </w:pPr>
      <w:r>
        <w:rPr>
          <w:b/>
          <w:color w:val="005CA8"/>
          <w:sz w:val="26"/>
        </w:rPr>
        <w:t>4.1 Primary Data Sources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Value Chain</w:t>
            </w:r>
          </w:p>
        </w:tc>
        <w:tc>
          <w:tcPr>
            <w:tcW w:type="dxa" w:w="4703"/>
            <w:shd w:val="clear" w:color="auto" w:fill="002B5B"/>
          </w:tcPr>
          <w:p>
            <w:r>
              <w:rPr>
                <w:b/>
                <w:color w:val="FFFFFF"/>
                <w:sz w:val="20"/>
              </w:rPr>
              <w:t>Primary Sources</w:t>
            </w:r>
          </w:p>
        </w:tc>
      </w:tr>
      <w:tr>
        <w:tc>
          <w:tcPr>
            <w:tcW w:type="dxa" w:w="4703"/>
            <w:shd w:val="clear" w:color="auto" w:fill="D6E8F7"/>
          </w:tcPr>
          <w:p>
            <w:r>
              <w:rPr>
                <w:sz w:val="20"/>
              </w:rPr>
              <w:t>Iron &amp; Steel</w:t>
            </w:r>
          </w:p>
        </w:tc>
        <w:tc>
          <w:tcPr>
            <w:tcW w:type="dxa" w:w="4703"/>
            <w:shd w:val="clear" w:color="auto" w:fill="D6E8F7"/>
          </w:tcPr>
          <w:p>
            <w:r>
              <w:rPr>
                <w:sz w:val="20"/>
              </w:rPr>
              <w:t xml:space="preserve">NPA/UDC </w:t>
            </w:r>
            <w:r>
              <w:rPr>
                <w:i/>
                <w:sz w:val="20"/>
              </w:rPr>
              <w:t>Report on the Mapping and Value Chain Analysis for Uganda's Iron and Steel Industry</w:t>
            </w:r>
            <w:r>
              <w:rPr>
                <w:sz w:val="20"/>
              </w:rPr>
              <w:t xml:space="preserve"> (June 2025); KIIs with 40 steel firms, 5 mining players, 9 MDAs</w:t>
            </w:r>
          </w:p>
        </w:tc>
      </w:tr>
      <w:tr>
        <w:tc>
          <w:tcPr>
            <w:tcW w:type="dxa" w:w="4703"/>
            <w:shd w:val="clear" w:color="auto" w:fill="FFFFFF"/>
          </w:tcPr>
          <w:p>
            <w:r>
              <w:rPr>
                <w:sz w:val="20"/>
              </w:rPr>
              <w:t>Copper &amp; Allied Metals</w:t>
            </w:r>
          </w:p>
        </w:tc>
        <w:tc>
          <w:tcPr>
            <w:tcW w:type="dxa" w:w="4703"/>
            <w:shd w:val="clear" w:color="auto" w:fill="FFFFFF"/>
          </w:tcPr>
          <w:p>
            <w:r>
              <w:rPr>
                <w:sz w:val="20"/>
              </w:rPr>
              <w:t>KIIs with copper wire/cable manufacturers; UNMC on Kilembe mine; MEMD on copper reserves and licenses</w:t>
            </w:r>
          </w:p>
        </w:tc>
      </w:tr>
      <w:tr>
        <w:tc>
          <w:tcPr>
            <w:tcW w:type="dxa" w:w="4703"/>
            <w:shd w:val="clear" w:color="auto" w:fill="D6E8F7"/>
          </w:tcPr>
          <w:p>
            <w:r>
              <w:rPr>
                <w:sz w:val="20"/>
              </w:rPr>
              <w:t>Automotives</w:t>
            </w:r>
          </w:p>
        </w:tc>
        <w:tc>
          <w:tcPr>
            <w:tcW w:type="dxa" w:w="4703"/>
            <w:shd w:val="clear" w:color="auto" w:fill="D6E8F7"/>
          </w:tcPr>
          <w:p>
            <w:r>
              <w:rPr>
                <w:sz w:val="20"/>
              </w:rPr>
              <w:t>KIIs with Kiira Motors Corporation (KMC); bus body fabricators; spare parts manufacturers; MWT on vehicle import data</w:t>
            </w:r>
          </w:p>
        </w:tc>
      </w:tr>
    </w:tbl>
    <w:p/>
    <w:p/>
    <w:p>
      <w:pPr>
        <w:pStyle w:val="Heading3"/>
        <w:spacing w:before="280" w:after="80"/>
      </w:pPr>
      <w:r>
        <w:rPr>
          <w:b/>
          <w:color w:val="005CA8"/>
          <w:sz w:val="26"/>
        </w:rPr>
        <w:t>4.2 Secondary Data Sources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Source</w:t>
            </w:r>
          </w:p>
        </w:tc>
        <w:tc>
          <w:tcPr>
            <w:tcW w:type="dxa" w:w="4703"/>
            <w:shd w:val="clear" w:color="auto" w:fill="002B5B"/>
          </w:tcPr>
          <w:p>
            <w:r>
              <w:rPr>
                <w:b/>
                <w:color w:val="FFFFFF"/>
                <w:sz w:val="20"/>
              </w:rPr>
              <w:t>Use</w:t>
            </w:r>
          </w:p>
        </w:tc>
      </w:tr>
      <w:tr>
        <w:tc>
          <w:tcPr>
            <w:tcW w:type="dxa" w:w="4703"/>
            <w:shd w:val="clear" w:color="auto" w:fill="D6E8F7"/>
          </w:tcPr>
          <w:p>
            <w:r>
              <w:rPr>
                <w:sz w:val="20"/>
              </w:rPr>
              <w:t>Uganda Bureau of Statistics (UBOS)</w:t>
            </w:r>
          </w:p>
        </w:tc>
        <w:tc>
          <w:tcPr>
            <w:tcW w:type="dxa" w:w="4703"/>
            <w:shd w:val="clear" w:color="auto" w:fill="D6E8F7"/>
          </w:tcPr>
          <w:p>
            <w:r>
              <w:rPr>
                <w:sz w:val="20"/>
              </w:rPr>
              <w:t>Production, employment, national accounts</w:t>
            </w:r>
          </w:p>
        </w:tc>
      </w:tr>
      <w:tr>
        <w:tc>
          <w:tcPr>
            <w:tcW w:type="dxa" w:w="4703"/>
            <w:shd w:val="clear" w:color="auto" w:fill="FFFFFF"/>
          </w:tcPr>
          <w:p>
            <w:r>
              <w:rPr>
                <w:sz w:val="20"/>
              </w:rPr>
              <w:t>Uganda Revenue Authority (URA) trade data</w:t>
            </w:r>
          </w:p>
        </w:tc>
        <w:tc>
          <w:tcPr>
            <w:tcW w:type="dxa" w:w="4703"/>
            <w:shd w:val="clear" w:color="auto" w:fill="FFFFFF"/>
          </w:tcPr>
          <w:p>
            <w:r>
              <w:rPr>
                <w:sz w:val="20"/>
              </w:rPr>
              <w:t>Import/export volumes and values by HS code</w:t>
            </w:r>
          </w:p>
        </w:tc>
      </w:tr>
      <w:tr>
        <w:tc>
          <w:tcPr>
            <w:tcW w:type="dxa" w:w="4703"/>
            <w:shd w:val="clear" w:color="auto" w:fill="D6E8F7"/>
          </w:tcPr>
          <w:p>
            <w:r>
              <w:rPr>
                <w:sz w:val="20"/>
              </w:rPr>
              <w:t>Uganda Investment Authority (UIA)</w:t>
            </w:r>
          </w:p>
        </w:tc>
        <w:tc>
          <w:tcPr>
            <w:tcW w:type="dxa" w:w="4703"/>
            <w:shd w:val="clear" w:color="auto" w:fill="D6E8F7"/>
          </w:tcPr>
          <w:p>
            <w:r>
              <w:rPr>
                <w:sz w:val="20"/>
              </w:rPr>
              <w:t>Investment project registry</w:t>
            </w:r>
          </w:p>
        </w:tc>
      </w:tr>
      <w:tr>
        <w:tc>
          <w:tcPr>
            <w:tcW w:type="dxa" w:w="4703"/>
            <w:shd w:val="clear" w:color="auto" w:fill="FFFFFF"/>
          </w:tcPr>
          <w:p>
            <w:r>
              <w:rPr>
                <w:sz w:val="20"/>
              </w:rPr>
              <w:t>Ministry of Energy and Mineral Development (MEMD)</w:t>
            </w:r>
          </w:p>
        </w:tc>
        <w:tc>
          <w:tcPr>
            <w:tcW w:type="dxa" w:w="4703"/>
            <w:shd w:val="clear" w:color="auto" w:fill="FFFFFF"/>
          </w:tcPr>
          <w:p>
            <w:r>
              <w:rPr>
                <w:sz w:val="20"/>
              </w:rPr>
              <w:t>Mineral reserves, mining licenses</w:t>
            </w:r>
          </w:p>
        </w:tc>
      </w:tr>
      <w:tr>
        <w:tc>
          <w:tcPr>
            <w:tcW w:type="dxa" w:w="4703"/>
            <w:shd w:val="clear" w:color="auto" w:fill="D6E8F7"/>
          </w:tcPr>
          <w:p>
            <w:r>
              <w:rPr>
                <w:sz w:val="20"/>
              </w:rPr>
              <w:t>UN Comtrade / ITC Trade Map</w:t>
            </w:r>
          </w:p>
        </w:tc>
        <w:tc>
          <w:tcPr>
            <w:tcW w:type="dxa" w:w="4703"/>
            <w:shd w:val="clear" w:color="auto" w:fill="D6E8F7"/>
          </w:tcPr>
          <w:p>
            <w:r>
              <w:rPr>
                <w:sz w:val="20"/>
              </w:rPr>
              <w:t>Regional and global market sizing</w:t>
            </w:r>
          </w:p>
        </w:tc>
      </w:tr>
      <w:tr>
        <w:tc>
          <w:tcPr>
            <w:tcW w:type="dxa" w:w="4703"/>
            <w:shd w:val="clear" w:color="auto" w:fill="FFFFFF"/>
          </w:tcPr>
          <w:p>
            <w:r>
              <w:rPr>
                <w:sz w:val="20"/>
              </w:rPr>
              <w:t>World Steel Association</w:t>
            </w:r>
          </w:p>
        </w:tc>
        <w:tc>
          <w:tcPr>
            <w:tcW w:type="dxa" w:w="4703"/>
            <w:shd w:val="clear" w:color="auto" w:fill="FFFFFF"/>
          </w:tcPr>
          <w:p>
            <w:r>
              <w:rPr>
                <w:sz w:val="20"/>
              </w:rPr>
              <w:t>Global steel production and consumption benchmarks</w:t>
            </w:r>
          </w:p>
        </w:tc>
      </w:tr>
      <w:tr>
        <w:tc>
          <w:tcPr>
            <w:tcW w:type="dxa" w:w="4703"/>
            <w:shd w:val="clear" w:color="auto" w:fill="D6E8F7"/>
          </w:tcPr>
          <w:p>
            <w:r>
              <w:rPr>
                <w:sz w:val="20"/>
              </w:rPr>
              <w:t>International Copper Study Group</w:t>
            </w:r>
          </w:p>
        </w:tc>
        <w:tc>
          <w:tcPr>
            <w:tcW w:type="dxa" w:w="4703"/>
            <w:shd w:val="clear" w:color="auto" w:fill="D6E8F7"/>
          </w:tcPr>
          <w:p>
            <w:r>
              <w:rPr>
                <w:sz w:val="20"/>
              </w:rPr>
              <w:t>Global copper market data</w:t>
            </w:r>
          </w:p>
        </w:tc>
      </w:tr>
      <w:tr>
        <w:tc>
          <w:tcPr>
            <w:tcW w:type="dxa" w:w="4703"/>
            <w:shd w:val="clear" w:color="auto" w:fill="FFFFFF"/>
          </w:tcPr>
          <w:p>
            <w:r>
              <w:rPr>
                <w:sz w:val="20"/>
              </w:rPr>
              <w:t>Kiira Motors Corporation (KMC)</w:t>
            </w:r>
          </w:p>
        </w:tc>
        <w:tc>
          <w:tcPr>
            <w:tcW w:type="dxa" w:w="4703"/>
            <w:shd w:val="clear" w:color="auto" w:fill="FFFFFF"/>
          </w:tcPr>
          <w:p>
            <w:r>
              <w:rPr>
                <w:sz w:val="20"/>
              </w:rPr>
              <w:t>Automotive production targets and steel/component requirements</w:t>
            </w:r>
          </w:p>
        </w:tc>
      </w:tr>
    </w:tbl>
    <w:p/>
    <w:p/>
    <w:p>
      <w:pPr>
        <w:pStyle w:val="Heading3"/>
        <w:spacing w:before="280" w:after="80"/>
      </w:pPr>
      <w:r>
        <w:rPr>
          <w:b/>
          <w:color w:val="005CA8"/>
          <w:sz w:val="26"/>
        </w:rPr>
        <w:t>4.3 Data Gaps and Mitigation</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20"/>
              </w:rPr>
              <w:t>Gap</w:t>
            </w:r>
          </w:p>
        </w:tc>
        <w:tc>
          <w:tcPr>
            <w:tcW w:type="dxa" w:w="3135"/>
            <w:shd w:val="clear" w:color="auto" w:fill="002B5B"/>
          </w:tcPr>
          <w:p>
            <w:r>
              <w:rPr>
                <w:b/>
                <w:color w:val="FFFFFF"/>
                <w:sz w:val="20"/>
              </w:rPr>
              <w:t>Chain affected</w:t>
            </w:r>
          </w:p>
        </w:tc>
        <w:tc>
          <w:tcPr>
            <w:tcW w:type="dxa" w:w="3135"/>
            <w:shd w:val="clear" w:color="auto" w:fill="002B5B"/>
          </w:tcPr>
          <w:p>
            <w:r>
              <w:rPr>
                <w:b/>
                <w:color w:val="FFFFFF"/>
                <w:sz w:val="20"/>
              </w:rPr>
              <w:t>Mitigation</w:t>
            </w:r>
          </w:p>
        </w:tc>
      </w:tr>
      <w:tr>
        <w:tc>
          <w:tcPr>
            <w:tcW w:type="dxa" w:w="3135"/>
            <w:shd w:val="clear" w:color="auto" w:fill="D6E8F7"/>
          </w:tcPr>
          <w:p>
            <w:r>
              <w:rPr>
                <w:sz w:val="20"/>
              </w:rPr>
              <w:t>Firm-level production data for copper processors</w:t>
            </w:r>
          </w:p>
        </w:tc>
        <w:tc>
          <w:tcPr>
            <w:tcW w:type="dxa" w:w="3135"/>
            <w:shd w:val="clear" w:color="auto" w:fill="D6E8F7"/>
          </w:tcPr>
          <w:p>
            <w:r>
              <w:rPr>
                <w:sz w:val="20"/>
              </w:rPr>
              <w:t>Copper &amp; Allied Metals</w:t>
            </w:r>
          </w:p>
        </w:tc>
        <w:tc>
          <w:tcPr>
            <w:tcW w:type="dxa" w:w="3135"/>
            <w:shd w:val="clear" w:color="auto" w:fill="D6E8F7"/>
          </w:tcPr>
          <w:p>
            <w:r>
              <w:rPr>
                <w:sz w:val="20"/>
              </w:rPr>
              <w:t>KIIs with UMA member firms; URA HS code trade data as proxy</w:t>
            </w:r>
          </w:p>
        </w:tc>
      </w:tr>
      <w:tr>
        <w:tc>
          <w:tcPr>
            <w:tcW w:type="dxa" w:w="3135"/>
            <w:shd w:val="clear" w:color="auto" w:fill="FFFFFF"/>
          </w:tcPr>
          <w:p>
            <w:r>
              <w:rPr>
                <w:sz w:val="20"/>
              </w:rPr>
              <w:t>Copper reserve quantity and grade data</w:t>
            </w:r>
          </w:p>
        </w:tc>
        <w:tc>
          <w:tcPr>
            <w:tcW w:type="dxa" w:w="3135"/>
            <w:shd w:val="clear" w:color="auto" w:fill="FFFFFF"/>
          </w:tcPr>
          <w:p>
            <w:r>
              <w:rPr>
                <w:sz w:val="20"/>
              </w:rPr>
              <w:t>Copper &amp; Allied Metals</w:t>
            </w:r>
          </w:p>
        </w:tc>
        <w:tc>
          <w:tcPr>
            <w:tcW w:type="dxa" w:w="3135"/>
            <w:shd w:val="clear" w:color="auto" w:fill="FFFFFF"/>
          </w:tcPr>
          <w:p>
            <w:r>
              <w:rPr>
                <w:sz w:val="20"/>
              </w:rPr>
              <w:t>MEMD consultation; UNMC data on Kilembe</w:t>
            </w:r>
          </w:p>
        </w:tc>
      </w:tr>
      <w:tr>
        <w:tc>
          <w:tcPr>
            <w:tcW w:type="dxa" w:w="3135"/>
            <w:shd w:val="clear" w:color="auto" w:fill="D6E8F7"/>
          </w:tcPr>
          <w:p>
            <w:r>
              <w:rPr>
                <w:sz w:val="20"/>
              </w:rPr>
              <w:t>Automotive assembly and body fabrication capacity data</w:t>
            </w:r>
          </w:p>
        </w:tc>
        <w:tc>
          <w:tcPr>
            <w:tcW w:type="dxa" w:w="3135"/>
            <w:shd w:val="clear" w:color="auto" w:fill="D6E8F7"/>
          </w:tcPr>
          <w:p>
            <w:r>
              <w:rPr>
                <w:sz w:val="20"/>
              </w:rPr>
              <w:t>Automotives</w:t>
            </w:r>
          </w:p>
        </w:tc>
        <w:tc>
          <w:tcPr>
            <w:tcW w:type="dxa" w:w="3135"/>
            <w:shd w:val="clear" w:color="auto" w:fill="D6E8F7"/>
          </w:tcPr>
          <w:p>
            <w:r>
              <w:rPr>
                <w:sz w:val="20"/>
              </w:rPr>
              <w:t>KIIs with KMC and private assemblers; URA vehicle import HS codes</w:t>
            </w:r>
          </w:p>
        </w:tc>
      </w:tr>
      <w:tr>
        <w:tc>
          <w:tcPr>
            <w:tcW w:type="dxa" w:w="3135"/>
            <w:shd w:val="clear" w:color="auto" w:fill="FFFFFF"/>
          </w:tcPr>
          <w:p>
            <w:r>
              <w:rPr>
                <w:sz w:val="20"/>
              </w:rPr>
              <w:t>Regional copper and automotive market sizing</w:t>
            </w:r>
          </w:p>
        </w:tc>
        <w:tc>
          <w:tcPr>
            <w:tcW w:type="dxa" w:w="3135"/>
            <w:shd w:val="clear" w:color="auto" w:fill="FFFFFF"/>
          </w:tcPr>
          <w:p>
            <w:r>
              <w:rPr>
                <w:sz w:val="20"/>
              </w:rPr>
              <w:t>Both</w:t>
            </w:r>
          </w:p>
        </w:tc>
        <w:tc>
          <w:tcPr>
            <w:tcW w:type="dxa" w:w="3135"/>
            <w:shd w:val="clear" w:color="auto" w:fill="FFFFFF"/>
          </w:tcPr>
          <w:p>
            <w:r>
              <w:rPr>
                <w:sz w:val="20"/>
              </w:rPr>
              <w:t>UN Comtrade; ITC Trade Map; African Development Bank sector reports</w:t>
            </w:r>
          </w:p>
        </w:tc>
      </w:tr>
    </w:tbl>
    <w:p/>
    <w:p/>
    <w:p/>
    <w:p/>
    <w:p>
      <w:pPr>
        <w:pStyle w:val="Heading2"/>
        <w:spacing w:before="280" w:after="80"/>
      </w:pPr>
      <w:r>
        <w:rPr>
          <w:b/>
          <w:color w:val="002B5B"/>
          <w:sz w:val="32"/>
        </w:rPr>
        <w:t>5. Stakeholder Consultation Plan</w:t>
      </w:r>
    </w:p>
    <w:p/>
    <w:p>
      <w:pPr>
        <w:pStyle w:val="Heading3"/>
        <w:spacing w:before="280" w:after="80"/>
      </w:pPr>
      <w:r>
        <w:rPr>
          <w:b/>
          <w:color w:val="005CA8"/>
          <w:sz w:val="26"/>
        </w:rPr>
        <w:t>5.1 Key Informant Interviews (KIIs)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20"/>
              </w:rPr>
              <w:t>Stakeholder category</w:t>
            </w:r>
          </w:p>
        </w:tc>
        <w:tc>
          <w:tcPr>
            <w:tcW w:type="dxa" w:w="3135"/>
            <w:shd w:val="clear" w:color="auto" w:fill="002B5B"/>
          </w:tcPr>
          <w:p>
            <w:r>
              <w:rPr>
                <w:b/>
                <w:color w:val="FFFFFF"/>
                <w:sz w:val="20"/>
              </w:rPr>
              <w:t>Institutions / firms</w:t>
            </w:r>
          </w:p>
        </w:tc>
        <w:tc>
          <w:tcPr>
            <w:tcW w:type="dxa" w:w="3135"/>
            <w:shd w:val="clear" w:color="auto" w:fill="002B5B"/>
          </w:tcPr>
          <w:p>
            <w:r>
              <w:rPr>
                <w:b/>
                <w:color w:val="FFFFFF"/>
                <w:sz w:val="20"/>
              </w:rPr>
              <w:t>Chain(s)</w:t>
            </w:r>
          </w:p>
        </w:tc>
      </w:tr>
      <w:tr>
        <w:tc>
          <w:tcPr>
            <w:tcW w:type="dxa" w:w="3135"/>
            <w:shd w:val="clear" w:color="auto" w:fill="D6E8F7"/>
          </w:tcPr>
          <w:p>
            <w:r>
              <w:rPr>
                <w:sz w:val="20"/>
              </w:rPr>
            </w:r>
            <w:r>
              <w:rPr>
                <w:b/>
                <w:sz w:val="20"/>
              </w:rPr>
              <w:t>Public sector</w:t>
            </w:r>
            <w:r>
              <w:rPr>
                <w:sz w:val="20"/>
              </w:rPr>
            </w:r>
          </w:p>
        </w:tc>
        <w:tc>
          <w:tcPr>
            <w:tcW w:type="dxa" w:w="3135"/>
            <w:shd w:val="clear" w:color="auto" w:fill="D6E8F7"/>
          </w:tcPr>
          <w:p>
            <w:r>
              <w:rPr>
                <w:sz w:val="20"/>
              </w:rPr>
              <w:t>MTIC, UIA, URA, UBOS, UNBS, UEPB, MEMD, Uganda National Mining Company (UNMC), Kiira Motors Corporation (KMC), MWT</w:t>
            </w:r>
          </w:p>
        </w:tc>
        <w:tc>
          <w:tcPr>
            <w:tcW w:type="dxa" w:w="3135"/>
            <w:shd w:val="clear" w:color="auto" w:fill="D6E8F7"/>
          </w:tcPr>
          <w:p>
            <w:r>
              <w:rPr>
                <w:sz w:val="20"/>
              </w:rPr>
              <w:t>All</w:t>
            </w:r>
          </w:p>
        </w:tc>
      </w:tr>
      <w:tr>
        <w:tc>
          <w:tcPr>
            <w:tcW w:type="dxa" w:w="3135"/>
            <w:shd w:val="clear" w:color="auto" w:fill="FFFFFF"/>
          </w:tcPr>
          <w:p>
            <w:r>
              <w:rPr>
                <w:sz w:val="20"/>
              </w:rPr>
            </w:r>
            <w:r>
              <w:rPr>
                <w:b/>
                <w:sz w:val="20"/>
              </w:rPr>
              <w:t>Private sector — Iron &amp; Steel</w:t>
            </w:r>
            <w:r>
              <w:rPr>
                <w:sz w:val="20"/>
              </w:rPr>
            </w:r>
          </w:p>
        </w:tc>
        <w:tc>
          <w:tcPr>
            <w:tcW w:type="dxa" w:w="3135"/>
            <w:shd w:val="clear" w:color="auto" w:fill="FFFFFF"/>
          </w:tcPr>
          <w:p>
            <w:r>
              <w:rPr>
                <w:sz w:val="20"/>
              </w:rPr>
              <w:t>40 steel firms (per NPA/UDC 2025 report), SINO Minerals, Tembo Steel, Abyssinia Iron &amp; Steel, Roofings Ltd, Steel &amp; Tube, Uganda Baati</w:t>
            </w:r>
          </w:p>
        </w:tc>
        <w:tc>
          <w:tcPr>
            <w:tcW w:type="dxa" w:w="3135"/>
            <w:shd w:val="clear" w:color="auto" w:fill="FFFFFF"/>
          </w:tcPr>
          <w:p>
            <w:r>
              <w:rPr>
                <w:sz w:val="20"/>
              </w:rPr>
              <w:t>Iron &amp; Steel</w:t>
            </w:r>
          </w:p>
        </w:tc>
      </w:tr>
      <w:tr>
        <w:tc>
          <w:tcPr>
            <w:tcW w:type="dxa" w:w="3135"/>
            <w:shd w:val="clear" w:color="auto" w:fill="D6E8F7"/>
          </w:tcPr>
          <w:p>
            <w:r>
              <w:rPr>
                <w:sz w:val="20"/>
              </w:rPr>
            </w:r>
            <w:r>
              <w:rPr>
                <w:b/>
                <w:sz w:val="20"/>
              </w:rPr>
              <w:t>Private sector — Copper</w:t>
            </w:r>
            <w:r>
              <w:rPr>
                <w:sz w:val="20"/>
              </w:rPr>
            </w:r>
          </w:p>
        </w:tc>
        <w:tc>
          <w:tcPr>
            <w:tcW w:type="dxa" w:w="3135"/>
            <w:shd w:val="clear" w:color="auto" w:fill="D6E8F7"/>
          </w:tcPr>
          <w:p>
            <w:r>
              <w:rPr>
                <w:sz w:val="20"/>
              </w:rPr>
              <w:t>Copper wire and cable manufacturers; scrap copper processors; construction materials importers</w:t>
            </w:r>
          </w:p>
        </w:tc>
        <w:tc>
          <w:tcPr>
            <w:tcW w:type="dxa" w:w="3135"/>
            <w:shd w:val="clear" w:color="auto" w:fill="D6E8F7"/>
          </w:tcPr>
          <w:p>
            <w:r>
              <w:rPr>
                <w:sz w:val="20"/>
              </w:rPr>
              <w:t>Copper &amp; Allied Metals</w:t>
            </w:r>
          </w:p>
        </w:tc>
      </w:tr>
      <w:tr>
        <w:tc>
          <w:tcPr>
            <w:tcW w:type="dxa" w:w="3135"/>
            <w:shd w:val="clear" w:color="auto" w:fill="FFFFFF"/>
          </w:tcPr>
          <w:p>
            <w:r>
              <w:rPr>
                <w:sz w:val="20"/>
              </w:rPr>
            </w:r>
            <w:r>
              <w:rPr>
                <w:b/>
                <w:sz w:val="20"/>
              </w:rPr>
              <w:t>Private sector — Automotive</w:t>
            </w:r>
            <w:r>
              <w:rPr>
                <w:sz w:val="20"/>
              </w:rPr>
            </w:r>
          </w:p>
        </w:tc>
        <w:tc>
          <w:tcPr>
            <w:tcW w:type="dxa" w:w="3135"/>
            <w:shd w:val="clear" w:color="auto" w:fill="FFFFFF"/>
          </w:tcPr>
          <w:p>
            <w:r>
              <w:rPr>
                <w:sz w:val="20"/>
              </w:rPr>
              <w:t>Kiira Motors Corporation; bus body fabricators; spare parts manufacturers and importers</w:t>
            </w:r>
          </w:p>
        </w:tc>
        <w:tc>
          <w:tcPr>
            <w:tcW w:type="dxa" w:w="3135"/>
            <w:shd w:val="clear" w:color="auto" w:fill="FFFFFF"/>
          </w:tcPr>
          <w:p>
            <w:r>
              <w:rPr>
                <w:sz w:val="20"/>
              </w:rPr>
              <w:t>Automotives</w:t>
            </w:r>
          </w:p>
        </w:tc>
      </w:tr>
      <w:tr>
        <w:tc>
          <w:tcPr>
            <w:tcW w:type="dxa" w:w="3135"/>
            <w:shd w:val="clear" w:color="auto" w:fill="D6E8F7"/>
          </w:tcPr>
          <w:p>
            <w:r>
              <w:rPr>
                <w:sz w:val="20"/>
              </w:rPr>
            </w:r>
            <w:r>
              <w:rPr>
                <w:b/>
                <w:sz w:val="20"/>
              </w:rPr>
              <w:t>Industry associations</w:t>
            </w:r>
            <w:r>
              <w:rPr>
                <w:sz w:val="20"/>
              </w:rPr>
            </w:r>
          </w:p>
        </w:tc>
        <w:tc>
          <w:tcPr>
            <w:tcW w:type="dxa" w:w="3135"/>
            <w:shd w:val="clear" w:color="auto" w:fill="D6E8F7"/>
          </w:tcPr>
          <w:p>
            <w:r>
              <w:rPr>
                <w:sz w:val="20"/>
              </w:rPr>
              <w:t>Uganda Manufacturers Association (UMA)</w:t>
            </w:r>
          </w:p>
        </w:tc>
        <w:tc>
          <w:tcPr>
            <w:tcW w:type="dxa" w:w="3135"/>
            <w:shd w:val="clear" w:color="auto" w:fill="D6E8F7"/>
          </w:tcPr>
          <w:p>
            <w:r>
              <w:rPr>
                <w:sz w:val="20"/>
              </w:rPr>
              <w:t>All</w:t>
            </w:r>
          </w:p>
        </w:tc>
      </w:tr>
      <w:tr>
        <w:tc>
          <w:tcPr>
            <w:tcW w:type="dxa" w:w="3135"/>
            <w:shd w:val="clear" w:color="auto" w:fill="FFFFFF"/>
          </w:tcPr>
          <w:p>
            <w:r>
              <w:rPr>
                <w:sz w:val="20"/>
              </w:rPr>
            </w:r>
            <w:r>
              <w:rPr>
                <w:b/>
                <w:sz w:val="20"/>
              </w:rPr>
              <w:t>Financial Institutions</w:t>
            </w:r>
            <w:r>
              <w:rPr>
                <w:sz w:val="20"/>
              </w:rPr>
            </w:r>
          </w:p>
        </w:tc>
        <w:tc>
          <w:tcPr>
            <w:tcW w:type="dxa" w:w="3135"/>
            <w:shd w:val="clear" w:color="auto" w:fill="FFFFFF"/>
          </w:tcPr>
          <w:p>
            <w:r>
              <w:rPr>
                <w:sz w:val="20"/>
              </w:rPr>
              <w:t>Uganda Development Bank (UDB), Uganda Development Corporation (UDC), East African Development Bank (EADB), commercial banks</w:t>
            </w:r>
          </w:p>
        </w:tc>
        <w:tc>
          <w:tcPr>
            <w:tcW w:type="dxa" w:w="3135"/>
            <w:shd w:val="clear" w:color="auto" w:fill="FFFFFF"/>
          </w:tcPr>
          <w:p>
            <w:r>
              <w:rPr>
                <w:sz w:val="20"/>
              </w:rPr>
              <w:t>All</w:t>
            </w:r>
          </w:p>
        </w:tc>
      </w:tr>
      <w:tr>
        <w:tc>
          <w:tcPr>
            <w:tcW w:type="dxa" w:w="3135"/>
            <w:shd w:val="clear" w:color="auto" w:fill="D6E8F7"/>
          </w:tcPr>
          <w:p>
            <w:r>
              <w:rPr>
                <w:sz w:val="20"/>
              </w:rPr>
            </w:r>
            <w:r>
              <w:rPr>
                <w:b/>
                <w:sz w:val="20"/>
              </w:rPr>
              <w:t>Research / academia</w:t>
            </w:r>
            <w:r>
              <w:rPr>
                <w:sz w:val="20"/>
              </w:rPr>
            </w:r>
          </w:p>
        </w:tc>
        <w:tc>
          <w:tcPr>
            <w:tcW w:type="dxa" w:w="3135"/>
            <w:shd w:val="clear" w:color="auto" w:fill="D6E8F7"/>
          </w:tcPr>
          <w:p>
            <w:r>
              <w:rPr>
                <w:sz w:val="20"/>
              </w:rPr>
              <w:t>Makerere University (engineering, materials science), Uganda Industrial Research Institute (UIRI)</w:t>
            </w:r>
          </w:p>
        </w:tc>
        <w:tc>
          <w:tcPr>
            <w:tcW w:type="dxa" w:w="3135"/>
            <w:shd w:val="clear" w:color="auto" w:fill="D6E8F7"/>
          </w:tcPr>
          <w:p>
            <w:r>
              <w:rPr>
                <w:sz w:val="20"/>
              </w:rPr>
              <w:t>All</w:t>
            </w:r>
          </w:p>
        </w:tc>
      </w:tr>
    </w:tbl>
    <w:p/>
    <w:p/>
    <w:p>
      <w:pPr>
        <w:pStyle w:val="Heading3"/>
        <w:spacing w:before="280" w:after="80"/>
      </w:pPr>
      <w:r>
        <w:rPr>
          <w:b/>
          <w:color w:val="005CA8"/>
          <w:sz w:val="26"/>
        </w:rPr>
        <w:t>5.2 Validation Workshop</w:t>
      </w:r>
    </w:p>
    <w:p/>
    <w:p>
      <w:pPr>
        <w:spacing w:after="80"/>
      </w:pPr>
      <w:r>
        <w:t>A structured stakeholder validation workshop will be held before the report is finalized. The workshop will:</w:t>
      </w:r>
    </w:p>
    <w:p/>
    <w:p>
      <w:pPr>
        <w:pStyle w:val="ListBullet"/>
        <w:spacing w:after="40"/>
      </w:pPr>
      <w:r>
        <w:t>Present draft prioritization findings for each of the three value chains</w:t>
      </w:r>
    </w:p>
    <w:p>
      <w:pPr>
        <w:pStyle w:val="ListBullet"/>
        <w:spacing w:after="40"/>
      </w:pPr>
      <w:r>
        <w:t>Test the priority product selections and action matrices against stakeholder knowledge</w:t>
      </w:r>
    </w:p>
    <w:p>
      <w:pPr>
        <w:pStyle w:val="ListBullet"/>
        <w:spacing w:after="40"/>
      </w:pPr>
      <w:r>
        <w:t>Identify any material gaps or contested findings</w:t>
      </w:r>
    </w:p>
    <w:p>
      <w:pPr>
        <w:pStyle w:val="ListBullet"/>
        <w:spacing w:after="40"/>
      </w:pPr>
      <w:r>
        <w:t>Produce agreed outputs that are reflected in the final report</w:t>
      </w:r>
    </w:p>
    <w:p/>
    <w:p>
      <w:pPr>
        <w:spacing w:after="40"/>
      </w:pPr>
      <w:r/>
      <w:r>
        <w:rPr>
          <w:b/>
        </w:rPr>
        <w:t>Proposed timing:</w:t>
      </w:r>
      <w:r>
        <w:t xml:space="preserve"> Week of 2–6 June 2026 (after chapter drafts are complete, before final submission).</w:t>
      </w:r>
    </w:p>
    <w:p>
      <w:pPr>
        <w:spacing w:after="40"/>
      </w:pPr>
      <w:r/>
      <w:r>
        <w:rPr>
          <w:b/>
        </w:rPr>
        <w:t>Proposed participants:</w:t>
      </w:r>
      <w:r>
        <w:t xml:space="preserve"> TWG members, private sector representatives from each chain, MTIC, UIA, UNBS, UDB, and relevant development partners.</w:t>
      </w:r>
    </w:p>
    <w:p/>
    <w:p/>
    <w:p/>
    <w:p>
      <w:pPr>
        <w:pStyle w:val="Heading2"/>
        <w:spacing w:before="280" w:after="80"/>
      </w:pPr>
      <w:r>
        <w:rPr>
          <w:b/>
          <w:color w:val="002B5B"/>
          <w:sz w:val="32"/>
        </w:rPr>
        <w:t>6. Prioritization Methodology and Criteria</w:t>
      </w:r>
    </w:p>
    <w:p/>
    <w:p>
      <w:pPr>
        <w:pStyle w:val="Heading3"/>
        <w:spacing w:before="280" w:after="80"/>
      </w:pPr>
      <w:r>
        <w:rPr>
          <w:b/>
          <w:color w:val="005CA8"/>
          <w:sz w:val="26"/>
        </w:rPr>
        <w:t>6.1 Scoring Framework</w:t>
      </w:r>
    </w:p>
    <w:p/>
    <w:p>
      <w:pPr>
        <w:spacing w:after="80"/>
      </w:pPr>
      <w:r>
        <w:t>Products and sub-sectors within each chain are scored against five criteria to identify the 3–4 that Uganda should prioritize. The framework is applied consistently across all three chains.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20"/>
              </w:rPr>
              <w:t>#</w:t>
            </w:r>
          </w:p>
        </w:tc>
        <w:tc>
          <w:tcPr>
            <w:tcW w:type="dxa" w:w="2351"/>
            <w:shd w:val="clear" w:color="auto" w:fill="002B5B"/>
          </w:tcPr>
          <w:p>
            <w:r>
              <w:rPr>
                <w:b/>
                <w:color w:val="FFFFFF"/>
                <w:sz w:val="20"/>
              </w:rPr>
              <w:t>Criterion</w:t>
            </w:r>
          </w:p>
        </w:tc>
        <w:tc>
          <w:tcPr>
            <w:tcW w:type="dxa" w:w="2351"/>
            <w:shd w:val="clear" w:color="auto" w:fill="002B5B"/>
          </w:tcPr>
          <w:p>
            <w:r>
              <w:rPr>
                <w:b/>
                <w:color w:val="FFFFFF"/>
                <w:sz w:val="20"/>
              </w:rPr>
              <w:t>Description</w:t>
            </w:r>
          </w:p>
        </w:tc>
        <w:tc>
          <w:tcPr>
            <w:tcW w:type="dxa" w:w="2351"/>
            <w:shd w:val="clear" w:color="auto" w:fill="002B5B"/>
          </w:tcPr>
          <w:p>
            <w:r>
              <w:rPr>
                <w:b/>
                <w:color w:val="FFFFFF"/>
                <w:sz w:val="20"/>
              </w:rPr>
              <w:t>Weight</w:t>
            </w:r>
          </w:p>
        </w:tc>
      </w:tr>
      <w:tr>
        <w:tc>
          <w:tcPr>
            <w:tcW w:type="dxa" w:w="2351"/>
            <w:shd w:val="clear" w:color="auto" w:fill="D6E8F7"/>
          </w:tcPr>
          <w:p>
            <w:r>
              <w:rPr>
                <w:sz w:val="20"/>
              </w:rPr>
              <w:t>1</w:t>
            </w:r>
          </w:p>
        </w:tc>
        <w:tc>
          <w:tcPr>
            <w:tcW w:type="dxa" w:w="2351"/>
            <w:shd w:val="clear" w:color="auto" w:fill="D6E8F7"/>
          </w:tcPr>
          <w:p>
            <w:r>
              <w:rPr>
                <w:sz w:val="20"/>
              </w:rPr>
              <w:t>Accessible market size</w:t>
            </w:r>
          </w:p>
        </w:tc>
        <w:tc>
          <w:tcPr>
            <w:tcW w:type="dxa" w:w="2351"/>
            <w:shd w:val="clear" w:color="auto" w:fill="D6E8F7"/>
          </w:tcPr>
          <w:p>
            <w:r>
              <w:rPr>
                <w:sz w:val="20"/>
              </w:rPr>
              <w:t>Size and growth rate of the domestic, regional, and export market Uganda can realistically access</w:t>
            </w:r>
          </w:p>
        </w:tc>
        <w:tc>
          <w:tcPr>
            <w:tcW w:type="dxa" w:w="2351"/>
            <w:shd w:val="clear" w:color="auto" w:fill="D6E8F7"/>
          </w:tcPr>
          <w:p>
            <w:r>
              <w:rPr>
                <w:sz w:val="20"/>
              </w:rPr>
              <w:t>25%</w:t>
            </w:r>
          </w:p>
        </w:tc>
      </w:tr>
      <w:tr>
        <w:tc>
          <w:tcPr>
            <w:tcW w:type="dxa" w:w="2351"/>
            <w:shd w:val="clear" w:color="auto" w:fill="FFFFFF"/>
          </w:tcPr>
          <w:p>
            <w:r>
              <w:rPr>
                <w:sz w:val="20"/>
              </w:rPr>
              <w:t>2</w:t>
            </w:r>
          </w:p>
        </w:tc>
        <w:tc>
          <w:tcPr>
            <w:tcW w:type="dxa" w:w="2351"/>
            <w:shd w:val="clear" w:color="auto" w:fill="FFFFFF"/>
          </w:tcPr>
          <w:p>
            <w:r>
              <w:rPr>
                <w:sz w:val="20"/>
              </w:rPr>
              <w:t>Uganda's comparative advantage</w:t>
            </w:r>
          </w:p>
        </w:tc>
        <w:tc>
          <w:tcPr>
            <w:tcW w:type="dxa" w:w="2351"/>
            <w:shd w:val="clear" w:color="auto" w:fill="FFFFFF"/>
          </w:tcPr>
          <w:p>
            <w:r>
              <w:rPr>
                <w:sz w:val="20"/>
              </w:rPr>
              <w:t>Availability of raw material inputs, existing productive base, geographic proximity to key markets</w:t>
            </w:r>
          </w:p>
        </w:tc>
        <w:tc>
          <w:tcPr>
            <w:tcW w:type="dxa" w:w="2351"/>
            <w:shd w:val="clear" w:color="auto" w:fill="FFFFFF"/>
          </w:tcPr>
          <w:p>
            <w:r>
              <w:rPr>
                <w:sz w:val="20"/>
              </w:rPr>
              <w:t>25%</w:t>
            </w:r>
          </w:p>
        </w:tc>
      </w:tr>
      <w:tr>
        <w:tc>
          <w:tcPr>
            <w:tcW w:type="dxa" w:w="2351"/>
            <w:shd w:val="clear" w:color="auto" w:fill="D6E8F7"/>
          </w:tcPr>
          <w:p>
            <w:r>
              <w:rPr>
                <w:sz w:val="20"/>
              </w:rPr>
              <w:t>3</w:t>
            </w:r>
          </w:p>
        </w:tc>
        <w:tc>
          <w:tcPr>
            <w:tcW w:type="dxa" w:w="2351"/>
            <w:shd w:val="clear" w:color="auto" w:fill="D6E8F7"/>
          </w:tcPr>
          <w:p>
            <w:r>
              <w:rPr>
                <w:sz w:val="20"/>
              </w:rPr>
              <w:t>Feasibility</w:t>
            </w:r>
          </w:p>
        </w:tc>
        <w:tc>
          <w:tcPr>
            <w:tcW w:type="dxa" w:w="2351"/>
            <w:shd w:val="clear" w:color="auto" w:fill="D6E8F7"/>
          </w:tcPr>
          <w:p>
            <w:r>
              <w:rPr>
                <w:sz w:val="20"/>
              </w:rPr>
              <w:t>Capital requirements, technology readiness, lead time to commercial scale, management capability</w:t>
            </w:r>
          </w:p>
        </w:tc>
        <w:tc>
          <w:tcPr>
            <w:tcW w:type="dxa" w:w="2351"/>
            <w:shd w:val="clear" w:color="auto" w:fill="D6E8F7"/>
          </w:tcPr>
          <w:p>
            <w:r>
              <w:rPr>
                <w:sz w:val="20"/>
              </w:rPr>
              <w:t>20%</w:t>
            </w:r>
          </w:p>
        </w:tc>
      </w:tr>
      <w:tr>
        <w:tc>
          <w:tcPr>
            <w:tcW w:type="dxa" w:w="2351"/>
            <w:shd w:val="clear" w:color="auto" w:fill="FFFFFF"/>
          </w:tcPr>
          <w:p>
            <w:r>
              <w:rPr>
                <w:sz w:val="20"/>
              </w:rPr>
              <w:t>4</w:t>
            </w:r>
          </w:p>
        </w:tc>
        <w:tc>
          <w:tcPr>
            <w:tcW w:type="dxa" w:w="2351"/>
            <w:shd w:val="clear" w:color="auto" w:fill="FFFFFF"/>
          </w:tcPr>
          <w:p>
            <w:r>
              <w:rPr>
                <w:sz w:val="20"/>
              </w:rPr>
              <w:t>Job creation and income potential</w:t>
            </w:r>
          </w:p>
        </w:tc>
        <w:tc>
          <w:tcPr>
            <w:tcW w:type="dxa" w:w="2351"/>
            <w:shd w:val="clear" w:color="auto" w:fill="FFFFFF"/>
          </w:tcPr>
          <w:p>
            <w:r>
              <w:rPr>
                <w:sz w:val="20"/>
              </w:rPr>
              <w:t>Direct and indirect employment, wage levels, upstream and downstream linkage effects</w:t>
            </w:r>
          </w:p>
        </w:tc>
        <w:tc>
          <w:tcPr>
            <w:tcW w:type="dxa" w:w="2351"/>
            <w:shd w:val="clear" w:color="auto" w:fill="FFFFFF"/>
          </w:tcPr>
          <w:p>
            <w:r>
              <w:rPr>
                <w:sz w:val="20"/>
              </w:rPr>
              <w:t>15%</w:t>
            </w:r>
          </w:p>
        </w:tc>
      </w:tr>
      <w:tr>
        <w:tc>
          <w:tcPr>
            <w:tcW w:type="dxa" w:w="2351"/>
            <w:shd w:val="clear" w:color="auto" w:fill="D6E8F7"/>
          </w:tcPr>
          <w:p>
            <w:r>
              <w:rPr>
                <w:sz w:val="20"/>
              </w:rPr>
              <w:t>5</w:t>
            </w:r>
          </w:p>
        </w:tc>
        <w:tc>
          <w:tcPr>
            <w:tcW w:type="dxa" w:w="2351"/>
            <w:shd w:val="clear" w:color="auto" w:fill="D6E8F7"/>
          </w:tcPr>
          <w:p>
            <w:r>
              <w:rPr>
                <w:sz w:val="20"/>
              </w:rPr>
              <w:t>Import substitution impact</w:t>
            </w:r>
          </w:p>
        </w:tc>
        <w:tc>
          <w:tcPr>
            <w:tcW w:type="dxa" w:w="2351"/>
            <w:shd w:val="clear" w:color="auto" w:fill="D6E8F7"/>
          </w:tcPr>
          <w:p>
            <w:r>
              <w:rPr>
                <w:sz w:val="20"/>
              </w:rPr>
              <w:t>Value of current imports that domestic production could displace; current account benefit</w:t>
            </w:r>
          </w:p>
        </w:tc>
        <w:tc>
          <w:tcPr>
            <w:tcW w:type="dxa" w:w="2351"/>
            <w:shd w:val="clear" w:color="auto" w:fill="D6E8F7"/>
          </w:tcPr>
          <w:p>
            <w:r>
              <w:rPr>
                <w:sz w:val="20"/>
              </w:rPr>
              <w:t>15%</w:t>
            </w:r>
          </w:p>
        </w:tc>
      </w:tr>
    </w:tbl>
    <w:p/>
    <w:p/>
    <w:p>
      <w:pPr>
        <w:pStyle w:val="Heading3"/>
        <w:spacing w:before="280" w:after="80"/>
      </w:pPr>
      <w:r>
        <w:rPr>
          <w:b/>
          <w:color w:val="005CA8"/>
          <w:sz w:val="26"/>
        </w:rPr>
        <w:t>6.2 Scoring Scale</w:t>
      </w:r>
    </w:p>
    <w:p/>
    <w:p>
      <w:pPr>
        <w:spacing w:after="80"/>
      </w:pPr>
      <w:r>
        <w:t>Each product or sub-sector is scored 1–5 on each criterion: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Score</w:t>
            </w:r>
          </w:p>
        </w:tc>
        <w:tc>
          <w:tcPr>
            <w:tcW w:type="dxa" w:w="4703"/>
            <w:shd w:val="clear" w:color="auto" w:fill="002B5B"/>
          </w:tcPr>
          <w:p>
            <w:r>
              <w:rPr>
                <w:b/>
                <w:color w:val="FFFFFF"/>
                <w:sz w:val="20"/>
              </w:rPr>
              <w:t>Meaning</w:t>
            </w:r>
          </w:p>
        </w:tc>
      </w:tr>
      <w:tr>
        <w:tc>
          <w:tcPr>
            <w:tcW w:type="dxa" w:w="4703"/>
            <w:shd w:val="clear" w:color="auto" w:fill="D6E8F7"/>
          </w:tcPr>
          <w:p>
            <w:r>
              <w:rPr>
                <w:sz w:val="20"/>
              </w:rPr>
              <w:t>5</w:t>
            </w:r>
          </w:p>
        </w:tc>
        <w:tc>
          <w:tcPr>
            <w:tcW w:type="dxa" w:w="4703"/>
            <w:shd w:val="clear" w:color="auto" w:fill="D6E8F7"/>
          </w:tcPr>
          <w:p>
            <w:r>
              <w:rPr>
                <w:sz w:val="20"/>
              </w:rPr>
              <w:t>Excellent — strong evidence of competitive advantage or large accessible market</w:t>
            </w:r>
          </w:p>
        </w:tc>
      </w:tr>
      <w:tr>
        <w:tc>
          <w:tcPr>
            <w:tcW w:type="dxa" w:w="4703"/>
            <w:shd w:val="clear" w:color="auto" w:fill="FFFFFF"/>
          </w:tcPr>
          <w:p>
            <w:r>
              <w:rPr>
                <w:sz w:val="20"/>
              </w:rPr>
              <w:t>4</w:t>
            </w:r>
          </w:p>
        </w:tc>
        <w:tc>
          <w:tcPr>
            <w:tcW w:type="dxa" w:w="4703"/>
            <w:shd w:val="clear" w:color="auto" w:fill="FFFFFF"/>
          </w:tcPr>
          <w:p>
            <w:r>
              <w:rPr>
                <w:sz w:val="20"/>
              </w:rPr>
              <w:t>Good — solid case with manageable constraints</w:t>
            </w:r>
          </w:p>
        </w:tc>
      </w:tr>
      <w:tr>
        <w:tc>
          <w:tcPr>
            <w:tcW w:type="dxa" w:w="4703"/>
            <w:shd w:val="clear" w:color="auto" w:fill="D6E8F7"/>
          </w:tcPr>
          <w:p>
            <w:r>
              <w:rPr>
                <w:sz w:val="20"/>
              </w:rPr>
              <w:t>3</w:t>
            </w:r>
          </w:p>
        </w:tc>
        <w:tc>
          <w:tcPr>
            <w:tcW w:type="dxa" w:w="4703"/>
            <w:shd w:val="clear" w:color="auto" w:fill="D6E8F7"/>
          </w:tcPr>
          <w:p>
            <w:r>
              <w:rPr>
                <w:sz w:val="20"/>
              </w:rPr>
              <w:t>Moderate — feasible but with significant constraints to address</w:t>
            </w:r>
          </w:p>
        </w:tc>
      </w:tr>
      <w:tr>
        <w:tc>
          <w:tcPr>
            <w:tcW w:type="dxa" w:w="4703"/>
            <w:shd w:val="clear" w:color="auto" w:fill="FFFFFF"/>
          </w:tcPr>
          <w:p>
            <w:r>
              <w:rPr>
                <w:sz w:val="20"/>
              </w:rPr>
              <w:t>2</w:t>
            </w:r>
          </w:p>
        </w:tc>
        <w:tc>
          <w:tcPr>
            <w:tcW w:type="dxa" w:w="4703"/>
            <w:shd w:val="clear" w:color="auto" w:fill="FFFFFF"/>
          </w:tcPr>
          <w:p>
            <w:r>
              <w:rPr>
                <w:sz w:val="20"/>
              </w:rPr>
              <w:t>Weak — limited advantage or small market; would require disproportionate investment</w:t>
            </w:r>
          </w:p>
        </w:tc>
      </w:tr>
      <w:tr>
        <w:tc>
          <w:tcPr>
            <w:tcW w:type="dxa" w:w="4703"/>
            <w:shd w:val="clear" w:color="auto" w:fill="D6E8F7"/>
          </w:tcPr>
          <w:p>
            <w:r>
              <w:rPr>
                <w:sz w:val="20"/>
              </w:rPr>
              <w:t>1</w:t>
            </w:r>
          </w:p>
        </w:tc>
        <w:tc>
          <w:tcPr>
            <w:tcW w:type="dxa" w:w="4703"/>
            <w:shd w:val="clear" w:color="auto" w:fill="D6E8F7"/>
          </w:tcPr>
          <w:p>
            <w:r>
              <w:rPr>
                <w:sz w:val="20"/>
              </w:rPr>
              <w:t>Poor — Uganda has no realistic competitive position; not recommended</w:t>
            </w:r>
          </w:p>
        </w:tc>
      </w:tr>
    </w:tbl>
    <w:p/>
    <w:p/>
    <w:p>
      <w:pPr>
        <w:pStyle w:val="Heading3"/>
        <w:spacing w:before="280" w:after="80"/>
      </w:pPr>
      <w:r>
        <w:rPr>
          <w:b/>
          <w:color w:val="005CA8"/>
          <w:sz w:val="26"/>
        </w:rPr>
        <w:t>6.3 Composite Score and Interpretation</w:t>
      </w:r>
    </w:p>
    <w:p/>
    <w:p>
      <w:pPr>
        <w:spacing w:after="80"/>
      </w:pPr>
      <w:r>
        <w:t>Composite score = sum of (criterion score × criterion weight) across all five criteria.</w:t>
      </w:r>
    </w:p>
    <w:p/>
    <w:p>
      <w:pPr>
        <w:spacing w:after="80"/>
      </w:pPr>
      <w:r>
        <w:t xml:space="preserve">Products scoring above </w:t>
      </w:r>
      <w:r>
        <w:rPr>
          <w:b/>
        </w:rPr>
        <w:t>3.5</w:t>
      </w:r>
      <w:r>
        <w:t xml:space="preserve"> (out of 5) are designated priority products. Products scoring below </w:t>
      </w:r>
      <w:r>
        <w:rPr>
          <w:b/>
        </w:rPr>
        <w:t>2.5</w:t>
      </w:r>
      <w:r>
        <w:t xml:space="preserve"> are explicitly deprioritized with rationale. Products scoring 2.5–3.5 are noted as conditional priorities subject to specific enabling conditions being met.</w:t>
      </w:r>
    </w:p>
    <w:p/>
    <w:p>
      <w:pPr>
        <w:pStyle w:val="Heading3"/>
        <w:spacing w:before="280" w:after="80"/>
      </w:pPr>
      <w:r>
        <w:rPr>
          <w:b/>
          <w:color w:val="005CA8"/>
          <w:sz w:val="26"/>
        </w:rPr>
        <w:t>6.4 Analytical Principle</w:t>
      </w:r>
    </w:p>
    <w:p/>
    <w:p>
      <w:pPr>
        <w:spacing w:after="80"/>
      </w:pPr>
      <w:r>
        <w:t>The prioritization framework operationalizes the core analytical principle of this study:</w:t>
      </w:r>
    </w:p>
    <w:p/>
    <w:p>
      <w:pPr>
        <w:pStyle w:val="Quote"/>
        <w:ind w:left="576"/>
      </w:pPr>
      <w:r>
        <w:rPr>
          <w:i/>
          <w:sz w:val="22"/>
        </w:rPr>
        <w:t>"Successful countries are known for three or four products. The economies are built around those few. Uganda must not try to do everything."</w:t>
      </w:r>
    </w:p>
    <w:p/>
    <w:p>
      <w:pPr>
        <w:spacing w:after="80"/>
      </w:pPr>
      <w:r>
        <w:t>The output of this study is a focused prioritization, not a catalogue. Every chain analysis must conclude with a clear statement of what Uganda should do and what it should not do at this stage.</w:t>
      </w:r>
    </w:p>
    <w:p/>
    <w:p/>
    <w:p/>
    <w:p>
      <w:pPr>
        <w:pStyle w:val="Heading2"/>
        <w:spacing w:before="280" w:after="80"/>
      </w:pPr>
      <w:r>
        <w:rPr>
          <w:b/>
          <w:color w:val="002B5B"/>
          <w:sz w:val="32"/>
        </w:rPr>
        <w:t>7. Request for TWG Approval</w:t>
      </w:r>
    </w:p>
    <w:p/>
    <w:p>
      <w:pPr>
        <w:spacing w:after="80"/>
      </w:pPr>
      <w:r>
        <w:t>This Inception Report is submitted to the Technical Working Group for review and approval. The TWG is requested to:</w:t>
      </w:r>
    </w:p>
    <w:p/>
    <w:p>
      <w:pPr>
        <w:pStyle w:val="ListNumber"/>
        <w:spacing w:after="40"/>
      </w:pPr>
      <w:r>
        <w:t>Confirm the study scope, diagnostic framework, and assessment templates set out in Section 3</w:t>
      </w:r>
    </w:p>
    <w:p>
      <w:pPr>
        <w:pStyle w:val="ListNumber"/>
        <w:spacing w:after="40"/>
      </w:pPr>
      <w:r>
        <w:t>Confirm or revise the prioritization criteria and weights set out in Section 6</w:t>
      </w:r>
    </w:p>
    <w:p>
      <w:pPr>
        <w:pStyle w:val="ListNumber"/>
        <w:spacing w:after="40"/>
      </w:pPr>
      <w:r>
        <w:t>Approve the workplan and timeline in Section 2, including the 8 June 2026 final submission deadline</w:t>
      </w:r>
    </w:p>
    <w:p>
      <w:pPr>
        <w:pStyle w:val="ListNumber"/>
        <w:spacing w:after="40"/>
      </w:pPr>
      <w:r>
        <w:t>Provide any additional guidance before chapter drafting commences</w:t>
      </w:r>
    </w:p>
    <w:p/>
    <w:p>
      <w:pPr>
        <w:spacing w:after="80"/>
      </w:pPr>
      <w:r>
        <w:t>Upon TWG approval, chapter drafting will proceed in accordance with the workplan. The TWG will be kept informed of progress and any material data gaps as they arise.</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