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2.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AGOA</w:t>
            </w:r>
          </w:p>
        </w:tc>
        <w:tc>
          <w:tcPr>
            <w:tcW w:type="dxa" w:w="4703"/>
            <w:shd w:val="clear" w:color="auto" w:fill="EEF3F9"/>
          </w:tcPr>
          <w:p>
            <w:r>
              <w:rPr>
                <w:sz w:val="18"/>
              </w:rPr>
              <w:t>African Growth and Opportunity Act</w:t>
            </w:r>
          </w:p>
        </w:tc>
      </w:tr>
      <w:tr>
        <w:tc>
          <w:tcPr>
            <w:tcW w:type="dxa" w:w="4703"/>
            <w:shd w:val="clear" w:color="auto" w:fill="FFFFFF"/>
          </w:tcPr>
          <w:p>
            <w:r>
              <w:rPr>
                <w:sz w:val="18"/>
              </w:rPr>
              <w:t>API</w:t>
            </w:r>
          </w:p>
        </w:tc>
        <w:tc>
          <w:tcPr>
            <w:tcW w:type="dxa" w:w="4703"/>
            <w:shd w:val="clear" w:color="auto" w:fill="FFFFFF"/>
          </w:tcPr>
          <w:p>
            <w:r>
              <w:rPr>
                <w:sz w:val="18"/>
              </w:rPr>
              <w:t>Active Pharmaceutical Ingredient</w:t>
            </w:r>
          </w:p>
        </w:tc>
      </w:tr>
      <w:tr>
        <w:tc>
          <w:tcPr>
            <w:tcW w:type="dxa" w:w="4703"/>
            <w:shd w:val="clear" w:color="auto" w:fill="EEF3F9"/>
          </w:tcPr>
          <w:p>
            <w:r>
              <w:rPr>
                <w:sz w:val="18"/>
              </w:rPr>
              <w:t>ARVs</w:t>
            </w:r>
          </w:p>
        </w:tc>
        <w:tc>
          <w:tcPr>
            <w:tcW w:type="dxa" w:w="4703"/>
            <w:shd w:val="clear" w:color="auto" w:fill="EEF3F9"/>
          </w:tcPr>
          <w:p>
            <w:r>
              <w:rPr>
                <w:sz w:val="18"/>
              </w:rPr>
              <w:t>Antiretrovirals</w:t>
            </w:r>
          </w:p>
        </w:tc>
      </w:tr>
      <w:tr>
        <w:tc>
          <w:tcPr>
            <w:tcW w:type="dxa" w:w="4703"/>
            <w:shd w:val="clear" w:color="auto" w:fill="FFFFFF"/>
          </w:tcPr>
          <w:p>
            <w:r>
              <w:rPr>
                <w:sz w:val="18"/>
              </w:rPr>
              <w:t>ATMs</w:t>
            </w:r>
          </w:p>
        </w:tc>
        <w:tc>
          <w:tcPr>
            <w:tcW w:type="dxa" w:w="4703"/>
            <w:shd w:val="clear" w:color="auto" w:fill="FFFFFF"/>
          </w:tcPr>
          <w:p>
            <w:r>
              <w:rPr>
                <w:sz w:val="18"/>
              </w:rPr>
              <w:t>Agro-industrialization, Tourism, Minerals, and Science, Technology &amp; Innovation (Tenfold Growth Strategy pillars)</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CDO</w:t>
            </w:r>
          </w:p>
        </w:tc>
        <w:tc>
          <w:tcPr>
            <w:tcW w:type="dxa" w:w="4703"/>
            <w:shd w:val="clear" w:color="auto" w:fill="FFFFFF"/>
          </w:tcPr>
          <w:p>
            <w:r>
              <w:rPr>
                <w:sz w:val="18"/>
              </w:rPr>
              <w:t>Cotton Development Organisation</w:t>
            </w:r>
          </w:p>
        </w:tc>
      </w:tr>
      <w:tr>
        <w:tc>
          <w:tcPr>
            <w:tcW w:type="dxa" w:w="4703"/>
            <w:shd w:val="clear" w:color="auto" w:fill="EEF3F9"/>
          </w:tcPr>
          <w:p>
            <w:r>
              <w:rPr>
                <w:sz w:val="18"/>
              </w:rPr>
              <w:t>CET</w:t>
            </w:r>
          </w:p>
        </w:tc>
        <w:tc>
          <w:tcPr>
            <w:tcW w:type="dxa" w:w="4703"/>
            <w:shd w:val="clear" w:color="auto" w:fill="EEF3F9"/>
          </w:tcPr>
          <w:p>
            <w:r>
              <w:rPr>
                <w:sz w:val="18"/>
              </w:rPr>
              <w:t>Common External Tariff</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EAC</w:t>
            </w:r>
          </w:p>
        </w:tc>
        <w:tc>
          <w:tcPr>
            <w:tcW w:type="dxa" w:w="4703"/>
            <w:shd w:val="clear" w:color="auto" w:fill="EEF3F9"/>
          </w:tcPr>
          <w:p>
            <w:r>
              <w:rPr>
                <w:sz w:val="18"/>
              </w:rPr>
              <w:t>East African Community</w:t>
            </w:r>
          </w:p>
        </w:tc>
      </w:tr>
      <w:tr>
        <w:tc>
          <w:tcPr>
            <w:tcW w:type="dxa" w:w="4703"/>
            <w:shd w:val="clear" w:color="auto" w:fill="FFFFFF"/>
          </w:tcPr>
          <w:p>
            <w:r>
              <w:rPr>
                <w:sz w:val="18"/>
              </w:rPr>
              <w:t>EPR</w:t>
            </w:r>
          </w:p>
        </w:tc>
        <w:tc>
          <w:tcPr>
            <w:tcW w:type="dxa" w:w="4703"/>
            <w:shd w:val="clear" w:color="auto" w:fill="FFFFFF"/>
          </w:tcPr>
          <w:p>
            <w:r>
              <w:rPr>
                <w:sz w:val="18"/>
              </w:rPr>
              <w:t>Extended Producer Responsibility</w:t>
            </w:r>
          </w:p>
        </w:tc>
      </w:tr>
      <w:tr>
        <w:tc>
          <w:tcPr>
            <w:tcW w:type="dxa" w:w="4703"/>
            <w:shd w:val="clear" w:color="auto" w:fill="EEF3F9"/>
          </w:tcPr>
          <w:p>
            <w:r>
              <w:rPr>
                <w:sz w:val="18"/>
              </w:rPr>
              <w:t>EPRC</w:t>
            </w:r>
          </w:p>
        </w:tc>
        <w:tc>
          <w:tcPr>
            <w:tcW w:type="dxa" w:w="4703"/>
            <w:shd w:val="clear" w:color="auto" w:fill="EEF3F9"/>
          </w:tcPr>
          <w:p>
            <w:r>
              <w:rPr>
                <w:sz w:val="18"/>
              </w:rPr>
              <w:t>Economic Policy Research Centre</w:t>
            </w:r>
          </w:p>
        </w:tc>
      </w:tr>
      <w:tr>
        <w:tc>
          <w:tcPr>
            <w:tcW w:type="dxa" w:w="4703"/>
            <w:shd w:val="clear" w:color="auto" w:fill="FFFFFF"/>
          </w:tcPr>
          <w:p>
            <w:r>
              <w:rPr>
                <w:sz w:val="18"/>
              </w:rPr>
              <w:t>ERA</w:t>
            </w:r>
          </w:p>
        </w:tc>
        <w:tc>
          <w:tcPr>
            <w:tcW w:type="dxa" w:w="4703"/>
            <w:shd w:val="clear" w:color="auto" w:fill="FFFFFF"/>
          </w:tcPr>
          <w:p>
            <w:r>
              <w:rPr>
                <w:sz w:val="18"/>
              </w:rPr>
              <w:t>Electricity Regulatory Authority</w:t>
            </w:r>
          </w:p>
        </w:tc>
      </w:tr>
      <w:tr>
        <w:tc>
          <w:tcPr>
            <w:tcW w:type="dxa" w:w="4703"/>
            <w:shd w:val="clear" w:color="auto" w:fill="EEF3F9"/>
          </w:tcPr>
          <w:p>
            <w:r>
              <w:rPr>
                <w:sz w:val="18"/>
              </w:rPr>
              <w:t>EU</w:t>
            </w:r>
          </w:p>
        </w:tc>
        <w:tc>
          <w:tcPr>
            <w:tcW w:type="dxa" w:w="4703"/>
            <w:shd w:val="clear" w:color="auto" w:fill="EEF3F9"/>
          </w:tcPr>
          <w:p>
            <w:r>
              <w:rPr>
                <w:sz w:val="18"/>
              </w:rPr>
              <w:t>European Union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GMP</w:t>
            </w:r>
          </w:p>
        </w:tc>
        <w:tc>
          <w:tcPr>
            <w:tcW w:type="dxa" w:w="4703"/>
            <w:shd w:val="clear" w:color="auto" w:fill="FFFFFF"/>
          </w:tcPr>
          <w:p>
            <w:r>
              <w:rPr>
                <w:sz w:val="18"/>
              </w:rPr>
              <w:t>Good Manufacturing Practice</w:t>
            </w:r>
          </w:p>
        </w:tc>
      </w:tr>
      <w:tr>
        <w:tc>
          <w:tcPr>
            <w:tcW w:type="dxa" w:w="4703"/>
            <w:shd w:val="clear" w:color="auto" w:fill="EEF3F9"/>
          </w:tcPr>
          <w:p>
            <w:r>
              <w:rPr>
                <w:sz w:val="18"/>
              </w:rPr>
              <w:t>HDPE</w:t>
            </w:r>
          </w:p>
        </w:tc>
        <w:tc>
          <w:tcPr>
            <w:tcW w:type="dxa" w:w="4703"/>
            <w:shd w:val="clear" w:color="auto" w:fill="EEF3F9"/>
          </w:tcPr>
          <w:p>
            <w:r>
              <w:rPr>
                <w:sz w:val="18"/>
              </w:rPr>
              <w:t>High-Density Polyethylene</w:t>
            </w:r>
          </w:p>
        </w:tc>
      </w:tr>
      <w:tr>
        <w:tc>
          <w:tcPr>
            <w:tcW w:type="dxa" w:w="4703"/>
            <w:shd w:val="clear" w:color="auto" w:fill="FFFFFF"/>
          </w:tcPr>
          <w:p>
            <w:r>
              <w:rPr>
                <w:sz w:val="18"/>
              </w:rPr>
              <w:t>HIV</w:t>
            </w:r>
          </w:p>
        </w:tc>
        <w:tc>
          <w:tcPr>
            <w:tcW w:type="dxa" w:w="4703"/>
            <w:shd w:val="clear" w:color="auto" w:fill="FFFFFF"/>
          </w:tcPr>
          <w:p>
            <w:r>
              <w:rPr>
                <w:sz w:val="18"/>
              </w:rPr>
              <w:t>Human Immunodeficiency Virus</w:t>
            </w:r>
          </w:p>
        </w:tc>
      </w:tr>
      <w:tr>
        <w:tc>
          <w:tcPr>
            <w:tcW w:type="dxa" w:w="4703"/>
            <w:shd w:val="clear" w:color="auto" w:fill="EEF3F9"/>
          </w:tcPr>
          <w:p>
            <w:r>
              <w:rPr>
                <w:sz w:val="18"/>
              </w:rPr>
              <w:t>HS</w:t>
            </w:r>
          </w:p>
        </w:tc>
        <w:tc>
          <w:tcPr>
            <w:tcW w:type="dxa" w:w="4703"/>
            <w:shd w:val="clear" w:color="auto" w:fill="EEF3F9"/>
          </w:tcPr>
          <w:p>
            <w:r>
              <w:rPr>
                <w:sz w:val="18"/>
              </w:rPr>
              <w:t>Harmonized System (trade classification code)</w:t>
            </w:r>
          </w:p>
        </w:tc>
      </w:tr>
      <w:tr>
        <w:tc>
          <w:tcPr>
            <w:tcW w:type="dxa" w:w="4703"/>
            <w:shd w:val="clear" w:color="auto" w:fill="FFFFFF"/>
          </w:tcPr>
          <w:p>
            <w:r>
              <w:rPr>
                <w:sz w:val="18"/>
              </w:rPr>
              <w:t>IFA</w:t>
            </w:r>
          </w:p>
        </w:tc>
        <w:tc>
          <w:tcPr>
            <w:tcW w:type="dxa" w:w="4703"/>
            <w:shd w:val="clear" w:color="auto" w:fill="FFFFFF"/>
          </w:tcPr>
          <w:p>
            <w:r>
              <w:rPr>
                <w:sz w:val="18"/>
              </w:rPr>
              <w:t>International Fertilizer Association</w:t>
            </w:r>
          </w:p>
        </w:tc>
      </w:tr>
      <w:tr>
        <w:tc>
          <w:tcPr>
            <w:tcW w:type="dxa" w:w="4703"/>
            <w:shd w:val="clear" w:color="auto" w:fill="EEF3F9"/>
          </w:tcPr>
          <w:p>
            <w:r>
              <w:rPr>
                <w:sz w:val="18"/>
              </w:rPr>
              <w:t>ISID</w:t>
            </w:r>
          </w:p>
        </w:tc>
        <w:tc>
          <w:tcPr>
            <w:tcW w:type="dxa" w:w="4703"/>
            <w:shd w:val="clear" w:color="auto" w:fill="EEF3F9"/>
          </w:tcPr>
          <w:p>
            <w:r>
              <w:rPr>
                <w:sz w:val="18"/>
              </w:rPr>
              <w:t>Inclusive and Sustainable Industrial Development</w:t>
            </w:r>
          </w:p>
        </w:tc>
      </w:tr>
      <w:tr>
        <w:tc>
          <w:tcPr>
            <w:tcW w:type="dxa" w:w="4703"/>
            <w:shd w:val="clear" w:color="auto" w:fill="FFFFFF"/>
          </w:tcPr>
          <w:p>
            <w:r>
              <w:rPr>
                <w:sz w:val="18"/>
              </w:rPr>
              <w:t>ITC</w:t>
            </w:r>
          </w:p>
        </w:tc>
        <w:tc>
          <w:tcPr>
            <w:tcW w:type="dxa" w:w="4703"/>
            <w:shd w:val="clear" w:color="auto" w:fill="FFFFFF"/>
          </w:tcPr>
          <w:p>
            <w:r>
              <w:rPr>
                <w:sz w:val="18"/>
              </w:rPr>
              <w:t>International Trade Centre</w:t>
            </w:r>
          </w:p>
        </w:tc>
      </w:tr>
      <w:tr>
        <w:tc>
          <w:tcPr>
            <w:tcW w:type="dxa" w:w="4703"/>
            <w:shd w:val="clear" w:color="auto" w:fill="EEF3F9"/>
          </w:tcPr>
          <w:p>
            <w:r>
              <w:rPr>
                <w:sz w:val="18"/>
              </w:rPr>
              <w:t>JMS</w:t>
            </w:r>
          </w:p>
        </w:tc>
        <w:tc>
          <w:tcPr>
            <w:tcW w:type="dxa" w:w="4703"/>
            <w:shd w:val="clear" w:color="auto" w:fill="EEF3F9"/>
          </w:tcPr>
          <w:p>
            <w:r>
              <w:rPr>
                <w:sz w:val="18"/>
              </w:rPr>
              <w:t>Joint Medical Store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KPI</w:t>
            </w:r>
          </w:p>
        </w:tc>
        <w:tc>
          <w:tcPr>
            <w:tcW w:type="dxa" w:w="4703"/>
            <w:shd w:val="clear" w:color="auto" w:fill="EEF3F9"/>
          </w:tcPr>
          <w:p>
            <w:r>
              <w:rPr>
                <w:sz w:val="18"/>
              </w:rPr>
              <w:t>Key Performance Indicator</w:t>
            </w:r>
          </w:p>
        </w:tc>
      </w:tr>
      <w:tr>
        <w:tc>
          <w:tcPr>
            <w:tcW w:type="dxa" w:w="4703"/>
            <w:shd w:val="clear" w:color="auto" w:fill="FFFFFF"/>
          </w:tcPr>
          <w:p>
            <w:r>
              <w:rPr>
                <w:sz w:val="18"/>
              </w:rPr>
              <w:t>LPG</w:t>
            </w:r>
          </w:p>
        </w:tc>
        <w:tc>
          <w:tcPr>
            <w:tcW w:type="dxa" w:w="4703"/>
            <w:shd w:val="clear" w:color="auto" w:fill="FFFFFF"/>
          </w:tcPr>
          <w:p>
            <w:r>
              <w:rPr>
                <w:sz w:val="18"/>
              </w:rPr>
              <w:t>Liquefied Petroleum Gas</w:t>
            </w:r>
          </w:p>
        </w:tc>
      </w:tr>
      <w:tr>
        <w:tc>
          <w:tcPr>
            <w:tcW w:type="dxa" w:w="4703"/>
            <w:shd w:val="clear" w:color="auto" w:fill="EEF3F9"/>
          </w:tcPr>
          <w:p>
            <w:r>
              <w:rPr>
                <w:sz w:val="18"/>
              </w:rPr>
              <w:t>MAAIF</w:t>
            </w:r>
          </w:p>
        </w:tc>
        <w:tc>
          <w:tcPr>
            <w:tcW w:type="dxa" w:w="4703"/>
            <w:shd w:val="clear" w:color="auto" w:fill="EEF3F9"/>
          </w:tcPr>
          <w:p>
            <w:r>
              <w:rPr>
                <w:sz w:val="18"/>
              </w:rPr>
              <w:t>Ministry of Agriculture, Animal Industry and Fisheries</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MoH</w:t>
            </w:r>
          </w:p>
        </w:tc>
        <w:tc>
          <w:tcPr>
            <w:tcW w:type="dxa" w:w="4703"/>
            <w:shd w:val="clear" w:color="auto" w:fill="FFFFFF"/>
          </w:tcPr>
          <w:p>
            <w:r>
              <w:rPr>
                <w:sz w:val="18"/>
              </w:rPr>
              <w:t>Ministry of Health</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NCD</w:t>
            </w:r>
          </w:p>
        </w:tc>
        <w:tc>
          <w:tcPr>
            <w:tcW w:type="dxa" w:w="4703"/>
            <w:shd w:val="clear" w:color="auto" w:fill="FFFFFF"/>
          </w:tcPr>
          <w:p>
            <w:r>
              <w:rPr>
                <w:sz w:val="18"/>
              </w:rPr>
              <w:t>Non-Communicable Disease</w:t>
            </w:r>
          </w:p>
        </w:tc>
      </w:tr>
      <w:tr>
        <w:tc>
          <w:tcPr>
            <w:tcW w:type="dxa" w:w="4703"/>
            <w:shd w:val="clear" w:color="auto" w:fill="EEF3F9"/>
          </w:tcPr>
          <w:p>
            <w:r>
              <w:rPr>
                <w:sz w:val="18"/>
              </w:rPr>
              <w:t>NDA</w:t>
            </w:r>
          </w:p>
        </w:tc>
        <w:tc>
          <w:tcPr>
            <w:tcW w:type="dxa" w:w="4703"/>
            <w:shd w:val="clear" w:color="auto" w:fill="EEF3F9"/>
          </w:tcPr>
          <w:p>
            <w:r>
              <w:rPr>
                <w:sz w:val="18"/>
              </w:rPr>
              <w:t>National Drug Authority</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NMS</w:t>
            </w:r>
          </w:p>
        </w:tc>
        <w:tc>
          <w:tcPr>
            <w:tcW w:type="dxa" w:w="4703"/>
            <w:shd w:val="clear" w:color="auto" w:fill="EEF3F9"/>
          </w:tcPr>
          <w:p>
            <w:r>
              <w:rPr>
                <w:sz w:val="18"/>
              </w:rPr>
              <w:t>National Medical Stores</w:t>
            </w:r>
          </w:p>
        </w:tc>
      </w:tr>
      <w:tr>
        <w:tc>
          <w:tcPr>
            <w:tcW w:type="dxa" w:w="4703"/>
            <w:shd w:val="clear" w:color="auto" w:fill="FFFFFF"/>
          </w:tcPr>
          <w:p>
            <w:r>
              <w:rPr>
                <w:sz w:val="18"/>
              </w:rPr>
              <w:t>NPK</w:t>
            </w:r>
          </w:p>
        </w:tc>
        <w:tc>
          <w:tcPr>
            <w:tcW w:type="dxa" w:w="4703"/>
            <w:shd w:val="clear" w:color="auto" w:fill="FFFFFF"/>
          </w:tcPr>
          <w:p>
            <w:r>
              <w:rPr>
                <w:sz w:val="18"/>
              </w:rPr>
              <w:t>Nitrogen, Phosphorus, Potassium (compound fertilizer)</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OPC</w:t>
            </w:r>
          </w:p>
        </w:tc>
        <w:tc>
          <w:tcPr>
            <w:tcW w:type="dxa" w:w="4703"/>
            <w:shd w:val="clear" w:color="auto" w:fill="FFFFFF"/>
          </w:tcPr>
          <w:p>
            <w:r>
              <w:rPr>
                <w:sz w:val="18"/>
              </w:rPr>
              <w:t>Ordinary Portland Cement</w:t>
            </w:r>
          </w:p>
        </w:tc>
      </w:tr>
      <w:tr>
        <w:tc>
          <w:tcPr>
            <w:tcW w:type="dxa" w:w="4703"/>
            <w:shd w:val="clear" w:color="auto" w:fill="EEF3F9"/>
          </w:tcPr>
          <w:p>
            <w:r>
              <w:rPr>
                <w:sz w:val="18"/>
              </w:rPr>
              <w:t>OPEX</w:t>
            </w:r>
          </w:p>
        </w:tc>
        <w:tc>
          <w:tcPr>
            <w:tcW w:type="dxa" w:w="4703"/>
            <w:shd w:val="clear" w:color="auto" w:fill="EEF3F9"/>
          </w:tcPr>
          <w:p>
            <w:r>
              <w:rPr>
                <w:sz w:val="18"/>
              </w:rPr>
              <w:t>Operating expenditure</w:t>
            </w:r>
          </w:p>
        </w:tc>
      </w:tr>
      <w:tr>
        <w:tc>
          <w:tcPr>
            <w:tcW w:type="dxa" w:w="4703"/>
            <w:shd w:val="clear" w:color="auto" w:fill="FFFFFF"/>
          </w:tcPr>
          <w:p>
            <w:r>
              <w:rPr>
                <w:sz w:val="18"/>
              </w:rPr>
              <w:t>PAU</w:t>
            </w:r>
          </w:p>
        </w:tc>
        <w:tc>
          <w:tcPr>
            <w:tcW w:type="dxa" w:w="4703"/>
            <w:shd w:val="clear" w:color="auto" w:fill="FFFFFF"/>
          </w:tcPr>
          <w:p>
            <w:r>
              <w:rPr>
                <w:sz w:val="18"/>
              </w:rPr>
              <w:t>Petroleum Authority of Uganda</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PE</w:t>
            </w:r>
          </w:p>
        </w:tc>
        <w:tc>
          <w:tcPr>
            <w:tcW w:type="dxa" w:w="4703"/>
            <w:shd w:val="clear" w:color="auto" w:fill="FFFFFF"/>
          </w:tcPr>
          <w:p>
            <w:r>
              <w:rPr>
                <w:sz w:val="18"/>
              </w:rPr>
              <w:t>Polyethylene</w:t>
            </w:r>
          </w:p>
        </w:tc>
      </w:tr>
      <w:tr>
        <w:tc>
          <w:tcPr>
            <w:tcW w:type="dxa" w:w="4703"/>
            <w:shd w:val="clear" w:color="auto" w:fill="EEF3F9"/>
          </w:tcPr>
          <w:p>
            <w:r>
              <w:rPr>
                <w:sz w:val="18"/>
              </w:rPr>
              <w:t>PET</w:t>
            </w:r>
          </w:p>
        </w:tc>
        <w:tc>
          <w:tcPr>
            <w:tcW w:type="dxa" w:w="4703"/>
            <w:shd w:val="clear" w:color="auto" w:fill="EEF3F9"/>
          </w:tcPr>
          <w:p>
            <w:r>
              <w:rPr>
                <w:sz w:val="18"/>
              </w:rPr>
              <w:t>Polyethylene Terephthalate</w:t>
            </w:r>
          </w:p>
        </w:tc>
      </w:tr>
      <w:tr>
        <w:tc>
          <w:tcPr>
            <w:tcW w:type="dxa" w:w="4703"/>
            <w:shd w:val="clear" w:color="auto" w:fill="FFFFFF"/>
          </w:tcPr>
          <w:p>
            <w:r>
              <w:rPr>
                <w:sz w:val="18"/>
              </w:rPr>
              <w:t>PP</w:t>
            </w:r>
          </w:p>
        </w:tc>
        <w:tc>
          <w:tcPr>
            <w:tcW w:type="dxa" w:w="4703"/>
            <w:shd w:val="clear" w:color="auto" w:fill="FFFFFF"/>
          </w:tcPr>
          <w:p>
            <w:r>
              <w:rPr>
                <w:sz w:val="18"/>
              </w:rPr>
              <w:t>Polypropylene</w:t>
            </w:r>
          </w:p>
        </w:tc>
      </w:tr>
      <w:tr>
        <w:tc>
          <w:tcPr>
            <w:tcW w:type="dxa" w:w="4703"/>
            <w:shd w:val="clear" w:color="auto" w:fill="EEF3F9"/>
          </w:tcPr>
          <w:p>
            <w:r>
              <w:rPr>
                <w:sz w:val="18"/>
              </w:rPr>
              <w:t>PPP</w:t>
            </w:r>
          </w:p>
        </w:tc>
        <w:tc>
          <w:tcPr>
            <w:tcW w:type="dxa" w:w="4703"/>
            <w:shd w:val="clear" w:color="auto" w:fill="EEF3F9"/>
          </w:tcPr>
          <w:p>
            <w:r>
              <w:rPr>
                <w:sz w:val="18"/>
              </w:rPr>
              <w:t>Public-Private Partnership</w:t>
            </w:r>
          </w:p>
        </w:tc>
      </w:tr>
      <w:tr>
        <w:tc>
          <w:tcPr>
            <w:tcW w:type="dxa" w:w="4703"/>
            <w:shd w:val="clear" w:color="auto" w:fill="FFFFFF"/>
          </w:tcPr>
          <w:p>
            <w:r>
              <w:rPr>
                <w:sz w:val="18"/>
              </w:rPr>
              <w:t>PVC</w:t>
            </w:r>
          </w:p>
        </w:tc>
        <w:tc>
          <w:tcPr>
            <w:tcW w:type="dxa" w:w="4703"/>
            <w:shd w:val="clear" w:color="auto" w:fill="FFFFFF"/>
          </w:tcPr>
          <w:p>
            <w:r>
              <w:rPr>
                <w:sz w:val="18"/>
              </w:rPr>
              <w:t>Polyvinyl Chloride</w:t>
            </w:r>
          </w:p>
        </w:tc>
      </w:tr>
      <w:tr>
        <w:tc>
          <w:tcPr>
            <w:tcW w:type="dxa" w:w="4703"/>
            <w:shd w:val="clear" w:color="auto" w:fill="EEF3F9"/>
          </w:tcPr>
          <w:p>
            <w:r>
              <w:rPr>
                <w:sz w:val="18"/>
              </w:rPr>
              <w:t>QA</w:t>
            </w:r>
          </w:p>
        </w:tc>
        <w:tc>
          <w:tcPr>
            <w:tcW w:type="dxa" w:w="4703"/>
            <w:shd w:val="clear" w:color="auto" w:fill="EEF3F9"/>
          </w:tcPr>
          <w:p>
            <w:r>
              <w:rPr>
                <w:sz w:val="18"/>
              </w:rPr>
              <w:t>Quality Assurance</w:t>
            </w:r>
          </w:p>
        </w:tc>
      </w:tr>
      <w:tr>
        <w:tc>
          <w:tcPr>
            <w:tcW w:type="dxa" w:w="4703"/>
            <w:shd w:val="clear" w:color="auto" w:fill="FFFFFF"/>
          </w:tcPr>
          <w:p>
            <w:r>
              <w:rPr>
                <w:sz w:val="18"/>
              </w:rPr>
              <w:t>QC</w:t>
            </w:r>
          </w:p>
        </w:tc>
        <w:tc>
          <w:tcPr>
            <w:tcW w:type="dxa" w:w="4703"/>
            <w:shd w:val="clear" w:color="auto" w:fill="FFFFFF"/>
          </w:tcPr>
          <w:p>
            <w:r>
              <w:rPr>
                <w:sz w:val="18"/>
              </w:rPr>
              <w:t>Quality Control</w:t>
            </w:r>
          </w:p>
        </w:tc>
      </w:tr>
      <w:tr>
        <w:tc>
          <w:tcPr>
            <w:tcW w:type="dxa" w:w="4703"/>
            <w:shd w:val="clear" w:color="auto" w:fill="EEF3F9"/>
          </w:tcPr>
          <w:p>
            <w:r>
              <w:rPr>
                <w:sz w:val="18"/>
              </w:rPr>
              <w:t>QCIL</w:t>
            </w:r>
          </w:p>
        </w:tc>
        <w:tc>
          <w:tcPr>
            <w:tcW w:type="dxa" w:w="4703"/>
            <w:shd w:val="clear" w:color="auto" w:fill="EEF3F9"/>
          </w:tcPr>
          <w:p>
            <w:r>
              <w:rPr>
                <w:sz w:val="18"/>
              </w:rPr>
              <w:t>Quality Chemical Industries Limited</w:t>
            </w:r>
          </w:p>
        </w:tc>
      </w:tr>
      <w:tr>
        <w:tc>
          <w:tcPr>
            <w:tcW w:type="dxa" w:w="4703"/>
            <w:shd w:val="clear" w:color="auto" w:fill="FFFFFF"/>
          </w:tcPr>
          <w:p>
            <w:r>
              <w:rPr>
                <w:sz w:val="18"/>
              </w:rPr>
              <w:t>SCOUL</w:t>
            </w:r>
          </w:p>
        </w:tc>
        <w:tc>
          <w:tcPr>
            <w:tcW w:type="dxa" w:w="4703"/>
            <w:shd w:val="clear" w:color="auto" w:fill="FFFFFF"/>
          </w:tcPr>
          <w:p>
            <w:r>
              <w:rPr>
                <w:sz w:val="18"/>
              </w:rPr>
              <w:t>Sugar Corporation of Uganda Limited</w:t>
            </w:r>
          </w:p>
        </w:tc>
      </w:tr>
      <w:tr>
        <w:tc>
          <w:tcPr>
            <w:tcW w:type="dxa" w:w="4703"/>
            <w:shd w:val="clear" w:color="auto" w:fill="EEF3F9"/>
          </w:tcPr>
          <w:p>
            <w:r>
              <w:rPr>
                <w:sz w:val="18"/>
              </w:rPr>
              <w:t>STI</w:t>
            </w:r>
          </w:p>
        </w:tc>
        <w:tc>
          <w:tcPr>
            <w:tcW w:type="dxa" w:w="4703"/>
            <w:shd w:val="clear" w:color="auto" w:fill="EEF3F9"/>
          </w:tcPr>
          <w:p>
            <w:r>
              <w:rPr>
                <w:sz w:val="18"/>
              </w:rPr>
              <w:t>Science, Technology and Innovation</w:t>
            </w:r>
          </w:p>
        </w:tc>
      </w:tr>
      <w:tr>
        <w:tc>
          <w:tcPr>
            <w:tcW w:type="dxa" w:w="4703"/>
            <w:shd w:val="clear" w:color="auto" w:fill="FFFFFF"/>
          </w:tcPr>
          <w:p>
            <w:r>
              <w:rPr>
                <w:sz w:val="18"/>
              </w:rPr>
              <w:t>TB</w:t>
            </w:r>
          </w:p>
        </w:tc>
        <w:tc>
          <w:tcPr>
            <w:tcW w:type="dxa" w:w="4703"/>
            <w:shd w:val="clear" w:color="auto" w:fill="FFFFFF"/>
          </w:tcPr>
          <w:p>
            <w:r>
              <w:rPr>
                <w:sz w:val="18"/>
              </w:rPr>
              <w:t>Tuberculosis</w:t>
            </w:r>
          </w:p>
        </w:tc>
      </w:tr>
      <w:tr>
        <w:tc>
          <w:tcPr>
            <w:tcW w:type="dxa" w:w="4703"/>
            <w:shd w:val="clear" w:color="auto" w:fill="EEF3F9"/>
          </w:tcPr>
          <w:p>
            <w:r>
              <w:rPr>
                <w:sz w:val="18"/>
              </w:rPr>
              <w:t>ToR</w:t>
            </w:r>
          </w:p>
        </w:tc>
        <w:tc>
          <w:tcPr>
            <w:tcW w:type="dxa" w:w="4703"/>
            <w:shd w:val="clear" w:color="auto" w:fill="EEF3F9"/>
          </w:tcPr>
          <w:p>
            <w:r>
              <w:rPr>
                <w:sz w:val="18"/>
              </w:rPr>
              <w:t>Terms of Reference</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UBOS</w:t>
            </w:r>
          </w:p>
        </w:tc>
        <w:tc>
          <w:tcPr>
            <w:tcW w:type="dxa" w:w="4703"/>
            <w:shd w:val="clear" w:color="auto" w:fill="FFFFFF"/>
          </w:tcPr>
          <w:p>
            <w:r>
              <w:rPr>
                <w:sz w:val="18"/>
              </w:rPr>
              <w:t>Uganda Bureau of Statistics</w:t>
            </w:r>
          </w:p>
        </w:tc>
      </w:tr>
      <w:tr>
        <w:tc>
          <w:tcPr>
            <w:tcW w:type="dxa" w:w="4703"/>
            <w:shd w:val="clear" w:color="auto" w:fill="EEF3F9"/>
          </w:tcPr>
          <w:p>
            <w:r>
              <w:rPr>
                <w:sz w:val="18"/>
              </w:rPr>
              <w:t>UDB</w:t>
            </w:r>
          </w:p>
        </w:tc>
        <w:tc>
          <w:tcPr>
            <w:tcW w:type="dxa" w:w="4703"/>
            <w:shd w:val="clear" w:color="auto" w:fill="EEF3F9"/>
          </w:tcPr>
          <w:p>
            <w:r>
              <w:rPr>
                <w:sz w:val="18"/>
              </w:rPr>
              <w:t>Uganda Development Bank</w:t>
            </w:r>
          </w:p>
        </w:tc>
      </w:tr>
      <w:tr>
        <w:tc>
          <w:tcPr>
            <w:tcW w:type="dxa" w:w="4703"/>
            <w:shd w:val="clear" w:color="auto" w:fill="FFFFFF"/>
          </w:tcPr>
          <w:p>
            <w:r>
              <w:rPr>
                <w:sz w:val="18"/>
              </w:rPr>
              <w:t>UEPB</w:t>
            </w:r>
          </w:p>
        </w:tc>
        <w:tc>
          <w:tcPr>
            <w:tcW w:type="dxa" w:w="4703"/>
            <w:shd w:val="clear" w:color="auto" w:fill="FFFFFF"/>
          </w:tcPr>
          <w:p>
            <w:r>
              <w:rPr>
                <w:sz w:val="18"/>
              </w:rPr>
              <w:t>Uganda Export Promotion Board</w:t>
            </w:r>
          </w:p>
        </w:tc>
      </w:tr>
      <w:tr>
        <w:tc>
          <w:tcPr>
            <w:tcW w:type="dxa" w:w="4703"/>
            <w:shd w:val="clear" w:color="auto" w:fill="EEF3F9"/>
          </w:tcPr>
          <w:p>
            <w:r>
              <w:rPr>
                <w:sz w:val="18"/>
              </w:rPr>
              <w:t>UGX</w:t>
            </w:r>
          </w:p>
        </w:tc>
        <w:tc>
          <w:tcPr>
            <w:tcW w:type="dxa" w:w="4703"/>
            <w:shd w:val="clear" w:color="auto" w:fill="EEF3F9"/>
          </w:tcPr>
          <w:p>
            <w:r>
              <w:rPr>
                <w:sz w:val="18"/>
              </w:rPr>
              <w:t>Uganda Shilling</w:t>
            </w:r>
          </w:p>
        </w:tc>
      </w:tr>
      <w:tr>
        <w:tc>
          <w:tcPr>
            <w:tcW w:type="dxa" w:w="4703"/>
            <w:shd w:val="clear" w:color="auto" w:fill="FFFFFF"/>
          </w:tcPr>
          <w:p>
            <w:r>
              <w:rPr>
                <w:sz w:val="18"/>
              </w:rPr>
              <w:t>UIA</w:t>
            </w:r>
          </w:p>
        </w:tc>
        <w:tc>
          <w:tcPr>
            <w:tcW w:type="dxa" w:w="4703"/>
            <w:shd w:val="clear" w:color="auto" w:fill="FFFFFF"/>
          </w:tcPr>
          <w:p>
            <w:r>
              <w:rPr>
                <w:sz w:val="18"/>
              </w:rPr>
              <w:t>Uganda Investment Authority</w:t>
            </w:r>
          </w:p>
        </w:tc>
      </w:tr>
      <w:tr>
        <w:tc>
          <w:tcPr>
            <w:tcW w:type="dxa" w:w="4703"/>
            <w:shd w:val="clear" w:color="auto" w:fill="EEF3F9"/>
          </w:tcPr>
          <w:p>
            <w:r>
              <w:rPr>
                <w:sz w:val="18"/>
              </w:rPr>
              <w:t>UIRI</w:t>
            </w:r>
          </w:p>
        </w:tc>
        <w:tc>
          <w:tcPr>
            <w:tcW w:type="dxa" w:w="4703"/>
            <w:shd w:val="clear" w:color="auto" w:fill="EEF3F9"/>
          </w:tcPr>
          <w:p>
            <w:r>
              <w:rPr>
                <w:sz w:val="18"/>
              </w:rPr>
              <w:t>Uganda Industrial Research Institute</w:t>
            </w:r>
          </w:p>
        </w:tc>
      </w:tr>
      <w:tr>
        <w:tc>
          <w:tcPr>
            <w:tcW w:type="dxa" w:w="4703"/>
            <w:shd w:val="clear" w:color="auto" w:fill="FFFFFF"/>
          </w:tcPr>
          <w:p>
            <w:r>
              <w:rPr>
                <w:sz w:val="18"/>
              </w:rPr>
              <w:t>UMA</w:t>
            </w:r>
          </w:p>
        </w:tc>
        <w:tc>
          <w:tcPr>
            <w:tcW w:type="dxa" w:w="4703"/>
            <w:shd w:val="clear" w:color="auto" w:fill="FFFFFF"/>
          </w:tcPr>
          <w:p>
            <w:r>
              <w:rPr>
                <w:sz w:val="18"/>
              </w:rPr>
              <w:t>Uganda Manufacturers Association</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UNOC</w:t>
            </w:r>
          </w:p>
        </w:tc>
        <w:tc>
          <w:tcPr>
            <w:tcW w:type="dxa" w:w="4703"/>
            <w:shd w:val="clear" w:color="auto" w:fill="EEF3F9"/>
          </w:tcPr>
          <w:p>
            <w:r>
              <w:rPr>
                <w:sz w:val="18"/>
              </w:rPr>
              <w:t>Uganda National Oil Company</w:t>
            </w:r>
          </w:p>
        </w:tc>
      </w:tr>
      <w:tr>
        <w:tc>
          <w:tcPr>
            <w:tcW w:type="dxa" w:w="4703"/>
            <w:shd w:val="clear" w:color="auto" w:fill="FFFFFF"/>
          </w:tcPr>
          <w:p>
            <w:r>
              <w:rPr>
                <w:sz w:val="18"/>
              </w:rPr>
              <w:t>URA</w:t>
            </w:r>
          </w:p>
        </w:tc>
        <w:tc>
          <w:tcPr>
            <w:tcW w:type="dxa" w:w="4703"/>
            <w:shd w:val="clear" w:color="auto" w:fill="FFFFFF"/>
          </w:tcPr>
          <w:p>
            <w:r>
              <w:rPr>
                <w:sz w:val="18"/>
              </w:rPr>
              <w:t>Uganda Revenue Authority</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USMA</w:t>
            </w:r>
          </w:p>
        </w:tc>
        <w:tc>
          <w:tcPr>
            <w:tcW w:type="dxa" w:w="4703"/>
            <w:shd w:val="clear" w:color="auto" w:fill="FFFFFF"/>
          </w:tcPr>
          <w:p>
            <w:r>
              <w:rPr>
                <w:sz w:val="18"/>
              </w:rPr>
              <w:t>Uganda Sugar Manufacturers' Association</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WHO</w:t>
            </w:r>
          </w:p>
        </w:tc>
        <w:tc>
          <w:tcPr>
            <w:tcW w:type="dxa" w:w="4703"/>
            <w:shd w:val="clear" w:color="auto" w:fill="FFFFFF"/>
          </w:tcPr>
          <w:p>
            <w:r>
              <w:rPr>
                <w:sz w:val="18"/>
              </w:rPr>
              <w:t>World Health Organization</w:t>
            </w:r>
          </w:p>
        </w:tc>
      </w:tr>
    </w:tbl>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w:t>
      </w:r>
    </w:p>
    <w:p>
      <w:r>
        <w:rPr>
          <w:b/>
        </w:rPr>
        <w:t>The governing purpose of this report is the Tenfold Growth Strategy.</w:t>
      </w:r>
      <w:r>
        <w:t xml:space="preserve"> Every finding, market projection and recommendation is assessed against one question: </w:t>
      </w:r>
      <w:r>
        <w:rPr>
          <w:i/>
        </w:rPr>
        <w:t>what does it take for these chains to help grow Uganda's economy roughly tenfold by 2040?</w:t>
      </w:r>
      <w:r>
        <w:t xml:space="preserve"> That lens sets the ambition (the markets Uganda must create and secure ahead of demand), the prioritisation (durable, sustainable advantage over short-lived wins), and the diagnostic, action-oriented tone.</w:t>
      </w:r>
    </w:p>
    <w:p>
      <w:r>
        <w:t xml:space="preserve">The study draws </w:t>
      </w:r>
      <w:r>
        <w:rPr>
          <w:b/>
        </w:rPr>
        <w:t>primarily on engagement with MTIC sector experts through the Technical Working Group (TWG)</w:t>
      </w:r>
      <w:r>
        <w:t>, corroborated by official Ugandan data (UBOS first) and International Trade Centre (ITC) TradeMap (2024) figures cited at the point of use; it is offered for validation (Chapter 3).</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Gross Domestic Product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United States Dollar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World Health Organization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Active Pharmaceutical Ingredient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The six value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findings from TWG sector-expert engagement and supporting evidence, to be confirmed through the continued validation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Terms of Reference (ToR)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Uganda Investment Authority (UIA), Uganda Export Promotion Board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study's six value chains — Textiles &amp; Garments, Pharmaceuticals, Petrochemicals &amp; Fertilizers, Sugar &amp; Confectionery, Plastics &amp; Packaging, and Cement &amp; Building Materials.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Uganda Bureau of Statistics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 xml:space="preserve">The study was preceded by an Inception Report documenting the study design, diagnostic framework, data plan, and stakeholder-consultation plan, submitted to the TWG prior to the diagnostic phase. The work proceeded in three phases: (1) </w:t>
      </w:r>
      <w:r>
        <w:rPr>
          <w:b/>
        </w:rPr>
        <w:t>primary engagement</w:t>
      </w:r>
      <w:r>
        <w:t xml:space="preserve"> — continuous consultation with MTIC sector experts through the TWG; (2) </w:t>
      </w:r>
      <w:r>
        <w:rPr>
          <w:b/>
        </w:rPr>
        <w:t>evidence assembly and analysis</w:t>
      </w:r>
      <w:r>
        <w:t xml:space="preserve"> — corroborating and quantifying the engagement findings against documents, official statistics, and trade data, then applying the analytical framework and scoring; and (3) </w:t>
      </w:r>
      <w:r>
        <w:rPr>
          <w:b/>
        </w:rPr>
        <w:t>validation and refinement</w:t>
      </w:r>
      <w:r>
        <w:t xml:space="preserve"> — continued TWG review and a stakeholder workshop.</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in Section 3.7.</w:t>
      </w:r>
    </w:p>
    <w:p>
      <w:pPr>
        <w:pStyle w:val="Heading2"/>
      </w:pPr>
      <w:r>
        <w:t>3.2 Evidence Base and Data Sources</w:t>
      </w:r>
    </w:p>
    <w:p>
      <w:r>
        <w:rPr>
          <w:b/>
        </w:rPr>
        <w:t>Primary — TWG sector-expert engagements</w:t>
      </w:r>
      <w:r>
        <w:t xml:space="preserve"> — continuous consultation with MTIC sector experts through the Technical Working Group provided the primary, current, firm-level intelligence on each chain. The sources below corroborate and quantify it. Where UBOS data exists for an indicator, it is used before any secondary or international source.</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Electricity Regulatory Authority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Harmonized System (HS) code and year.</w:t>
      </w:r>
    </w:p>
    <w:p>
      <w:r>
        <w:rPr>
          <w:b/>
        </w:rPr>
        <w:t>Global benchmarks</w:t>
      </w:r>
      <w:r>
        <w:t xml:space="preserve"> — United Nations Industrial Development Organization (UNIDO) and WHO (pharmaceuticals); World Cement Association / CemNet (cement); International Fertilizer Association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w:t>
      </w:r>
      <w:r>
        <w:rPr>
          <w:b/>
        </w:rPr>
        <w:t>four levels</w:t>
      </w:r>
      <w:r>
        <w:t xml:space="preserve"> (domestic; regional EAC/COMESA; continental/Africa; global), each with a </w:t>
      </w:r>
      <w:r>
        <w:rPr>
          <w:b/>
        </w:rPr>
        <w:t>2040 projection</w:t>
      </w:r>
      <w:r>
        <w:t>: Uganda's market on the Tenfold Growth Strategy logic (reasoned per chain, not a simple ×10), other markets on business-as-usual growth.</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National Water and Sewerage Corporation (NWSC);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Uganda Development Bank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East African Community (EAC) Common External Tariff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w:t>
      </w:r>
      <w:r>
        <w:rPr>
          <w:b/>
        </w:rPr>
        <w:t>Key informant interviews</w:t>
      </w:r>
      <w:r>
        <w:t xml:space="preserve"> continue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Firm-level data completeness</w:t>
      </w:r>
      <w:r>
        <w:t xml:space="preserve"> — while TWG engagement provides strong current sector intelligence, comprehensive audited firm-level data are not uniformly available; the continued KIIs and workshop test them further.</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Capital expenditure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r>
        <w:br w:type="page"/>
      </w:r>
    </w:p>
    <w:p>
      <w:pPr>
        <w:pStyle w:val="Heading1"/>
      </w:pPr>
      <w:r>
        <w:t>Chapter 4: Textiles &amp; Garments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Cotton Development Organisation (CDO); UBOS; Economic Policy Research Centre (EPRC) cotton value-chain study; ITC TradeMap (2024). Full sources are in the consolidated References at the end of this report.</w:t>
      </w:r>
    </w:p>
    <w:p>
      <w:pPr>
        <w:pStyle w:val="Heading2"/>
      </w:pPr>
      <w:r>
        <w:t>4.0 Why Textiles &amp; Garments Matters for the Tenfold Growth Strategy</w:t>
      </w:r>
    </w:p>
    <w:p>
      <w:r>
        <w:t xml:space="preserve">Textiles is the flagship of </w:t>
      </w:r>
      <w:r>
        <w:rPr>
          <w:b/>
        </w:rPr>
        <w:t>agro-industrialisation</w:t>
      </w:r>
      <w:r>
        <w:t xml:space="preserve"> — the "A" in the Tenfold Growth Strategy's ATMs. It turns a crop Uganda already grows (cotton) into the most job-rich manufacturing there is: ginning → spinning → weaving → garments. Today Uganda does the opposite of value addition — it </w:t>
      </w:r>
      <w:r>
        <w:rPr>
          <w:b/>
        </w:rPr>
        <w:t>exports ~90% of its cotton lint raw at under USD 1/kg</w:t>
      </w:r>
      <w:r>
        <w:t xml:space="preserve"> and re-imports finished cloth and clothing. For a ten-times-larger economy that must create mass employment, capturing the spinning-to-garment value on Uganda's own cotton is among the highest-return moves available: every step up the chain multiplies jobs and value per kilogram of lint.</w:t>
      </w:r>
    </w:p>
    <w:p>
      <w:pPr>
        <w:pStyle w:val="Heading2"/>
      </w:pPr>
      <w:r>
        <w:t>4.A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Cotton growing</w:t>
            </w:r>
          </w:p>
        </w:tc>
        <w:tc>
          <w:tcPr>
            <w:tcW w:type="dxa" w:w="1881"/>
            <w:shd w:val="clear" w:color="auto" w:fill="EEF3F9"/>
          </w:tcPr>
          <w:p>
            <w:r>
              <w:rPr>
                <w:sz w:val="18"/>
              </w:rPr>
              <w:t>Seed, inputs</w:t>
            </w:r>
          </w:p>
        </w:tc>
        <w:tc>
          <w:tcPr>
            <w:tcW w:type="dxa" w:w="1881"/>
            <w:shd w:val="clear" w:color="auto" w:fill="EEF3F9"/>
          </w:tcPr>
          <w:p>
            <w:r>
              <w:rPr>
                <w:sz w:val="18"/>
              </w:rPr>
              <w:t>Seed cotton</w:t>
            </w:r>
          </w:p>
        </w:tc>
        <w:tc>
          <w:tcPr>
            <w:tcW w:type="dxa" w:w="1881"/>
            <w:shd w:val="clear" w:color="auto" w:fill="EEF3F9"/>
          </w:tcPr>
          <w:p>
            <w:r>
              <w:rPr>
                <w:b/>
                <w:sz w:val="18"/>
              </w:rPr>
              <w:t>Strong</w:t>
            </w:r>
            <w:r>
              <w:rPr>
                <w:sz w:val="18"/>
              </w:rPr>
              <w:t xml:space="preserve"> (smallholder base)</w:t>
            </w:r>
          </w:p>
        </w:tc>
      </w:tr>
      <w:tr>
        <w:tc>
          <w:tcPr>
            <w:tcW w:type="dxa" w:w="1881"/>
            <w:shd w:val="clear" w:color="auto" w:fill="FFFFFF"/>
          </w:tcPr>
          <w:p>
            <w:r>
              <w:rPr>
                <w:sz w:val="18"/>
              </w:rPr>
              <w:t>II</w:t>
            </w:r>
          </w:p>
        </w:tc>
        <w:tc>
          <w:tcPr>
            <w:tcW w:type="dxa" w:w="1881"/>
            <w:shd w:val="clear" w:color="auto" w:fill="FFFFFF"/>
          </w:tcPr>
          <w:p>
            <w:r>
              <w:rPr>
                <w:sz w:val="18"/>
              </w:rPr>
              <w:t>Ginning</w:t>
            </w:r>
          </w:p>
        </w:tc>
        <w:tc>
          <w:tcPr>
            <w:tcW w:type="dxa" w:w="1881"/>
            <w:shd w:val="clear" w:color="auto" w:fill="FFFFFF"/>
          </w:tcPr>
          <w:p>
            <w:r>
              <w:rPr>
                <w:sz w:val="18"/>
              </w:rPr>
              <w:t>Seed cotton</w:t>
            </w:r>
          </w:p>
        </w:tc>
        <w:tc>
          <w:tcPr>
            <w:tcW w:type="dxa" w:w="1881"/>
            <w:shd w:val="clear" w:color="auto" w:fill="FFFFFF"/>
          </w:tcPr>
          <w:p>
            <w:r>
              <w:rPr>
                <w:sz w:val="18"/>
              </w:rPr>
              <w:t>Lint + cottonseed</w:t>
            </w:r>
          </w:p>
        </w:tc>
        <w:tc>
          <w:tcPr>
            <w:tcW w:type="dxa" w:w="1881"/>
            <w:shd w:val="clear" w:color="auto" w:fill="FFFFFF"/>
          </w:tcPr>
          <w:p>
            <w:r>
              <w:rPr>
                <w:b/>
                <w:sz w:val="18"/>
              </w:rPr>
              <w:t>Strong</w:t>
            </w:r>
            <w:r>
              <w:rPr>
                <w:sz w:val="18"/>
              </w:rPr>
              <w:t xml:space="preserve"> (39 ginneries)</w:t>
            </w:r>
          </w:p>
        </w:tc>
      </w:tr>
      <w:tr>
        <w:tc>
          <w:tcPr>
            <w:tcW w:type="dxa" w:w="1881"/>
            <w:shd w:val="clear" w:color="auto" w:fill="EEF3F9"/>
          </w:tcPr>
          <w:p>
            <w:r>
              <w:rPr>
                <w:sz w:val="18"/>
              </w:rPr>
              <w:t>III</w:t>
            </w:r>
          </w:p>
        </w:tc>
        <w:tc>
          <w:tcPr>
            <w:tcW w:type="dxa" w:w="1881"/>
            <w:shd w:val="clear" w:color="auto" w:fill="EEF3F9"/>
          </w:tcPr>
          <w:p>
            <w:r>
              <w:rPr>
                <w:sz w:val="18"/>
              </w:rPr>
              <w:t>Spinning</w:t>
            </w:r>
          </w:p>
        </w:tc>
        <w:tc>
          <w:tcPr>
            <w:tcW w:type="dxa" w:w="1881"/>
            <w:shd w:val="clear" w:color="auto" w:fill="EEF3F9"/>
          </w:tcPr>
          <w:p>
            <w:r>
              <w:rPr>
                <w:sz w:val="18"/>
              </w:rPr>
              <w:t>Lint</w:t>
            </w:r>
          </w:p>
        </w:tc>
        <w:tc>
          <w:tcPr>
            <w:tcW w:type="dxa" w:w="1881"/>
            <w:shd w:val="clear" w:color="auto" w:fill="EEF3F9"/>
          </w:tcPr>
          <w:p>
            <w:r>
              <w:rPr>
                <w:sz w:val="18"/>
              </w:rPr>
              <w:t>Yarn</w:t>
            </w:r>
          </w:p>
        </w:tc>
        <w:tc>
          <w:tcPr>
            <w:tcW w:type="dxa" w:w="1881"/>
            <w:shd w:val="clear" w:color="auto" w:fill="EEF3F9"/>
          </w:tcPr>
          <w:p>
            <w:r>
              <w:rPr>
                <w:b/>
                <w:sz w:val="18"/>
              </w:rPr>
              <w:t>Weak</w:t>
            </w:r>
            <w:r>
              <w:rPr>
                <w:sz w:val="18"/>
              </w:rPr>
              <w:t xml:space="preserve"> — limited</w:t>
            </w:r>
          </w:p>
        </w:tc>
      </w:tr>
      <w:tr>
        <w:tc>
          <w:tcPr>
            <w:tcW w:type="dxa" w:w="1881"/>
            <w:shd w:val="clear" w:color="auto" w:fill="FFFFFF"/>
          </w:tcPr>
          <w:p>
            <w:r>
              <w:rPr>
                <w:sz w:val="18"/>
              </w:rPr>
              <w:t>IV</w:t>
            </w:r>
          </w:p>
        </w:tc>
        <w:tc>
          <w:tcPr>
            <w:tcW w:type="dxa" w:w="1881"/>
            <w:shd w:val="clear" w:color="auto" w:fill="FFFFFF"/>
          </w:tcPr>
          <w:p>
            <w:r>
              <w:rPr>
                <w:sz w:val="18"/>
              </w:rPr>
              <w:t>Weaving / knitting</w:t>
            </w:r>
          </w:p>
        </w:tc>
        <w:tc>
          <w:tcPr>
            <w:tcW w:type="dxa" w:w="1881"/>
            <w:shd w:val="clear" w:color="auto" w:fill="FFFFFF"/>
          </w:tcPr>
          <w:p>
            <w:r>
              <w:rPr>
                <w:sz w:val="18"/>
              </w:rPr>
              <w:t>Yarn</w:t>
            </w:r>
          </w:p>
        </w:tc>
        <w:tc>
          <w:tcPr>
            <w:tcW w:type="dxa" w:w="1881"/>
            <w:shd w:val="clear" w:color="auto" w:fill="FFFFFF"/>
          </w:tcPr>
          <w:p>
            <w:r>
              <w:rPr>
                <w:sz w:val="18"/>
              </w:rPr>
              <w:t>Fabric</w:t>
            </w:r>
          </w:p>
        </w:tc>
        <w:tc>
          <w:tcPr>
            <w:tcW w:type="dxa" w:w="1881"/>
            <w:shd w:val="clear" w:color="auto" w:fill="FFFFFF"/>
          </w:tcPr>
          <w:p>
            <w:r>
              <w:rPr>
                <w:b/>
                <w:sz w:val="18"/>
              </w:rPr>
              <w:t>Weak</w:t>
            </w:r>
          </w:p>
        </w:tc>
      </w:tr>
      <w:tr>
        <w:tc>
          <w:tcPr>
            <w:tcW w:type="dxa" w:w="1881"/>
            <w:shd w:val="clear" w:color="auto" w:fill="EEF3F9"/>
          </w:tcPr>
          <w:p>
            <w:r>
              <w:rPr>
                <w:sz w:val="18"/>
              </w:rPr>
              <w:t>V</w:t>
            </w:r>
          </w:p>
        </w:tc>
        <w:tc>
          <w:tcPr>
            <w:tcW w:type="dxa" w:w="1881"/>
            <w:shd w:val="clear" w:color="auto" w:fill="EEF3F9"/>
          </w:tcPr>
          <w:p>
            <w:r>
              <w:rPr>
                <w:sz w:val="18"/>
              </w:rPr>
              <w:t>Wet processing &amp; finishing</w:t>
            </w:r>
          </w:p>
        </w:tc>
        <w:tc>
          <w:tcPr>
            <w:tcW w:type="dxa" w:w="1881"/>
            <w:shd w:val="clear" w:color="auto" w:fill="EEF3F9"/>
          </w:tcPr>
          <w:p>
            <w:r>
              <w:rPr>
                <w:sz w:val="18"/>
              </w:rPr>
              <w:t>Fabric</w:t>
            </w:r>
          </w:p>
        </w:tc>
        <w:tc>
          <w:tcPr>
            <w:tcW w:type="dxa" w:w="1881"/>
            <w:shd w:val="clear" w:color="auto" w:fill="EEF3F9"/>
          </w:tcPr>
          <w:p>
            <w:r>
              <w:rPr>
                <w:sz w:val="18"/>
              </w:rPr>
              <w:t>Dyed/finished fabric</w:t>
            </w:r>
          </w:p>
        </w:tc>
        <w:tc>
          <w:tcPr>
            <w:tcW w:type="dxa" w:w="1881"/>
            <w:shd w:val="clear" w:color="auto" w:fill="EEF3F9"/>
          </w:tcPr>
          <w:p>
            <w:r>
              <w:rPr>
                <w:b/>
                <w:sz w:val="18"/>
              </w:rPr>
              <w:t>Gap</w:t>
            </w:r>
            <w:r>
              <w:rPr>
                <w:sz w:val="18"/>
              </w:rPr>
              <w:t xml:space="preserve"> — key bottleneck</w:t>
            </w:r>
          </w:p>
        </w:tc>
      </w:tr>
      <w:tr>
        <w:tc>
          <w:tcPr>
            <w:tcW w:type="dxa" w:w="1881"/>
            <w:shd w:val="clear" w:color="auto" w:fill="FFFFFF"/>
          </w:tcPr>
          <w:p>
            <w:r>
              <w:rPr>
                <w:sz w:val="18"/>
              </w:rPr>
              <w:t>VI</w:t>
            </w:r>
          </w:p>
        </w:tc>
        <w:tc>
          <w:tcPr>
            <w:tcW w:type="dxa" w:w="1881"/>
            <w:shd w:val="clear" w:color="auto" w:fill="FFFFFF"/>
          </w:tcPr>
          <w:p>
            <w:r>
              <w:rPr>
                <w:sz w:val="18"/>
              </w:rPr>
              <w:t>Garment manufacture</w:t>
            </w:r>
          </w:p>
        </w:tc>
        <w:tc>
          <w:tcPr>
            <w:tcW w:type="dxa" w:w="1881"/>
            <w:shd w:val="clear" w:color="auto" w:fill="FFFFFF"/>
          </w:tcPr>
          <w:p>
            <w:r>
              <w:rPr>
                <w:sz w:val="18"/>
              </w:rPr>
              <w:t>Fabric</w:t>
            </w:r>
          </w:p>
        </w:tc>
        <w:tc>
          <w:tcPr>
            <w:tcW w:type="dxa" w:w="1881"/>
            <w:shd w:val="clear" w:color="auto" w:fill="FFFFFF"/>
          </w:tcPr>
          <w:p>
            <w:r>
              <w:rPr>
                <w:sz w:val="18"/>
              </w:rPr>
              <w:t>Garments, apparel, home textiles</w:t>
            </w:r>
          </w:p>
        </w:tc>
        <w:tc>
          <w:tcPr>
            <w:tcW w:type="dxa" w:w="1881"/>
            <w:shd w:val="clear" w:color="auto" w:fill="FFFFFF"/>
          </w:tcPr>
          <w:p>
            <w:r>
              <w:rPr>
                <w:b/>
                <w:sz w:val="18"/>
              </w:rPr>
              <w:t>Limited</w:t>
            </w:r>
          </w:p>
        </w:tc>
      </w:tr>
    </w:tbl>
    <w:p/>
    <w:p>
      <w:r>
        <w:rPr>
          <w:b/>
        </w:rPr>
        <w:t>Where value is captured and lost.</w:t>
      </w:r>
      <w:r>
        <w:t xml:space="preserve"> Uganda exports roughly </w:t>
      </w:r>
      <w:r>
        <w:rPr>
          <w:b/>
        </w:rPr>
        <w:t>90% of its cotton lint raw at under USD 1/kg</w:t>
      </w:r>
      <w:r>
        <w:t xml:space="preserve"> — about </w:t>
      </w:r>
      <w:r>
        <w:rPr>
          <w:b/>
        </w:rPr>
        <w:t>USD 11.3 million of cotton (HS 5201) in 2024</w:t>
      </w:r>
      <w:r>
        <w:t xml:space="preserve"> (ITC TradeMap) — while only two vertically integrated mills consume the remaining ~10% domestically (CDO; EPRC). It then imports finished textiles and garments (e.g. ~USD 6.7m of knitted T-shirts, HS 6109). The opportunity is to move lint into domestic yarn, fabric and garments.</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Cotton output</w:t>
            </w:r>
          </w:p>
        </w:tc>
        <w:tc>
          <w:tcPr>
            <w:tcW w:type="dxa" w:w="3135"/>
            <w:shd w:val="clear" w:color="auto" w:fill="EEF3F9"/>
          </w:tcPr>
          <w:p>
            <w:r>
              <w:rPr>
                <w:sz w:val="18"/>
              </w:rPr>
              <w:t>~116,000 bales (2023); ~130,000 expected 2024; up to ~250,000 in a good year</w:t>
            </w:r>
          </w:p>
        </w:tc>
        <w:tc>
          <w:tcPr>
            <w:tcW w:type="dxa" w:w="3135"/>
            <w:shd w:val="clear" w:color="auto" w:fill="EEF3F9"/>
          </w:tcPr>
          <w:p>
            <w:r>
              <w:rPr>
                <w:sz w:val="18"/>
              </w:rPr>
              <w:t>CDO</w:t>
            </w:r>
          </w:p>
        </w:tc>
      </w:tr>
      <w:tr>
        <w:tc>
          <w:tcPr>
            <w:tcW w:type="dxa" w:w="3135"/>
            <w:shd w:val="clear" w:color="auto" w:fill="FFFFFF"/>
          </w:tcPr>
          <w:p>
            <w:r>
              <w:rPr>
                <w:sz w:val="18"/>
              </w:rPr>
              <w:t>Ginneries</w:t>
            </w:r>
          </w:p>
        </w:tc>
        <w:tc>
          <w:tcPr>
            <w:tcW w:type="dxa" w:w="3135"/>
            <w:shd w:val="clear" w:color="auto" w:fill="FFFFFF"/>
          </w:tcPr>
          <w:p>
            <w:r>
              <w:rPr>
                <w:b/>
                <w:sz w:val="18"/>
              </w:rPr>
              <w:t>39, ~1 million bales/yr capacity — operating at only ~10%</w:t>
            </w:r>
          </w:p>
        </w:tc>
        <w:tc>
          <w:tcPr>
            <w:tcW w:type="dxa" w:w="3135"/>
            <w:shd w:val="clear" w:color="auto" w:fill="FFFFFF"/>
          </w:tcPr>
          <w:p>
            <w:r>
              <w:rPr>
                <w:sz w:val="18"/>
              </w:rPr>
              <w:t>CDO</w:t>
            </w:r>
          </w:p>
        </w:tc>
      </w:tr>
      <w:tr>
        <w:tc>
          <w:tcPr>
            <w:tcW w:type="dxa" w:w="3135"/>
            <w:shd w:val="clear" w:color="auto" w:fill="EEF3F9"/>
          </w:tcPr>
          <w:p>
            <w:r>
              <w:rPr>
                <w:sz w:val="18"/>
              </w:rPr>
              <w:t>Integrated mills</w:t>
            </w:r>
          </w:p>
        </w:tc>
        <w:tc>
          <w:tcPr>
            <w:tcW w:type="dxa" w:w="3135"/>
            <w:shd w:val="clear" w:color="auto" w:fill="EEF3F9"/>
          </w:tcPr>
          <w:p>
            <w:r>
              <w:rPr>
                <w:b/>
                <w:sz w:val="18"/>
              </w:rPr>
              <w:t>2</w:t>
            </w:r>
            <w:r>
              <w:rPr>
                <w:sz w:val="18"/>
              </w:rPr>
              <w:t xml:space="preserve"> (Nytil; Fine Spinners) — ~10% of lint; ~USD 50m turnover</w:t>
            </w:r>
          </w:p>
        </w:tc>
        <w:tc>
          <w:tcPr>
            <w:tcW w:type="dxa" w:w="3135"/>
            <w:shd w:val="clear" w:color="auto" w:fill="EEF3F9"/>
          </w:tcPr>
          <w:p>
            <w:r>
              <w:rPr>
                <w:sz w:val="18"/>
              </w:rPr>
              <w:t>CDO; UIA</w:t>
            </w:r>
          </w:p>
        </w:tc>
      </w:tr>
      <w:tr>
        <w:tc>
          <w:tcPr>
            <w:tcW w:type="dxa" w:w="3135"/>
            <w:shd w:val="clear" w:color="auto" w:fill="FFFFFF"/>
          </w:tcPr>
          <w:p>
            <w:r>
              <w:rPr>
                <w:sz w:val="18"/>
              </w:rPr>
              <w:t>Employment (Fine Spinners + outgrowers)</w:t>
            </w:r>
          </w:p>
        </w:tc>
        <w:tc>
          <w:tcPr>
            <w:tcW w:type="dxa" w:w="3135"/>
            <w:shd w:val="clear" w:color="auto" w:fill="FFFFFF"/>
          </w:tcPr>
          <w:p>
            <w:r>
              <w:rPr>
                <w:sz w:val="18"/>
              </w:rPr>
              <w:t>~18,000</w:t>
            </w:r>
          </w:p>
        </w:tc>
        <w:tc>
          <w:tcPr>
            <w:tcW w:type="dxa" w:w="3135"/>
            <w:shd w:val="clear" w:color="auto" w:fill="FFFFFF"/>
          </w:tcPr>
          <w:p>
            <w:r>
              <w:rPr>
                <w:sz w:val="18"/>
              </w:rPr>
              <w:t>ChimpReports; UIA</w:t>
            </w:r>
          </w:p>
        </w:tc>
      </w:tr>
      <w:tr>
        <w:tc>
          <w:tcPr>
            <w:tcW w:type="dxa" w:w="3135"/>
            <w:shd w:val="clear" w:color="auto" w:fill="EEF3F9"/>
          </w:tcPr>
          <w:p>
            <w:r>
              <w:rPr>
                <w:sz w:val="18"/>
              </w:rPr>
              <w:t>Lint exports</w:t>
            </w:r>
          </w:p>
        </w:tc>
        <w:tc>
          <w:tcPr>
            <w:tcW w:type="dxa" w:w="3135"/>
            <w:shd w:val="clear" w:color="auto" w:fill="EEF3F9"/>
          </w:tcPr>
          <w:p>
            <w:r>
              <w:rPr>
                <w:sz w:val="18"/>
              </w:rPr>
              <w:t>~USD 11.3m (HS 5201, 2024)</w:t>
            </w:r>
          </w:p>
        </w:tc>
        <w:tc>
          <w:tcPr>
            <w:tcW w:type="dxa" w:w="3135"/>
            <w:shd w:val="clear" w:color="auto" w:fill="EEF3F9"/>
          </w:tcPr>
          <w:p>
            <w:r>
              <w:rPr>
                <w:sz w:val="18"/>
              </w:rPr>
              <w:t>ITC TradeMap</w:t>
            </w:r>
          </w:p>
        </w:tc>
      </w:tr>
      <w:tr>
        <w:tc>
          <w:tcPr>
            <w:tcW w:type="dxa" w:w="3135"/>
            <w:shd w:val="clear" w:color="auto" w:fill="FFFFFF"/>
          </w:tcPr>
          <w:p>
            <w:r>
              <w:rPr>
                <w:sz w:val="18"/>
              </w:rPr>
              <w:t>Garment imports (indicative)</w:t>
            </w:r>
          </w:p>
        </w:tc>
        <w:tc>
          <w:tcPr>
            <w:tcW w:type="dxa" w:w="3135"/>
            <w:shd w:val="clear" w:color="auto" w:fill="FFFFFF"/>
          </w:tcPr>
          <w:p>
            <w:r>
              <w:rPr>
                <w:sz w:val="18"/>
              </w:rPr>
              <w:t>~USD 6.7m knitted T-shirts (HS 6109) + broader apparel</w:t>
            </w:r>
          </w:p>
        </w:tc>
        <w:tc>
          <w:tcPr>
            <w:tcW w:type="dxa" w:w="3135"/>
            <w:shd w:val="clear" w:color="auto" w:fill="FFFFFF"/>
          </w:tcPr>
          <w:p>
            <w:r>
              <w:rPr>
                <w:sz w:val="18"/>
              </w:rPr>
              <w:t>ITC TradeMap</w:t>
            </w:r>
          </w:p>
        </w:tc>
      </w:tr>
    </w:tbl>
    <w:p/>
    <w:p>
      <w:r>
        <w:rPr>
          <w:b/>
        </w:rPr>
        <w:t>Cotton production.</w:t>
      </w:r>
      <w:r>
        <w:t xml:space="preserve"> ~</w:t>
      </w:r>
      <w:r>
        <w:rPr>
          <w:b/>
        </w:rPr>
        <w:t>116,000 bales in 2023</w:t>
      </w:r>
      <w:r>
        <w:t xml:space="preserve"> (≈200 kg lint each), ~130,000 expected 2024, against good-year potential up to 250,000 (CDO). </w:t>
      </w:r>
      <w:r>
        <w:rPr>
          <w:b/>
        </w:rPr>
        <w:t>39 ginneries</w:t>
      </w:r>
      <w:r>
        <w:t xml:space="preserve"> hold capacity near one million bales/year but run at only </w:t>
      </w:r>
      <w:r>
        <w:rPr>
          <w:b/>
        </w:rPr>
        <w:t>~10%</w:t>
      </w:r>
      <w:r>
        <w:t xml:space="preserve"> — a striking under-utilisation.</w:t>
      </w:r>
    </w:p>
    <w:p>
      <w:r>
        <w:rPr>
          <w:b/>
        </w:rPr>
        <w:t>Mills and value addition.</w:t>
      </w:r>
      <w:r>
        <w:t xml:space="preserve"> Two vertically integrated mills — </w:t>
      </w:r>
      <w:r>
        <w:rPr>
          <w:b/>
        </w:rPr>
        <w:t>Southern Range Nyanza (Nytil)</w:t>
      </w:r>
      <w:r>
        <w:t xml:space="preserve"> and </w:t>
      </w:r>
      <w:r>
        <w:rPr>
          <w:b/>
        </w:rPr>
        <w:t>Fine Spinners Ltd</w:t>
      </w:r>
      <w:r>
        <w:t xml:space="preserve"> — consume ~10% of national lint and generate ~</w:t>
      </w:r>
      <w:r>
        <w:rPr>
          <w:b/>
        </w:rPr>
        <w:t>USD 50m turnover</w:t>
      </w:r>
      <w:r>
        <w:t xml:space="preserve">; Fine Spinners alone is associated with ~18,000 jobs across operations and outgrowers (UIA). New investment includes the </w:t>
      </w:r>
      <w:r>
        <w:rPr>
          <w:b/>
        </w:rPr>
        <w:t>Lira spinning facility</w:t>
      </w:r>
      <w:r>
        <w:t xml:space="preserve"> under the cotton-development programme.</w:t>
      </w:r>
    </w:p>
    <w:p>
      <w:r>
        <w:rPr>
          <w:b/>
        </w:rPr>
        <w:t>Trade position.</w:t>
      </w:r>
      <w:r>
        <w:t xml:space="preserve"> Net </w:t>
      </w:r>
      <w:r>
        <w:rPr>
          <w:b/>
        </w:rPr>
        <w:t>exporter of raw lint</w:t>
      </w:r>
      <w:r>
        <w:t xml:space="preserve"> and net </w:t>
      </w:r>
      <w:r>
        <w:rPr>
          <w:b/>
        </w:rPr>
        <w:t>importer of finished textiles/garments</w:t>
      </w:r>
      <w:r>
        <w:t xml:space="preserve"> — the inverse of a value-adding industry.</w:t>
      </w:r>
    </w:p>
    <w:p>
      <w:pPr>
        <w:pStyle w:val="Heading2"/>
      </w:pPr>
      <w:r>
        <w:t>4.C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Apparel/uniforms/home-textiles demand met largely by imports + used clothing; institutional demand addressable</w:t>
            </w:r>
          </w:p>
        </w:tc>
        <w:tc>
          <w:tcPr>
            <w:tcW w:type="dxa" w:w="3135"/>
            <w:shd w:val="clear" w:color="auto" w:fill="EEF3F9"/>
          </w:tcPr>
          <w:p>
            <w:r>
              <w:rPr>
                <w:sz w:val="18"/>
              </w:rPr>
              <w:t>Population, incomes, institutional procurement</w:t>
            </w:r>
          </w:p>
        </w:tc>
      </w:tr>
      <w:tr>
        <w:tc>
          <w:tcPr>
            <w:tcW w:type="dxa" w:w="3135"/>
            <w:shd w:val="clear" w:color="auto" w:fill="FFFFFF"/>
          </w:tcPr>
          <w:p>
            <w:r>
              <w:rPr>
                <w:b/>
                <w:sz w:val="18"/>
              </w:rPr>
              <w:t>Regional (EAC + COMESA)</w:t>
            </w:r>
          </w:p>
        </w:tc>
        <w:tc>
          <w:tcPr>
            <w:tcW w:type="dxa" w:w="3135"/>
            <w:shd w:val="clear" w:color="auto" w:fill="FFFFFF"/>
          </w:tcPr>
          <w:p>
            <w:r>
              <w:rPr>
                <w:sz w:val="18"/>
              </w:rPr>
              <w:t>Accessible apparel/fabric markets; Uganda's cotton base is an advantage if processed</w:t>
            </w:r>
          </w:p>
        </w:tc>
        <w:tc>
          <w:tcPr>
            <w:tcW w:type="dxa" w:w="3135"/>
            <w:shd w:val="clear" w:color="auto" w:fill="FFFFFF"/>
          </w:tcPr>
          <w:p>
            <w:r>
              <w:rPr>
                <w:sz w:val="18"/>
              </w:rPr>
              <w:t>Regional demand; EAC integration</w:t>
            </w:r>
          </w:p>
        </w:tc>
      </w:tr>
      <w:tr>
        <w:tc>
          <w:tcPr>
            <w:tcW w:type="dxa" w:w="3135"/>
            <w:shd w:val="clear" w:color="auto" w:fill="EEF3F9"/>
          </w:tcPr>
          <w:p>
            <w:r>
              <w:rPr>
                <w:b/>
                <w:sz w:val="18"/>
              </w:rPr>
              <w:t>Continental (Africa)</w:t>
            </w:r>
          </w:p>
        </w:tc>
        <w:tc>
          <w:tcPr>
            <w:tcW w:type="dxa" w:w="3135"/>
            <w:shd w:val="clear" w:color="auto" w:fill="EEF3F9"/>
          </w:tcPr>
          <w:p>
            <w:r>
              <w:rPr>
                <w:sz w:val="18"/>
              </w:rPr>
              <w:t>Large apparel market; AGOA/AfCFTA access for garments</w:t>
            </w:r>
          </w:p>
        </w:tc>
        <w:tc>
          <w:tcPr>
            <w:tcW w:type="dxa" w:w="3135"/>
            <w:shd w:val="clear" w:color="auto" w:fill="EEF3F9"/>
          </w:tcPr>
          <w:p>
            <w:r>
              <w:rPr>
                <w:sz w:val="18"/>
              </w:rPr>
              <w:t>Africa's young population; preferential access</w:t>
            </w:r>
          </w:p>
        </w:tc>
      </w:tr>
      <w:tr>
        <w:tc>
          <w:tcPr>
            <w:tcW w:type="dxa" w:w="3135"/>
            <w:shd w:val="clear" w:color="auto" w:fill="FFFFFF"/>
          </w:tcPr>
          <w:p>
            <w:r>
              <w:rPr>
                <w:b/>
                <w:sz w:val="18"/>
              </w:rPr>
              <w:t>Global</w:t>
            </w:r>
          </w:p>
        </w:tc>
        <w:tc>
          <w:tcPr>
            <w:tcW w:type="dxa" w:w="3135"/>
            <w:shd w:val="clear" w:color="auto" w:fill="FFFFFF"/>
          </w:tcPr>
          <w:p>
            <w:r>
              <w:rPr>
                <w:sz w:val="18"/>
              </w:rPr>
              <w:t xml:space="preserve">Asia-dominated commodity textiles; Uganda's niche is </w:t>
            </w:r>
            <w:r>
              <w:rPr>
                <w:b/>
                <w:sz w:val="18"/>
              </w:rPr>
              <w:t>organic/traceable cotton &amp; specialty apparel</w:t>
            </w:r>
          </w:p>
        </w:tc>
        <w:tc>
          <w:tcPr>
            <w:tcW w:type="dxa" w:w="3135"/>
            <w:shd w:val="clear" w:color="auto" w:fill="FFFFFF"/>
          </w:tcPr>
          <w:p>
            <w:r>
              <w:rPr>
                <w:sz w:val="18"/>
              </w:rPr>
              <w:t>Sustainability-driven sourcing</w:t>
            </w:r>
          </w:p>
        </w:tc>
      </w:tr>
    </w:tbl>
    <w:p/>
    <w:p>
      <w:pPr>
        <w:pStyle w:val="Heading3"/>
      </w:pPr>
      <w:r>
        <w:t>2040 projection — Tenfold logic</w:t>
      </w:r>
    </w:p>
    <w:p>
      <w:r>
        <w:t xml:space="preserve">A ten-times-larger, more urban, higher-income Uganda implies a </w:t>
      </w:r>
      <w:r>
        <w:rPr>
          <w:b/>
        </w:rPr>
        <w:t>multi-fold increase in apparel and home-textile demand</w:t>
      </w:r>
      <w:r>
        <w:t xml:space="preserve">, and the chance to convert today's ~1m-bale ginning capacity (only 10% used) into a full spinning-to-garment industry. If Uganda processes even half its lint domestically and supplies regional markets, the textiles-and-garments sector could become one of the largest manufacturing employers by 2040. Other markets grow on business-as-usual; Uganda's external plays are </w:t>
      </w:r>
      <w:r>
        <w:rPr>
          <w:b/>
        </w:rPr>
        <w:t>regional garments/fabric</w:t>
      </w:r>
      <w:r>
        <w:t xml:space="preserve"> and </w:t>
      </w:r>
      <w:r>
        <w:rPr>
          <w:b/>
        </w:rPr>
        <w:t>premium organic cotton</w:t>
      </w:r>
      <w:r>
        <w:t xml:space="preserve"> globally — not commodity volume.</w:t>
      </w:r>
    </w:p>
    <w:p>
      <w:pPr>
        <w:pStyle w:val="Heading2"/>
      </w:pPr>
      <w:r>
        <w:t>4.D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Wet-processing/finishing gap (technology/inputs)</w:t>
            </w:r>
          </w:p>
        </w:tc>
        <w:tc>
          <w:tcPr>
            <w:tcW w:type="dxa" w:w="2351"/>
            <w:shd w:val="clear" w:color="auto" w:fill="EEF3F9"/>
          </w:tcPr>
          <w:p>
            <w:r>
              <w:rPr>
                <w:b/>
                <w:sz w:val="18"/>
              </w:rPr>
              <w:t>5</w:t>
            </w:r>
          </w:p>
        </w:tc>
        <w:tc>
          <w:tcPr>
            <w:tcW w:type="dxa" w:w="2351"/>
            <w:shd w:val="clear" w:color="auto" w:fill="EEF3F9"/>
          </w:tcPr>
          <w:p>
            <w:r>
              <w:rPr>
                <w:sz w:val="18"/>
              </w:rPr>
              <w:t>Dyeing/finishing is the key missing midstream; without it, fabric and garments can't scale</w:t>
            </w:r>
          </w:p>
        </w:tc>
      </w:tr>
      <w:tr>
        <w:tc>
          <w:tcPr>
            <w:tcW w:type="dxa" w:w="2351"/>
            <w:shd w:val="clear" w:color="auto" w:fill="FFFFFF"/>
          </w:tcPr>
          <w:p>
            <w:r>
              <w:rPr>
                <w:sz w:val="18"/>
              </w:rPr>
              <w:t>2</w:t>
            </w:r>
          </w:p>
        </w:tc>
        <w:tc>
          <w:tcPr>
            <w:tcW w:type="dxa" w:w="2351"/>
            <w:shd w:val="clear" w:color="auto" w:fill="FFFFFF"/>
          </w:tcPr>
          <w:p>
            <w:r>
              <w:rPr>
                <w:b/>
                <w:sz w:val="18"/>
              </w:rPr>
              <w:t>Used-clothing (mivumba) competition (policy)</w:t>
            </w:r>
          </w:p>
        </w:tc>
        <w:tc>
          <w:tcPr>
            <w:tcW w:type="dxa" w:w="2351"/>
            <w:shd w:val="clear" w:color="auto" w:fill="FFFFFF"/>
          </w:tcPr>
          <w:p>
            <w:r>
              <w:rPr>
                <w:b/>
                <w:sz w:val="18"/>
              </w:rPr>
              <w:t>4</w:t>
            </w:r>
          </w:p>
        </w:tc>
        <w:tc>
          <w:tcPr>
            <w:tcW w:type="dxa" w:w="2351"/>
            <w:shd w:val="clear" w:color="auto" w:fill="FFFFFF"/>
          </w:tcPr>
          <w:p>
            <w:r>
              <w:rPr>
                <w:sz w:val="18"/>
              </w:rPr>
              <w:t>Used-clothing imports directly undercut domestic garments; EAC policy is decisive</w:t>
            </w:r>
          </w:p>
        </w:tc>
      </w:tr>
      <w:tr>
        <w:tc>
          <w:tcPr>
            <w:tcW w:type="dxa" w:w="2351"/>
            <w:shd w:val="clear" w:color="auto" w:fill="EEF3F9"/>
          </w:tcPr>
          <w:p>
            <w:r>
              <w:rPr>
                <w:sz w:val="18"/>
              </w:rPr>
              <w:t>3</w:t>
            </w:r>
          </w:p>
        </w:tc>
        <w:tc>
          <w:tcPr>
            <w:tcW w:type="dxa" w:w="2351"/>
            <w:shd w:val="clear" w:color="auto" w:fill="EEF3F9"/>
          </w:tcPr>
          <w:p>
            <w:r>
              <w:rPr>
                <w:b/>
                <w:sz w:val="18"/>
              </w:rPr>
              <w:t>Cotton output volatility &amp; yields (inputs)</w:t>
            </w:r>
          </w:p>
        </w:tc>
        <w:tc>
          <w:tcPr>
            <w:tcW w:type="dxa" w:w="2351"/>
            <w:shd w:val="clear" w:color="auto" w:fill="EEF3F9"/>
          </w:tcPr>
          <w:p>
            <w:r>
              <w:rPr>
                <w:b/>
                <w:sz w:val="18"/>
              </w:rPr>
              <w:t>4</w:t>
            </w:r>
          </w:p>
        </w:tc>
        <w:tc>
          <w:tcPr>
            <w:tcW w:type="dxa" w:w="2351"/>
            <w:shd w:val="clear" w:color="auto" w:fill="EEF3F9"/>
          </w:tcPr>
          <w:p>
            <w:r>
              <w:rPr>
                <w:sz w:val="18"/>
              </w:rPr>
              <w:t>Output well below the ~1m-bale capacity (only ~10% used); seed quality/agronomy limit yields</w:t>
            </w:r>
          </w:p>
        </w:tc>
      </w:tr>
      <w:tr>
        <w:tc>
          <w:tcPr>
            <w:tcW w:type="dxa" w:w="2351"/>
            <w:shd w:val="clear" w:color="auto" w:fill="FFFFFF"/>
          </w:tcPr>
          <w:p>
            <w:r>
              <w:rPr>
                <w:sz w:val="18"/>
              </w:rPr>
              <w:t>4</w:t>
            </w:r>
          </w:p>
        </w:tc>
        <w:tc>
          <w:tcPr>
            <w:tcW w:type="dxa" w:w="2351"/>
            <w:shd w:val="clear" w:color="auto" w:fill="FFFFFF"/>
          </w:tcPr>
          <w:p>
            <w:r>
              <w:rPr>
                <w:b/>
                <w:sz w:val="18"/>
              </w:rPr>
              <w:t>Capital for spinning/weaving (finance)</w:t>
            </w:r>
          </w:p>
        </w:tc>
        <w:tc>
          <w:tcPr>
            <w:tcW w:type="dxa" w:w="2351"/>
            <w:shd w:val="clear" w:color="auto" w:fill="FFFFFF"/>
          </w:tcPr>
          <w:p>
            <w:r>
              <w:rPr>
                <w:b/>
                <w:sz w:val="18"/>
              </w:rPr>
              <w:t>4</w:t>
            </w:r>
          </w:p>
        </w:tc>
        <w:tc>
          <w:tcPr>
            <w:tcW w:type="dxa" w:w="2351"/>
            <w:shd w:val="clear" w:color="auto" w:fill="FFFFFF"/>
          </w:tcPr>
          <w:p>
            <w:r>
              <w:rPr>
                <w:sz w:val="18"/>
              </w:rPr>
              <w:t>Mills are capital-intensive; long-term finance scarce and costly</w:t>
            </w:r>
          </w:p>
        </w:tc>
      </w:tr>
      <w:tr>
        <w:tc>
          <w:tcPr>
            <w:tcW w:type="dxa" w:w="2351"/>
            <w:shd w:val="clear" w:color="auto" w:fill="EEF3F9"/>
          </w:tcPr>
          <w:p>
            <w:r>
              <w:rPr>
                <w:sz w:val="18"/>
              </w:rPr>
              <w:t>5</w:t>
            </w:r>
          </w:p>
        </w:tc>
        <w:tc>
          <w:tcPr>
            <w:tcW w:type="dxa" w:w="2351"/>
            <w:shd w:val="clear" w:color="auto" w:fill="EEF3F9"/>
          </w:tcPr>
          <w:p>
            <w:r>
              <w:rPr>
                <w:b/>
                <w:sz w:val="18"/>
              </w:rPr>
              <w:t>Water &amp; effluent for wet-processing (water/waste)</w:t>
            </w:r>
          </w:p>
        </w:tc>
        <w:tc>
          <w:tcPr>
            <w:tcW w:type="dxa" w:w="2351"/>
            <w:shd w:val="clear" w:color="auto" w:fill="EEF3F9"/>
          </w:tcPr>
          <w:p>
            <w:r>
              <w:rPr>
                <w:b/>
                <w:sz w:val="18"/>
              </w:rPr>
              <w:t>3</w:t>
            </w:r>
          </w:p>
        </w:tc>
        <w:tc>
          <w:tcPr>
            <w:tcW w:type="dxa" w:w="2351"/>
            <w:shd w:val="clear" w:color="auto" w:fill="EEF3F9"/>
          </w:tcPr>
          <w:p>
            <w:r>
              <w:rPr>
                <w:sz w:val="18"/>
              </w:rPr>
              <w:t>Dyeing needs reliable, treatable water; NEMA effluent compliance is a cost and constraint</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Textile-engineering/supervisory skills limited; garment work is trainable and job-rich</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Landlocked costs (~18–20% of sale price) vs. Asian exporters</w:t>
            </w:r>
          </w:p>
        </w:tc>
      </w:tr>
      <w:tr>
        <w:tc>
          <w:tcPr>
            <w:tcW w:type="dxa" w:w="2351"/>
            <w:shd w:val="clear" w:color="auto" w:fill="FFFFFF"/>
          </w:tcPr>
          <w:p>
            <w:r>
              <w:rPr>
                <w:sz w:val="18"/>
              </w:rPr>
              <w:t>8</w:t>
            </w:r>
          </w:p>
        </w:tc>
        <w:tc>
          <w:tcPr>
            <w:tcW w:type="dxa" w:w="2351"/>
            <w:shd w:val="clear" w:color="auto" w:fill="FFFFFF"/>
          </w:tcPr>
          <w:p>
            <w:r>
              <w:rPr>
                <w:b/>
                <w:sz w:val="18"/>
              </w:rPr>
              <w:t>Standards &amp; consistency (standards)</w:t>
            </w:r>
          </w:p>
        </w:tc>
        <w:tc>
          <w:tcPr>
            <w:tcW w:type="dxa" w:w="2351"/>
            <w:shd w:val="clear" w:color="auto" w:fill="FFFFFF"/>
          </w:tcPr>
          <w:p>
            <w:r>
              <w:rPr>
                <w:b/>
                <w:sz w:val="18"/>
              </w:rPr>
              <w:t>2</w:t>
            </w:r>
          </w:p>
        </w:tc>
        <w:tc>
          <w:tcPr>
            <w:tcW w:type="dxa" w:w="2351"/>
            <w:shd w:val="clear" w:color="auto" w:fill="FFFFFF"/>
          </w:tcPr>
          <w:p>
            <w:r>
              <w:rPr>
                <w:sz w:val="18"/>
              </w:rPr>
              <w:t>Quality consistency needed for export/regional markets</w:t>
            </w:r>
          </w:p>
        </w:tc>
      </w:tr>
    </w:tbl>
    <w:p/>
    <w:p>
      <w:r>
        <w:t xml:space="preserve">The decisive lever is building </w:t>
      </w:r>
      <w:r>
        <w:rPr>
          <w:b/>
        </w:rPr>
        <w:t>wet-processing/finishing</w:t>
      </w:r>
      <w:r>
        <w:t xml:space="preserve"> capacity (so domestic lint can become finished fabric and garments) while curbing used-clothing competition and raising cotton yields to fill idle ginning capacity.</w:t>
      </w:r>
    </w:p>
    <w:p>
      <w:pPr>
        <w:pStyle w:val="Heading2"/>
      </w:pPr>
      <w:r>
        <w:t>4.E Greening &amp; Sustainability</w:t>
      </w:r>
    </w:p>
    <w:p>
      <w:r>
        <w:t xml:space="preserve">Sustainability is a </w:t>
      </w:r>
      <w:r>
        <w:rPr>
          <w:b/>
        </w:rPr>
        <w:t>market-access advantage</w:t>
      </w:r>
      <w:r>
        <w:t xml:space="preserve"> in textiles: global and regional buyers increasingly demand traceable, low-impact cotton and clean wet-processing.</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Largely rain-fed smallholder cotton (naturally low-input); wet-processing effluent is the main impact point</w:t>
            </w:r>
          </w:p>
        </w:tc>
      </w:tr>
      <w:tr>
        <w:tc>
          <w:tcPr>
            <w:tcW w:type="dxa" w:w="4703"/>
            <w:shd w:val="clear" w:color="auto" w:fill="FFFFFF"/>
          </w:tcPr>
          <w:p>
            <w:r>
              <w:rPr>
                <w:b/>
                <w:sz w:val="18"/>
              </w:rPr>
              <w:t>Current solutions</w:t>
            </w:r>
          </w:p>
        </w:tc>
        <w:tc>
          <w:tcPr>
            <w:tcW w:type="dxa" w:w="4703"/>
            <w:shd w:val="clear" w:color="auto" w:fill="FFFFFF"/>
          </w:tcPr>
          <w:p>
            <w:r>
              <w:rPr>
                <w:sz w:val="18"/>
              </w:rPr>
              <w:t>NEMA effluent regulation; outgrower models; cottonseed by-product use (oil, cake)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Organic / traceable cotton</w:t>
            </w:r>
            <w:r>
              <w:rPr>
                <w:sz w:val="18"/>
              </w:rPr>
              <w:t xml:space="preserve"> for premium export; (2) </w:t>
            </w:r>
            <w:r>
              <w:rPr>
                <w:b/>
                <w:sz w:val="18"/>
              </w:rPr>
              <w:t>closed-loop water recycling &amp; low-water dyeing</w:t>
            </w:r>
            <w:r>
              <w:rPr>
                <w:sz w:val="18"/>
              </w:rPr>
              <w:t xml:space="preserve"> in wet-processing; (3) </w:t>
            </w:r>
            <w:r>
              <w:rPr>
                <w:b/>
                <w:sz w:val="18"/>
              </w:rPr>
              <w:t>solar-powered spinning/garment parks</w:t>
            </w:r>
            <w:r>
              <w:rPr>
                <w:sz w:val="18"/>
              </w:rPr>
              <w:t xml:space="preserve">; (4) </w:t>
            </w:r>
            <w:r>
              <w:rPr>
                <w:b/>
                <w:sz w:val="18"/>
              </w:rPr>
              <w:t>textile-waste recycling</w:t>
            </w:r>
            <w:r>
              <w:rPr>
                <w:sz w:val="18"/>
              </w:rPr>
              <w:t xml:space="preserve"> and cottonseed-oil/cake circularity</w:t>
            </w:r>
          </w:p>
        </w:tc>
      </w:tr>
    </w:tbl>
    <w:p/>
    <w:p>
      <w:r>
        <w:rPr>
          <w:b/>
        </w:rPr>
        <w:t>Why it pays:</w:t>
      </w:r>
      <w:r>
        <w:t xml:space="preserve"> organic, traceable, clean-processed Ugandan textiles command premiums and pass the sustainability screens of EU/AGOA and regional institutional buyers — turning environmental performance into orders.</w:t>
      </w:r>
    </w:p>
    <w:p>
      <w:pPr>
        <w:pStyle w:val="Heading2"/>
      </w:pPr>
      <w:r>
        <w:t>4.F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Garments &amp; apparel (incl. institutional uniforms)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w:t>
            </w:r>
          </w:p>
        </w:tc>
        <w:tc>
          <w:tcPr>
            <w:tcW w:type="dxa" w:w="1176"/>
            <w:shd w:val="clear" w:color="auto" w:fill="EEF3F9"/>
          </w:tcPr>
          <w:p>
            <w:r>
              <w:rPr>
                <w:sz w:val="18"/>
              </w:rPr>
              <w:t>Medium–High</w:t>
            </w:r>
          </w:p>
        </w:tc>
        <w:tc>
          <w:tcPr>
            <w:tcW w:type="dxa" w:w="1176"/>
            <w:shd w:val="clear" w:color="auto" w:fill="EEF3F9"/>
          </w:tcPr>
          <w:p>
            <w:r>
              <w:rPr>
                <w:b/>
                <w:sz w:val="18"/>
              </w:rPr>
              <w:t>Priority</w:t>
            </w:r>
          </w:p>
        </w:tc>
      </w:tr>
      <w:tr>
        <w:tc>
          <w:tcPr>
            <w:tcW w:type="dxa" w:w="1176"/>
            <w:shd w:val="clear" w:color="auto" w:fill="FFFFFF"/>
          </w:tcPr>
          <w:p>
            <w:r>
              <w:rPr>
                <w:b/>
                <w:sz w:val="18"/>
              </w:rPr>
              <w:t>Yarn &amp; fabric (spinning/weaving + finishing)</w:t>
            </w:r>
          </w:p>
        </w:tc>
        <w:tc>
          <w:tcPr>
            <w:tcW w:type="dxa" w:w="1176"/>
            <w:shd w:val="clear" w:color="auto" w:fill="FFFFFF"/>
          </w:tcPr>
          <w:p>
            <w:r>
              <w:rPr>
                <w:sz w:val="18"/>
              </w:rPr>
              <w:t>High</w:t>
            </w:r>
          </w:p>
        </w:tc>
        <w:tc>
          <w:tcPr>
            <w:tcW w:type="dxa" w:w="1176"/>
            <w:shd w:val="clear" w:color="auto" w:fill="FFFFFF"/>
          </w:tcPr>
          <w:p>
            <w:r>
              <w:rPr>
                <w:sz w:val="18"/>
              </w:rPr>
              <w:t>High (lint)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Cottonseed oil &amp; cake (by-products)</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sz w:val="18"/>
              </w:rPr>
              <w:t>Organic/traceable cotton (premium export)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n/a</w:t>
            </w:r>
          </w:p>
        </w:tc>
        <w:tc>
          <w:tcPr>
            <w:tcW w:type="dxa" w:w="1176"/>
            <w:shd w:val="clear" w:color="auto" w:fill="FFFFFF"/>
          </w:tcPr>
          <w:p>
            <w:r>
              <w:rPr>
                <w:sz w:val="18"/>
              </w:rPr>
              <w:t>High</w:t>
            </w:r>
          </w:p>
        </w:tc>
        <w:tc>
          <w:tcPr>
            <w:tcW w:type="dxa" w:w="1176"/>
            <w:shd w:val="clear" w:color="auto" w:fill="FFFFFF"/>
          </w:tcPr>
          <w:p>
            <w:r>
              <w:rPr>
                <w:sz w:val="18"/>
              </w:rPr>
              <w:t>Conditional</w:t>
            </w:r>
          </w:p>
        </w:tc>
      </w:tr>
      <w:tr>
        <w:tc>
          <w:tcPr>
            <w:tcW w:type="dxa" w:w="1176"/>
            <w:shd w:val="clear" w:color="auto" w:fill="EEF3F9"/>
          </w:tcPr>
          <w:p>
            <w:r>
              <w:rPr>
                <w:sz w:val="18"/>
              </w:rPr>
              <w:t>Commodity textile export to global market</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 with institutional/uniform demand and regional markets.</w:t>
      </w:r>
    </w:p>
    <w:p>
      <w:pPr>
        <w:pStyle w:val="ListNumber"/>
      </w:pPr>
      <w:r>
        <w:rPr>
          <w:b/>
        </w:rPr>
        <w:t>Yarn &amp; fabric (spinning/weaving + wet-processing)</w:t>
      </w:r>
      <w:r>
        <w:t xml:space="preserve"> — process domestic lint instead of exporting it raw; build on Nytil, Fine Spinners and the Lira facility, adding the missing finishing step.</w:t>
      </w:r>
    </w:p>
    <w:p>
      <w:pPr>
        <w:pStyle w:val="ListNumber"/>
      </w:pPr>
      <w:r>
        <w:rPr>
          <w:b/>
        </w:rPr>
        <w:t>Cottonseed oil &amp; cake</w:t>
      </w:r>
      <w:r>
        <w:t xml:space="preserve"> — capture ginning by-products (edible oil, animal feed); a feasible, green quick value-add.</w:t>
      </w:r>
    </w:p>
    <w:p>
      <w:r>
        <w:rPr>
          <w:b/>
        </w:rPr>
        <w:t>Explicit deprioritization.</w:t>
      </w:r>
      <w:r>
        <w:t xml:space="preserve"> Uganda should </w:t>
      </w:r>
      <w:r>
        <w:rPr>
          <w:b/>
        </w:rPr>
        <w:t>not</w:t>
      </w:r>
      <w:r>
        <w:t xml:space="preserve"> chase commodity textile export against Asian scale. Focus on </w:t>
      </w:r>
      <w:r>
        <w:rPr>
          <w:b/>
        </w:rPr>
        <w:t>domestic/regional garments and fabric from Ugandan cotton</w:t>
      </w:r>
      <w:r>
        <w:t xml:space="preserve">, with </w:t>
      </w:r>
      <w:r>
        <w:rPr>
          <w:b/>
        </w:rPr>
        <w:t>organic cotton</w:t>
      </w:r>
      <w:r>
        <w:t xml:space="preserve"> as a premium niche.</w:t>
      </w:r>
    </w:p>
    <w:p>
      <w:pPr>
        <w:pStyle w:val="Heading2"/>
      </w:pPr>
      <w:r>
        <w:t>4.G Project Profiles</w:t>
      </w:r>
    </w:p>
    <w:p>
      <w:r>
        <w:rPr>
          <w:b/>
        </w:rPr>
        <w:t>P1 — Integrated spinning–weaving–finishing capacity (strategic anchor).</w:t>
      </w:r>
    </w:p>
    <w:p>
      <w:pPr>
        <w:pStyle w:val="ListBullet"/>
      </w:pPr>
      <w:r>
        <w:rPr>
          <w:i/>
        </w:rPr>
        <w:t>Strategic:</w:t>
      </w:r>
      <w:r>
        <w:t xml:space="preserve"> closes the wet-processing gap so domestic lint becomes finished fabric; foundation for garments at scale.</w:t>
      </w:r>
    </w:p>
    <w:p>
      <w:pPr>
        <w:pStyle w:val="ListBullet"/>
      </w:pPr>
      <w:r>
        <w:rPr>
          <w:i/>
        </w:rPr>
        <w:t>Quick-win element:</w:t>
      </w:r>
      <w:r>
        <w:t xml:space="preserve"> expand existing mills (Nytil, Fine Spinners, Lira) rather than greenfield.</w:t>
      </w:r>
    </w:p>
    <w:p>
      <w:pPr>
        <w:pStyle w:val="ListBullet"/>
      </w:pPr>
      <w:r>
        <w:rPr>
          <w:i/>
        </w:rPr>
        <w:t>Green:</w:t>
      </w:r>
      <w:r>
        <w:t xml:space="preserve"> solar power + closed-loop water/effluent.</w:t>
      </w:r>
    </w:p>
    <w:p>
      <w:r>
        <w:rPr>
          <w:b/>
        </w:rPr>
        <w:t>P2 — Institutional-garment &amp; uniform programme (quick win).</w:t>
      </w:r>
    </w:p>
    <w:p>
      <w:pPr>
        <w:pStyle w:val="ListBullet"/>
      </w:pPr>
      <w:r>
        <w:rPr>
          <w:i/>
        </w:rPr>
        <w:t>Strategic:</w:t>
      </w:r>
      <w:r>
        <w:t xml:space="preserve"> guaranteed demand (schools, health, security, MDAs) anchors garment employment.</w:t>
      </w:r>
    </w:p>
    <w:p>
      <w:pPr>
        <w:pStyle w:val="ListBullet"/>
      </w:pPr>
      <w:r>
        <w:rPr>
          <w:i/>
        </w:rPr>
        <w:t>Quick-win element:</w:t>
      </w:r>
      <w:r>
        <w:t xml:space="preserve"> procurement policy can start immediately.</w:t>
      </w:r>
    </w:p>
    <w:p>
      <w:pPr>
        <w:pStyle w:val="ListBullet"/>
      </w:pPr>
      <w:r>
        <w:rPr>
          <w:i/>
        </w:rPr>
        <w:t>Green:</w:t>
      </w:r>
      <w:r>
        <w:t xml:space="preserve"> uses domestic, traceable cotton.</w:t>
      </w:r>
    </w:p>
    <w:p>
      <w:r>
        <w:rPr>
          <w:b/>
        </w:rPr>
        <w:t>P3 — Organic/traceable cotton + cottonseed processing (green + strategic).</w:t>
      </w:r>
    </w:p>
    <w:p>
      <w:pPr>
        <w:pStyle w:val="ListBullet"/>
      </w:pPr>
      <w:r>
        <w:rPr>
          <w:i/>
        </w:rPr>
        <w:t>Strategic:</w:t>
      </w:r>
      <w:r>
        <w:t xml:space="preserve"> premium export niche + by-product value.</w:t>
      </w:r>
    </w:p>
    <w:p>
      <w:pPr>
        <w:pStyle w:val="ListBullet"/>
      </w:pPr>
      <w:r>
        <w:rPr>
          <w:i/>
        </w:rPr>
        <w:t>Quick-win element:</w:t>
      </w:r>
      <w:r>
        <w:t xml:space="preserve"> certify existing low-input cotton; install cottonseed crushing.</w:t>
      </w:r>
    </w:p>
    <w:p>
      <w:pPr>
        <w:pStyle w:val="ListBullet"/>
      </w:pPr>
      <w:r>
        <w:rPr>
          <w:i/>
        </w:rPr>
        <w:t>Green:</w:t>
      </w:r>
      <w:r>
        <w:t xml:space="preserve"> organic certification; circular by-product use.</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(mivumba) policy</w:t>
            </w:r>
          </w:p>
        </w:tc>
        <w:tc>
          <w:tcPr>
            <w:tcW w:type="dxa" w:w="2351"/>
            <w:shd w:val="clear" w:color="auto" w:fill="EEF3F9"/>
          </w:tcPr>
          <w:p>
            <w:r>
              <w:rPr>
                <w:sz w:val="18"/>
              </w:rPr>
              <w:t>MTIC, MoFPED, MDAs</w:t>
            </w:r>
          </w:p>
        </w:tc>
        <w:tc>
          <w:tcPr>
            <w:tcW w:type="dxa" w:w="2351"/>
            <w:shd w:val="clear" w:color="auto" w:fill="EEF3F9"/>
          </w:tcPr>
          <w:p>
            <w:r>
              <w:rPr>
                <w:sz w:val="18"/>
              </w:rPr>
              <w:t>Procurement / policy</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lift ginnery utilisation from ~10%</w:t>
            </w:r>
          </w:p>
        </w:tc>
        <w:tc>
          <w:tcPr>
            <w:tcW w:type="dxa" w:w="2351"/>
            <w:shd w:val="clear" w:color="auto" w:fill="FFFFFF"/>
          </w:tcPr>
          <w:p>
            <w:r>
              <w:rPr>
                <w:sz w:val="18"/>
              </w:rPr>
              <w:t>CDO,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Shared 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Spinning/weaving/finishing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solar-powered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5: Pharmaceuticals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National Drug Authority (NDA) National Drug Register (June 2024); UNIDO </w:t>
      </w:r>
      <w:r>
        <w:rPr>
          <w:i/>
        </w:rPr>
        <w:t>Pharmaceutical Sector Profile — Uganda</w:t>
      </w:r>
      <w:r>
        <w:t>; UBOS; ITC TradeMap (2024). Full sources are in the consolidated References at the end of this report.</w:t>
      </w:r>
    </w:p>
    <w:p>
      <w:pPr>
        <w:pStyle w:val="Heading2"/>
      </w:pPr>
      <w:r>
        <w:t>5.0 Why Pharmaceuticals Matters for the Tenfold Growth Strategy</w:t>
      </w:r>
    </w:p>
    <w:p>
      <w:r>
        <w:t xml:space="preserve">Pharmaceuticals is a </w:t>
      </w:r>
      <w:r>
        <w:rPr>
          <w:b/>
        </w:rPr>
        <w:t>high-value, knowledge-intensive industry and a health-security imperative</w:t>
      </w:r>
      <w:r>
        <w:t xml:space="preserve">. A ten-times-larger economy needs a healthy, productive population and cannot remain ~90% dependent on imported medicines — a vulnerability the pandemic made plain. Uganda already has something rare in the region: a </w:t>
      </w:r>
      <w:r>
        <w:rPr>
          <w:b/>
        </w:rPr>
        <w:t>WHO-GMP, globally-prequalified manufacturer (Cipla QCIL)</w:t>
      </w:r>
      <w:r>
        <w:t xml:space="preserve"> exporting across Africa. Scaling local production of essential medicines substitutes a large import bill, builds resilience, and creates skilled jobs — exactly the kind of sophisticated manufacturing the tenfold ambition needs, anchored by guaranteed public and donor demand.</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API &amp; excipient supply</w:t>
            </w:r>
          </w:p>
        </w:tc>
        <w:tc>
          <w:tcPr>
            <w:tcW w:type="dxa" w:w="1881"/>
            <w:shd w:val="clear" w:color="auto" w:fill="EEF3F9"/>
          </w:tcPr>
          <w:p>
            <w:r>
              <w:rPr>
                <w:sz w:val="18"/>
              </w:rPr>
              <w:t>Chemicals</w:t>
            </w:r>
          </w:p>
        </w:tc>
        <w:tc>
          <w:tcPr>
            <w:tcW w:type="dxa" w:w="1881"/>
            <w:shd w:val="clear" w:color="auto" w:fill="EEF3F9"/>
          </w:tcPr>
          <w:p>
            <w:r>
              <w:rPr>
                <w:sz w:val="18"/>
              </w:rPr>
              <w:t>APIs, excipients</w:t>
            </w:r>
          </w:p>
        </w:tc>
        <w:tc>
          <w:tcPr>
            <w:tcW w:type="dxa" w:w="1881"/>
            <w:shd w:val="clear" w:color="auto" w:fill="EEF3F9"/>
          </w:tcPr>
          <w:p>
            <w:r>
              <w:rPr>
                <w:b/>
                <w:sz w:val="18"/>
              </w:rPr>
              <w:t>Gap</w:t>
            </w:r>
            <w:r>
              <w:rPr>
                <w:sz w:val="18"/>
              </w:rPr>
              <w:t xml:space="preserve"> — almost all imported</w:t>
            </w:r>
          </w:p>
        </w:tc>
      </w:tr>
      <w:tr>
        <w:tc>
          <w:tcPr>
            <w:tcW w:type="dxa" w:w="1881"/>
            <w:shd w:val="clear" w:color="auto" w:fill="FFFFFF"/>
          </w:tcPr>
          <w:p>
            <w:r>
              <w:rPr>
                <w:sz w:val="18"/>
              </w:rPr>
              <w:t>II</w:t>
            </w:r>
          </w:p>
        </w:tc>
        <w:tc>
          <w:tcPr>
            <w:tcW w:type="dxa" w:w="1881"/>
            <w:shd w:val="clear" w:color="auto" w:fill="FFFFFF"/>
          </w:tcPr>
          <w:p>
            <w:r>
              <w:rPr>
                <w:sz w:val="18"/>
              </w:rPr>
              <w:t>Formulation / manufacturing</w:t>
            </w:r>
          </w:p>
        </w:tc>
        <w:tc>
          <w:tcPr>
            <w:tcW w:type="dxa" w:w="1881"/>
            <w:shd w:val="clear" w:color="auto" w:fill="FFFFFF"/>
          </w:tcPr>
          <w:p>
            <w:r>
              <w:rPr>
                <w:sz w:val="18"/>
              </w:rPr>
              <w:t>APIs, excipients</w:t>
            </w:r>
          </w:p>
        </w:tc>
        <w:tc>
          <w:tcPr>
            <w:tcW w:type="dxa" w:w="1881"/>
            <w:shd w:val="clear" w:color="auto" w:fill="FFFFFF"/>
          </w:tcPr>
          <w:p>
            <w:r>
              <w:rPr>
                <w:sz w:val="18"/>
              </w:rPr>
              <w:t>Tablets, capsules, syrups, injectables</w:t>
            </w:r>
          </w:p>
        </w:tc>
        <w:tc>
          <w:tcPr>
            <w:tcW w:type="dxa" w:w="1881"/>
            <w:shd w:val="clear" w:color="auto" w:fill="FFFFFF"/>
          </w:tcPr>
          <w:p>
            <w:r>
              <w:rPr>
                <w:b/>
                <w:sz w:val="18"/>
              </w:rPr>
              <w:t>Established</w:t>
            </w:r>
            <w:r>
              <w:rPr>
                <w:sz w:val="18"/>
              </w:rPr>
              <w:t xml:space="preserve"> (QCIL et al.)</w:t>
            </w:r>
          </w:p>
        </w:tc>
      </w:tr>
      <w:tr>
        <w:tc>
          <w:tcPr>
            <w:tcW w:type="dxa" w:w="1881"/>
            <w:shd w:val="clear" w:color="auto" w:fill="EEF3F9"/>
          </w:tcPr>
          <w:p>
            <w:r>
              <w:rPr>
                <w:sz w:val="18"/>
              </w:rPr>
              <w:t>III</w:t>
            </w:r>
          </w:p>
        </w:tc>
        <w:tc>
          <w:tcPr>
            <w:tcW w:type="dxa" w:w="1881"/>
            <w:shd w:val="clear" w:color="auto" w:fill="EEF3F9"/>
          </w:tcPr>
          <w:p>
            <w:r>
              <w:rPr>
                <w:sz w:val="18"/>
              </w:rPr>
              <w:t>Packaging</w:t>
            </w:r>
          </w:p>
        </w:tc>
        <w:tc>
          <w:tcPr>
            <w:tcW w:type="dxa" w:w="1881"/>
            <w:shd w:val="clear" w:color="auto" w:fill="EEF3F9"/>
          </w:tcPr>
          <w:p>
            <w:r>
              <w:rPr>
                <w:sz w:val="18"/>
              </w:rPr>
              <w:t>Bulk product</w:t>
            </w:r>
          </w:p>
        </w:tc>
        <w:tc>
          <w:tcPr>
            <w:tcW w:type="dxa" w:w="1881"/>
            <w:shd w:val="clear" w:color="auto" w:fill="EEF3F9"/>
          </w:tcPr>
          <w:p>
            <w:r>
              <w:rPr>
                <w:sz w:val="18"/>
              </w:rPr>
              <w:t>Packaged medicines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Distribution</w:t>
            </w:r>
          </w:p>
        </w:tc>
        <w:tc>
          <w:tcPr>
            <w:tcW w:type="dxa" w:w="1881"/>
            <w:shd w:val="clear" w:color="auto" w:fill="FFFFFF"/>
          </w:tcPr>
          <w:p>
            <w:r>
              <w:rPr>
                <w:sz w:val="18"/>
              </w:rPr>
              <w:t>Medicines</w:t>
            </w:r>
          </w:p>
        </w:tc>
        <w:tc>
          <w:tcPr>
            <w:tcW w:type="dxa" w:w="1881"/>
            <w:shd w:val="clear" w:color="auto" w:fill="FFFFFF"/>
          </w:tcPr>
          <w:p>
            <w:r>
              <w:rPr>
                <w:sz w:val="18"/>
              </w:rPr>
              <w:t>NMS/JMS/wholesale supply</w:t>
            </w:r>
          </w:p>
        </w:tc>
        <w:tc>
          <w:tcPr>
            <w:tcW w:type="dxa" w:w="1881"/>
            <w:shd w:val="clear" w:color="auto" w:fill="FFFFFF"/>
          </w:tcPr>
          <w:p>
            <w:r>
              <w:rPr>
                <w:b/>
                <w:sz w:val="18"/>
              </w:rPr>
              <w:t>Active</w:t>
            </w:r>
          </w:p>
        </w:tc>
      </w:tr>
      <w:tr>
        <w:tc>
          <w:tcPr>
            <w:tcW w:type="dxa" w:w="1881"/>
            <w:shd w:val="clear" w:color="auto" w:fill="EEF3F9"/>
          </w:tcPr>
          <w:p>
            <w:r>
              <w:rPr>
                <w:sz w:val="18"/>
              </w:rPr>
              <w:t>V</w:t>
            </w:r>
          </w:p>
        </w:tc>
        <w:tc>
          <w:tcPr>
            <w:tcW w:type="dxa" w:w="1881"/>
            <w:shd w:val="clear" w:color="auto" w:fill="EEF3F9"/>
          </w:tcPr>
          <w:p>
            <w:r>
              <w:rPr>
                <w:sz w:val="18"/>
              </w:rPr>
              <w:t>Dispensing</w:t>
            </w:r>
          </w:p>
        </w:tc>
        <w:tc>
          <w:tcPr>
            <w:tcW w:type="dxa" w:w="1881"/>
            <w:shd w:val="clear" w:color="auto" w:fill="EEF3F9"/>
          </w:tcPr>
          <w:p>
            <w:r>
              <w:rPr>
                <w:sz w:val="18"/>
              </w:rPr>
              <w:t>Medicines</w:t>
            </w:r>
          </w:p>
        </w:tc>
        <w:tc>
          <w:tcPr>
            <w:tcW w:type="dxa" w:w="1881"/>
            <w:shd w:val="clear" w:color="auto" w:fill="EEF3F9"/>
          </w:tcPr>
          <w:p>
            <w:r>
              <w:rPr>
                <w:sz w:val="18"/>
              </w:rPr>
              <w:t>Pharmacies, hospitals, patients</w:t>
            </w:r>
          </w:p>
        </w:tc>
        <w:tc>
          <w:tcPr>
            <w:tcW w:type="dxa" w:w="1881"/>
            <w:shd w:val="clear" w:color="auto" w:fill="EEF3F9"/>
          </w:tcPr>
          <w:p>
            <w:r>
              <w:rPr>
                <w:b/>
                <w:sz w:val="18"/>
              </w:rPr>
              <w:t>Active</w:t>
            </w:r>
          </w:p>
        </w:tc>
      </w:tr>
    </w:tbl>
    <w:p/>
    <w:p>
      <w:r>
        <w:rPr>
          <w:b/>
        </w:rPr>
        <w:t>Where value is captured and lost.</w:t>
      </w:r>
      <w:r>
        <w:t xml:space="preserve"> Uganda imports roughly </w:t>
      </w:r>
      <w:r>
        <w:rPr>
          <w:b/>
        </w:rPr>
        <w:t>90% of its medicines</w:t>
      </w:r>
      <w:r>
        <w:t xml:space="preserve"> (down from 96% in 2016); the medical/pharmaceutical import bill was about </w:t>
      </w:r>
      <w:r>
        <w:rPr>
          <w:b/>
        </w:rPr>
        <w:t>USD 534 million in 2023</w:t>
      </w:r>
      <w:r>
        <w:t xml:space="preserve">, with medicaments (HS 3004) imports of </w:t>
      </w:r>
      <w:r>
        <w:rPr>
          <w:b/>
        </w:rPr>
        <w:t>USD 263.4 million in 2024</w:t>
      </w:r>
      <w:r>
        <w:t xml:space="preserve"> (ITC TradeMap). The domestic market is ~USD 221m (2023). Local manufacturing adds value at formulation/packaging but depends entirely on imported APIs — the deepest structural gap.</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Domestic market</w:t>
            </w:r>
          </w:p>
        </w:tc>
        <w:tc>
          <w:tcPr>
            <w:tcW w:type="dxa" w:w="3135"/>
            <w:shd w:val="clear" w:color="auto" w:fill="EEF3F9"/>
          </w:tcPr>
          <w:p>
            <w:r>
              <w:rPr>
                <w:sz w:val="18"/>
              </w:rPr>
              <w:t>~</w:t>
            </w:r>
            <w:r>
              <w:rPr>
                <w:b/>
                <w:sz w:val="18"/>
              </w:rPr>
              <w:t>USD 221m (2023)</w:t>
            </w:r>
            <w:r>
              <w:rPr>
                <w:sz w:val="18"/>
              </w:rPr>
              <w:t>, growing ~9.4%/yr</w:t>
            </w:r>
          </w:p>
        </w:tc>
        <w:tc>
          <w:tcPr>
            <w:tcW w:type="dxa" w:w="3135"/>
            <w:shd w:val="clear" w:color="auto" w:fill="EEF3F9"/>
          </w:tcPr>
          <w:p>
            <w:r>
              <w:rPr>
                <w:sz w:val="18"/>
              </w:rPr>
              <w:t>Statista; sector</w:t>
            </w:r>
          </w:p>
        </w:tc>
      </w:tr>
      <w:tr>
        <w:tc>
          <w:tcPr>
            <w:tcW w:type="dxa" w:w="3135"/>
            <w:shd w:val="clear" w:color="auto" w:fill="FFFFFF"/>
          </w:tcPr>
          <w:p>
            <w:r>
              <w:rPr>
                <w:sz w:val="18"/>
              </w:rPr>
              <w:t>Import dependence</w:t>
            </w:r>
          </w:p>
        </w:tc>
        <w:tc>
          <w:tcPr>
            <w:tcW w:type="dxa" w:w="3135"/>
            <w:shd w:val="clear" w:color="auto" w:fill="FFFFFF"/>
          </w:tcPr>
          <w:p>
            <w:r>
              <w:rPr>
                <w:b/>
                <w:sz w:val="18"/>
              </w:rPr>
              <w:t>~90% of medicines</w:t>
            </w:r>
            <w:r>
              <w:rPr>
                <w:sz w:val="18"/>
              </w:rPr>
              <w:t xml:space="preserve"> (was 96% in 2016)</w:t>
            </w:r>
          </w:p>
        </w:tc>
        <w:tc>
          <w:tcPr>
            <w:tcW w:type="dxa" w:w="3135"/>
            <w:shd w:val="clear" w:color="auto" w:fill="FFFFFF"/>
          </w:tcPr>
          <w:p>
            <w:r>
              <w:rPr>
                <w:sz w:val="18"/>
              </w:rPr>
              <w:t>UNIDO; sector</w:t>
            </w:r>
          </w:p>
        </w:tc>
      </w:tr>
      <w:tr>
        <w:tc>
          <w:tcPr>
            <w:tcW w:type="dxa" w:w="3135"/>
            <w:shd w:val="clear" w:color="auto" w:fill="EEF3F9"/>
          </w:tcPr>
          <w:p>
            <w:r>
              <w:rPr>
                <w:sz w:val="18"/>
              </w:rPr>
              <w:t>Medicaments imports (HS 3004)</w:t>
            </w:r>
          </w:p>
        </w:tc>
        <w:tc>
          <w:tcPr>
            <w:tcW w:type="dxa" w:w="3135"/>
            <w:shd w:val="clear" w:color="auto" w:fill="EEF3F9"/>
          </w:tcPr>
          <w:p>
            <w:r>
              <w:rPr>
                <w:b/>
                <w:sz w:val="18"/>
              </w:rPr>
              <w:t>USD 263.4m (2024)</w:t>
            </w:r>
          </w:p>
        </w:tc>
        <w:tc>
          <w:tcPr>
            <w:tcW w:type="dxa" w:w="3135"/>
            <w:shd w:val="clear" w:color="auto" w:fill="EEF3F9"/>
          </w:tcPr>
          <w:p>
            <w:r>
              <w:rPr>
                <w:sz w:val="18"/>
              </w:rPr>
              <w:t>ITC TradeMap</w:t>
            </w:r>
          </w:p>
        </w:tc>
      </w:tr>
      <w:tr>
        <w:tc>
          <w:tcPr>
            <w:tcW w:type="dxa" w:w="3135"/>
            <w:shd w:val="clear" w:color="auto" w:fill="FFFFFF"/>
          </w:tcPr>
          <w:p>
            <w:r>
              <w:rPr>
                <w:sz w:val="18"/>
              </w:rPr>
              <w:t>WHO-GMP-aligned manufacturers</w:t>
            </w:r>
          </w:p>
        </w:tc>
        <w:tc>
          <w:tcPr>
            <w:tcW w:type="dxa" w:w="3135"/>
            <w:shd w:val="clear" w:color="auto" w:fill="FFFFFF"/>
          </w:tcPr>
          <w:p>
            <w:r>
              <w:rPr>
                <w:b/>
                <w:sz w:val="18"/>
              </w:rPr>
              <w:t>6</w:t>
            </w:r>
          </w:p>
        </w:tc>
        <w:tc>
          <w:tcPr>
            <w:tcW w:type="dxa" w:w="3135"/>
            <w:shd w:val="clear" w:color="auto" w:fill="FFFFFF"/>
          </w:tcPr>
          <w:p>
            <w:r>
              <w:rPr>
                <w:sz w:val="18"/>
              </w:rPr>
              <w:t>NDA; UNIDO</w:t>
            </w:r>
          </w:p>
        </w:tc>
      </w:tr>
      <w:tr>
        <w:tc>
          <w:tcPr>
            <w:tcW w:type="dxa" w:w="3135"/>
            <w:shd w:val="clear" w:color="auto" w:fill="EEF3F9"/>
          </w:tcPr>
          <w:p>
            <w:r>
              <w:rPr>
                <w:sz w:val="18"/>
              </w:rPr>
              <w:t>Flagship</w:t>
            </w:r>
          </w:p>
        </w:tc>
        <w:tc>
          <w:tcPr>
            <w:tcW w:type="dxa" w:w="3135"/>
            <w:shd w:val="clear" w:color="auto" w:fill="EEF3F9"/>
          </w:tcPr>
          <w:p>
            <w:r>
              <w:rPr>
                <w:b/>
                <w:sz w:val="18"/>
              </w:rPr>
              <w:t>Cipla QCIL</w:t>
            </w:r>
            <w:r>
              <w:rPr>
                <w:sz w:val="18"/>
              </w:rPr>
              <w:t xml:space="preserve"> — ~1.2bn tablets/capsules/yr; ~UGX 267bn revenue (FY24/25)</w:t>
            </w:r>
          </w:p>
        </w:tc>
        <w:tc>
          <w:tcPr>
            <w:tcW w:type="dxa" w:w="3135"/>
            <w:shd w:val="clear" w:color="auto" w:fill="EEF3F9"/>
          </w:tcPr>
          <w:p>
            <w:r>
              <w:rPr>
                <w:sz w:val="18"/>
              </w:rPr>
              <w:t>QCIL; Cipla</w:t>
            </w:r>
          </w:p>
        </w:tc>
      </w:tr>
      <w:tr>
        <w:tc>
          <w:tcPr>
            <w:tcW w:type="dxa" w:w="3135"/>
            <w:shd w:val="clear" w:color="auto" w:fill="FFFFFF"/>
          </w:tcPr>
          <w:p>
            <w:r>
              <w:rPr>
                <w:sz w:val="18"/>
              </w:rPr>
              <w:t>Other manufacturers</w:t>
            </w:r>
          </w:p>
        </w:tc>
        <w:tc>
          <w:tcPr>
            <w:tcW w:type="dxa" w:w="3135"/>
            <w:shd w:val="clear" w:color="auto" w:fill="FFFFFF"/>
          </w:tcPr>
          <w:p>
            <w:r>
              <w:rPr>
                <w:sz w:val="18"/>
              </w:rPr>
              <w:t>KPI, Rene Industries, Abacus Pharma</w:t>
            </w:r>
          </w:p>
        </w:tc>
        <w:tc>
          <w:tcPr>
            <w:tcW w:type="dxa" w:w="3135"/>
            <w:shd w:val="clear" w:color="auto" w:fill="FFFFFF"/>
          </w:tcPr>
          <w:p>
            <w:r>
              <w:rPr>
                <w:sz w:val="18"/>
              </w:rPr>
              <w:t>NDA</w:t>
            </w:r>
          </w:p>
        </w:tc>
      </w:tr>
      <w:tr>
        <w:tc>
          <w:tcPr>
            <w:tcW w:type="dxa" w:w="3135"/>
            <w:shd w:val="clear" w:color="auto" w:fill="EEF3F9"/>
          </w:tcPr>
          <w:p>
            <w:r>
              <w:rPr>
                <w:sz w:val="18"/>
              </w:rPr>
              <w:t>Local pharma employment</w:t>
            </w:r>
          </w:p>
        </w:tc>
        <w:tc>
          <w:tcPr>
            <w:tcW w:type="dxa" w:w="3135"/>
            <w:shd w:val="clear" w:color="auto" w:fill="EEF3F9"/>
          </w:tcPr>
          <w:p>
            <w:r>
              <w:rPr>
                <w:sz w:val="18"/>
              </w:rPr>
              <w:t>+~42% (2017–2019)</w:t>
            </w:r>
          </w:p>
        </w:tc>
        <w:tc>
          <w:tcPr>
            <w:tcW w:type="dxa" w:w="3135"/>
            <w:shd w:val="clear" w:color="auto" w:fill="EEF3F9"/>
          </w:tcPr>
          <w:p>
            <w:r>
              <w:rPr>
                <w:sz w:val="18"/>
              </w:rPr>
              <w:t>UNIDO</w:t>
            </w:r>
          </w:p>
        </w:tc>
      </w:tr>
    </w:tbl>
    <w:p/>
    <w:p>
      <w:r>
        <w:rPr>
          <w:b/>
        </w:rPr>
        <w:t>Local manufacturing base.</w:t>
      </w:r>
      <w:r>
        <w:t xml:space="preserve"> Six </w:t>
      </w:r>
      <w:r>
        <w:rPr>
          <w:b/>
        </w:rPr>
        <w:t>WHO-GMP-aligned</w:t>
      </w:r>
      <w:r>
        <w:t xml:space="preserve"> manufacturers produce NDA-registered drugs. Flagship </w:t>
      </w:r>
      <w:r>
        <w:rPr>
          <w:b/>
        </w:rPr>
        <w:t>Cipla Quality Chemical Industries Ltd (QCIL)</w:t>
      </w:r>
      <w:r>
        <w:t xml:space="preserve"> (est. 2005) has capacity ~</w:t>
      </w:r>
      <w:r>
        <w:rPr>
          <w:b/>
        </w:rPr>
        <w:t>1.2 billion tablets/capsules per year</w:t>
      </w:r>
      <w:r>
        <w:t>, producing ARVs, antimalarials and a growing non-communicable-disease (NCD) portfolio, exporting across Africa; FY24/25 revenue ~</w:t>
      </w:r>
      <w:r>
        <w:rPr>
          <w:b/>
        </w:rPr>
        <w:t>UGX 267 billion</w:t>
      </w:r>
      <w:r>
        <w:t xml:space="preserve">. Others: </w:t>
      </w:r>
      <w:r>
        <w:rPr>
          <w:b/>
        </w:rPr>
        <w:t>KPI, Rene Industries, Abacus Pharma</w:t>
      </w:r>
      <w:r>
        <w:t>.</w:t>
      </w:r>
    </w:p>
    <w:p>
      <w:r>
        <w:rPr>
          <w:b/>
        </w:rPr>
        <w:t>Regulation.</w:t>
      </w:r>
      <w:r>
        <w:t xml:space="preserve"> The </w:t>
      </w:r>
      <w:r>
        <w:rPr>
          <w:b/>
        </w:rPr>
        <w:t>NDA</w:t>
      </w:r>
      <w:r>
        <w:t xml:space="preserve"> governs registration, importation, manufacturing standards and pharmacovigilance; the </w:t>
      </w:r>
      <w:r>
        <w:rPr>
          <w:b/>
        </w:rPr>
        <w:t>National Drug Register (June 2024)</w:t>
      </w:r>
      <w:r>
        <w:t xml:space="preserve"> is the reference.</w:t>
      </w:r>
    </w:p>
    <w:p>
      <w:r>
        <w:rPr>
          <w:b/>
        </w:rPr>
        <w:t>Trade position.</w:t>
      </w:r>
      <w:r>
        <w:t xml:space="preserve"> Medicaments (HS 3004) imports USD 263.4m dominate (India, Kenya, Europe); QCIL exports regionally but exports are small versus imports.</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221m (2023), +9.4%/yr; ~90% imported — large substitution headroom</w:t>
            </w:r>
          </w:p>
        </w:tc>
        <w:tc>
          <w:tcPr>
            <w:tcW w:type="dxa" w:w="3135"/>
            <w:shd w:val="clear" w:color="auto" w:fill="EEF3F9"/>
          </w:tcPr>
          <w:p>
            <w:r>
              <w:rPr>
                <w:sz w:val="18"/>
              </w:rPr>
              <w:t>Population, disease burden, UHC push, public/donor procurement</w:t>
            </w:r>
          </w:p>
        </w:tc>
      </w:tr>
      <w:tr>
        <w:tc>
          <w:tcPr>
            <w:tcW w:type="dxa" w:w="3135"/>
            <w:shd w:val="clear" w:color="auto" w:fill="FFFFFF"/>
          </w:tcPr>
          <w:p>
            <w:r>
              <w:rPr>
                <w:b/>
                <w:sz w:val="18"/>
              </w:rPr>
              <w:t>Regional (EAC + COMESA)</w:t>
            </w:r>
          </w:p>
        </w:tc>
        <w:tc>
          <w:tcPr>
            <w:tcW w:type="dxa" w:w="3135"/>
            <w:shd w:val="clear" w:color="auto" w:fill="FFFFFF"/>
          </w:tcPr>
          <w:p>
            <w:r>
              <w:rPr>
                <w:sz w:val="18"/>
              </w:rPr>
              <w:t>QCIL exports ARVs/antimalarials across Africa; donor disease programmes (HIV, malaria, TB) a structured market</w:t>
            </w:r>
          </w:p>
        </w:tc>
        <w:tc>
          <w:tcPr>
            <w:tcW w:type="dxa" w:w="3135"/>
            <w:shd w:val="clear" w:color="auto" w:fill="FFFFFF"/>
          </w:tcPr>
          <w:p>
            <w:r>
              <w:rPr>
                <w:sz w:val="18"/>
              </w:rPr>
              <w:t>EAC medicines harmonisation; donor demand</w:t>
            </w:r>
          </w:p>
        </w:tc>
      </w:tr>
      <w:tr>
        <w:tc>
          <w:tcPr>
            <w:tcW w:type="dxa" w:w="3135"/>
            <w:shd w:val="clear" w:color="auto" w:fill="EEF3F9"/>
          </w:tcPr>
          <w:p>
            <w:r>
              <w:rPr>
                <w:b/>
                <w:sz w:val="18"/>
              </w:rPr>
              <w:t>Continental (Africa)</w:t>
            </w:r>
          </w:p>
        </w:tc>
        <w:tc>
          <w:tcPr>
            <w:tcW w:type="dxa" w:w="3135"/>
            <w:shd w:val="clear" w:color="auto" w:fill="EEF3F9"/>
          </w:tcPr>
          <w:p>
            <w:r>
              <w:rPr>
                <w:sz w:val="18"/>
              </w:rPr>
              <w:t>Large import-met market; AfCFTA + African Medicines Agency; local-production push</w:t>
            </w:r>
          </w:p>
        </w:tc>
        <w:tc>
          <w:tcPr>
            <w:tcW w:type="dxa" w:w="3135"/>
            <w:shd w:val="clear" w:color="auto" w:fill="EEF3F9"/>
          </w:tcPr>
          <w:p>
            <w:r>
              <w:rPr>
                <w:sz w:val="18"/>
              </w:rPr>
              <w:t>Health security; AMA harmonisation</w:t>
            </w:r>
          </w:p>
        </w:tc>
      </w:tr>
      <w:tr>
        <w:tc>
          <w:tcPr>
            <w:tcW w:type="dxa" w:w="3135"/>
            <w:shd w:val="clear" w:color="auto" w:fill="FFFFFF"/>
          </w:tcPr>
          <w:p>
            <w:r>
              <w:rPr>
                <w:b/>
                <w:sz w:val="18"/>
              </w:rPr>
              <w:t>Global</w:t>
            </w:r>
          </w:p>
        </w:tc>
        <w:tc>
          <w:tcPr>
            <w:tcW w:type="dxa" w:w="3135"/>
            <w:shd w:val="clear" w:color="auto" w:fill="FFFFFF"/>
          </w:tcPr>
          <w:p>
            <w:r>
              <w:rPr>
                <w:sz w:val="18"/>
              </w:rPr>
              <w:t>WHO-prequalification opens global donor procurement for specific products (QCIL proven)</w:t>
            </w:r>
          </w:p>
        </w:tc>
        <w:tc>
          <w:tcPr>
            <w:tcW w:type="dxa" w:w="3135"/>
            <w:shd w:val="clear" w:color="auto" w:fill="FFFFFF"/>
          </w:tcPr>
          <w:p>
            <w:r>
              <w:rPr>
                <w:sz w:val="18"/>
              </w:rPr>
              <w:t>Donor-funded essential medicines</w:t>
            </w:r>
          </w:p>
        </w:tc>
      </w:tr>
    </w:tbl>
    <w:p/>
    <w:p>
      <w:pPr>
        <w:pStyle w:val="Heading3"/>
      </w:pPr>
      <w:r>
        <w:t>2040 projection — Tenfold logic</w:t>
      </w:r>
    </w:p>
    <w:p>
      <w:r>
        <w:t xml:space="preserve">At ~9.4%/yr the market roughly </w:t>
      </w:r>
      <w:r>
        <w:rPr>
          <w:b/>
        </w:rPr>
        <w:t>quadruples to ~USD 0.9–1.2 billion by 2040</w:t>
      </w:r>
      <w:r>
        <w:t xml:space="preserve">, and a ten-times-larger economy with universal-health-coverage ambitions pushes it higher. The strategic goal is to </w:t>
      </w:r>
      <w:r>
        <w:rPr>
          <w:b/>
        </w:rPr>
        <w:t>cut import dependence from ~90% toward a substantial domestic share</w:t>
      </w:r>
      <w:r>
        <w:t>, capturing that growth locally in essential generics and consumables, with donor/regional export of prequalified products. Other markets grow on business-as-usual + health-security localisation.</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API/excipient import dependence (inputs)</w:t>
            </w:r>
          </w:p>
        </w:tc>
        <w:tc>
          <w:tcPr>
            <w:tcW w:type="dxa" w:w="2351"/>
            <w:shd w:val="clear" w:color="auto" w:fill="EEF3F9"/>
          </w:tcPr>
          <w:p>
            <w:r>
              <w:rPr>
                <w:b/>
                <w:sz w:val="18"/>
              </w:rPr>
              <w:t>5</w:t>
            </w:r>
          </w:p>
        </w:tc>
        <w:tc>
          <w:tcPr>
            <w:tcW w:type="dxa" w:w="2351"/>
            <w:shd w:val="clear" w:color="auto" w:fill="EEF3F9"/>
          </w:tcPr>
          <w:p>
            <w:r>
              <w:rPr>
                <w:sz w:val="18"/>
              </w:rPr>
              <w:t>Near-total dependence on imported APIs — the deepest structural and supply-security risk</w:t>
            </w:r>
          </w:p>
        </w:tc>
      </w:tr>
      <w:tr>
        <w:tc>
          <w:tcPr>
            <w:tcW w:type="dxa" w:w="2351"/>
            <w:shd w:val="clear" w:color="auto" w:fill="FFFFFF"/>
          </w:tcPr>
          <w:p>
            <w:r>
              <w:rPr>
                <w:sz w:val="18"/>
              </w:rPr>
              <w:t>2</w:t>
            </w:r>
          </w:p>
        </w:tc>
        <w:tc>
          <w:tcPr>
            <w:tcW w:type="dxa" w:w="2351"/>
            <w:shd w:val="clear" w:color="auto" w:fill="FFFFFF"/>
          </w:tcPr>
          <w:p>
            <w:r>
              <w:rPr>
                <w:b/>
                <w:sz w:val="18"/>
              </w:rPr>
              <w:t>WHO-GMP / quality-systems depth (standards/technology)</w:t>
            </w:r>
          </w:p>
        </w:tc>
        <w:tc>
          <w:tcPr>
            <w:tcW w:type="dxa" w:w="2351"/>
            <w:shd w:val="clear" w:color="auto" w:fill="FFFFFF"/>
          </w:tcPr>
          <w:p>
            <w:r>
              <w:rPr>
                <w:b/>
                <w:sz w:val="18"/>
              </w:rPr>
              <w:t>5</w:t>
            </w:r>
          </w:p>
        </w:tc>
        <w:tc>
          <w:tcPr>
            <w:tcW w:type="dxa" w:w="2351"/>
            <w:shd w:val="clear" w:color="auto" w:fill="FFFFFF"/>
          </w:tcPr>
          <w:p>
            <w:r>
              <w:rPr>
                <w:sz w:val="18"/>
              </w:rPr>
              <w:t>GMP + NDA registration are the gatekeepers; capability exists (QCIL) but is concentrated; broader industry needs upgrading</w:t>
            </w:r>
          </w:p>
        </w:tc>
      </w:tr>
      <w:tr>
        <w:tc>
          <w:tcPr>
            <w:tcW w:type="dxa" w:w="2351"/>
            <w:shd w:val="clear" w:color="auto" w:fill="EEF3F9"/>
          </w:tcPr>
          <w:p>
            <w:r>
              <w:rPr>
                <w:sz w:val="18"/>
              </w:rPr>
              <w:t>3</w:t>
            </w:r>
          </w:p>
        </w:tc>
        <w:tc>
          <w:tcPr>
            <w:tcW w:type="dxa" w:w="2351"/>
            <w:shd w:val="clear" w:color="auto" w:fill="EEF3F9"/>
          </w:tcPr>
          <w:p>
            <w:r>
              <w:rPr>
                <w:b/>
                <w:sz w:val="18"/>
              </w:rPr>
              <w:t>Capital + long regulatory lead times (finance)</w:t>
            </w:r>
          </w:p>
        </w:tc>
        <w:tc>
          <w:tcPr>
            <w:tcW w:type="dxa" w:w="2351"/>
            <w:shd w:val="clear" w:color="auto" w:fill="EEF3F9"/>
          </w:tcPr>
          <w:p>
            <w:r>
              <w:rPr>
                <w:b/>
                <w:sz w:val="18"/>
              </w:rPr>
              <w:t>4</w:t>
            </w:r>
          </w:p>
        </w:tc>
        <w:tc>
          <w:tcPr>
            <w:tcW w:type="dxa" w:w="2351"/>
            <w:shd w:val="clear" w:color="auto" w:fill="EEF3F9"/>
          </w:tcPr>
          <w:p>
            <w:r>
              <w:rPr>
                <w:sz w:val="18"/>
              </w:rPr>
              <w:t>GMP plants are capital-intensive with multi-year approval cycles; patient capital scarce</w:t>
            </w:r>
          </w:p>
        </w:tc>
      </w:tr>
      <w:tr>
        <w:tc>
          <w:tcPr>
            <w:tcW w:type="dxa" w:w="2351"/>
            <w:shd w:val="clear" w:color="auto" w:fill="FFFFFF"/>
          </w:tcPr>
          <w:p>
            <w:r>
              <w:rPr>
                <w:sz w:val="18"/>
              </w:rPr>
              <w:t>4</w:t>
            </w:r>
          </w:p>
        </w:tc>
        <w:tc>
          <w:tcPr>
            <w:tcW w:type="dxa" w:w="2351"/>
            <w:shd w:val="clear" w:color="auto" w:fill="FFFFFF"/>
          </w:tcPr>
          <w:p>
            <w:r>
              <w:rPr>
                <w:b/>
                <w:sz w:val="18"/>
              </w:rPr>
              <w:t>Procurement/market access (policy)</w:t>
            </w:r>
          </w:p>
        </w:tc>
        <w:tc>
          <w:tcPr>
            <w:tcW w:type="dxa" w:w="2351"/>
            <w:shd w:val="clear" w:color="auto" w:fill="FFFFFF"/>
          </w:tcPr>
          <w:p>
            <w:r>
              <w:rPr>
                <w:b/>
                <w:sz w:val="18"/>
              </w:rPr>
              <w:t>4</w:t>
            </w:r>
          </w:p>
        </w:tc>
        <w:tc>
          <w:tcPr>
            <w:tcW w:type="dxa" w:w="2351"/>
            <w:shd w:val="clear" w:color="auto" w:fill="FFFFFF"/>
          </w:tcPr>
          <w:p>
            <w:r>
              <w:rPr>
                <w:sz w:val="18"/>
              </w:rPr>
              <w:t>Preferential public procurement (NMS/JMS) and NDA fees decisively shape local-production viability</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Pharmacists, QA/QC and regulatory-affairs specialists in short supply</w:t>
            </w:r>
          </w:p>
        </w:tc>
      </w:tr>
      <w:tr>
        <w:tc>
          <w:tcPr>
            <w:tcW w:type="dxa" w:w="2351"/>
            <w:shd w:val="clear" w:color="auto" w:fill="FFFFFF"/>
          </w:tcPr>
          <w:p>
            <w:r>
              <w:rPr>
                <w:sz w:val="18"/>
              </w:rPr>
              <w:t>6</w:t>
            </w:r>
          </w:p>
        </w:tc>
        <w:tc>
          <w:tcPr>
            <w:tcW w:type="dxa" w:w="2351"/>
            <w:shd w:val="clear" w:color="auto" w:fill="FFFFFF"/>
          </w:tcPr>
          <w:p>
            <w:r>
              <w:rPr>
                <w:b/>
                <w:sz w:val="18"/>
              </w:rPr>
              <w:t>Reliable power &amp; pharma-grade utilities (energy/water)</w:t>
            </w:r>
          </w:p>
        </w:tc>
        <w:tc>
          <w:tcPr>
            <w:tcW w:type="dxa" w:w="2351"/>
            <w:shd w:val="clear" w:color="auto" w:fill="FFFFFF"/>
          </w:tcPr>
          <w:p>
            <w:r>
              <w:rPr>
                <w:b/>
                <w:sz w:val="18"/>
              </w:rPr>
              <w:t>3</w:t>
            </w:r>
          </w:p>
        </w:tc>
        <w:tc>
          <w:tcPr>
            <w:tcW w:type="dxa" w:w="2351"/>
            <w:shd w:val="clear" w:color="auto" w:fill="FFFFFF"/>
          </w:tcPr>
          <w:p>
            <w:r>
              <w:rPr>
                <w:sz w:val="18"/>
              </w:rPr>
              <w:t>GMP needs uninterrupted clean power and pharma-grade water; backup adds cost</w:t>
            </w:r>
          </w:p>
        </w:tc>
      </w:tr>
      <w:tr>
        <w:tc>
          <w:tcPr>
            <w:tcW w:type="dxa" w:w="2351"/>
            <w:shd w:val="clear" w:color="auto" w:fill="EEF3F9"/>
          </w:tcPr>
          <w:p>
            <w:r>
              <w:rPr>
                <w:sz w:val="18"/>
              </w:rPr>
              <w:t>7</w:t>
            </w:r>
          </w:p>
        </w:tc>
        <w:tc>
          <w:tcPr>
            <w:tcW w:type="dxa" w:w="2351"/>
            <w:shd w:val="clear" w:color="auto" w:fill="EEF3F9"/>
          </w:tcPr>
          <w:p>
            <w:r>
              <w:rPr>
                <w:b/>
                <w:sz w:val="18"/>
              </w:rPr>
              <w:t>Cold-chain &amp; distribution logistics (infrastructure)</w:t>
            </w:r>
          </w:p>
        </w:tc>
        <w:tc>
          <w:tcPr>
            <w:tcW w:type="dxa" w:w="2351"/>
            <w:shd w:val="clear" w:color="auto" w:fill="EEF3F9"/>
          </w:tcPr>
          <w:p>
            <w:r>
              <w:rPr>
                <w:b/>
                <w:sz w:val="18"/>
              </w:rPr>
              <w:t>3</w:t>
            </w:r>
          </w:p>
        </w:tc>
        <w:tc>
          <w:tcPr>
            <w:tcW w:type="dxa" w:w="2351"/>
            <w:shd w:val="clear" w:color="auto" w:fill="EEF3F9"/>
          </w:tcPr>
          <w:p>
            <w:r>
              <w:rPr>
                <w:sz w:val="18"/>
              </w:rPr>
              <w:t>Cold-chain and reliable distribution required; landlocked costs raise API prices</w:t>
            </w:r>
          </w:p>
        </w:tc>
      </w:tr>
      <w:tr>
        <w:tc>
          <w:tcPr>
            <w:tcW w:type="dxa" w:w="2351"/>
            <w:shd w:val="clear" w:color="auto" w:fill="FFFFFF"/>
          </w:tcPr>
          <w:p>
            <w:r>
              <w:rPr>
                <w:sz w:val="18"/>
              </w:rPr>
              <w:t>8</w:t>
            </w:r>
          </w:p>
        </w:tc>
        <w:tc>
          <w:tcPr>
            <w:tcW w:type="dxa" w:w="2351"/>
            <w:shd w:val="clear" w:color="auto" w:fill="FFFFFF"/>
          </w:tcPr>
          <w:p>
            <w:r>
              <w:rPr>
                <w:b/>
                <w:sz w:val="18"/>
              </w:rPr>
              <w:t>Pharma waste handling (waste)</w:t>
            </w:r>
          </w:p>
        </w:tc>
        <w:tc>
          <w:tcPr>
            <w:tcW w:type="dxa" w:w="2351"/>
            <w:shd w:val="clear" w:color="auto" w:fill="FFFFFF"/>
          </w:tcPr>
          <w:p>
            <w:r>
              <w:rPr>
                <w:b/>
                <w:sz w:val="18"/>
              </w:rPr>
              <w:t>2</w:t>
            </w:r>
          </w:p>
        </w:tc>
        <w:tc>
          <w:tcPr>
            <w:tcW w:type="dxa" w:w="2351"/>
            <w:shd w:val="clear" w:color="auto" w:fill="FFFFFF"/>
          </w:tcPr>
          <w:p>
            <w:r>
              <w:rPr>
                <w:sz w:val="18"/>
              </w:rPr>
              <w:t>Incineration/effluent regulated under NEMA/NDA</w:t>
            </w:r>
          </w:p>
        </w:tc>
      </w:tr>
    </w:tbl>
    <w:p/>
    <w:p>
      <w:r>
        <w:t xml:space="preserve">The two critical constraints — </w:t>
      </w:r>
      <w:r>
        <w:rPr>
          <w:b/>
        </w:rPr>
        <w:t>API dependence</w:t>
      </w:r>
      <w:r>
        <w:t xml:space="preserve"> and </w:t>
      </w:r>
      <w:r>
        <w:rPr>
          <w:b/>
        </w:rPr>
        <w:t>GMP depth</w:t>
      </w:r>
      <w:r>
        <w:t xml:space="preserve"> — define the strategy: anchor on Uganda's proven GMP strength (QCIL) to scale finished essential medicines now, while selectively building API capability over time.</w:t>
      </w:r>
    </w:p>
    <w:p>
      <w:pPr>
        <w:pStyle w:val="Heading2"/>
      </w:pPr>
      <w:r>
        <w:t>5.E Greening &amp; Sustainability</w:t>
      </w:r>
    </w:p>
    <w:p>
      <w:r>
        <w:t xml:space="preserve">Green pharma is both a </w:t>
      </w:r>
      <w:r>
        <w:rPr>
          <w:b/>
        </w:rPr>
        <w:t>cost</w:t>
      </w:r>
      <w:r>
        <w:t xml:space="preserve"> and a </w:t>
      </w:r>
      <w:r>
        <w:rPr>
          <w:b/>
        </w:rPr>
        <w:t>compliance/market-access</w:t>
      </w:r>
      <w:r>
        <w:t xml:space="preserve"> play: GMP buyers and donors increasingly weigh environmental performance.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 and water-intensive GMP plants; pharmaceutical waste a regulated hazard</w:t>
            </w:r>
          </w:p>
        </w:tc>
      </w:tr>
      <w:tr>
        <w:tc>
          <w:tcPr>
            <w:tcW w:type="dxa" w:w="4703"/>
            <w:shd w:val="clear" w:color="auto" w:fill="FFFFFF"/>
          </w:tcPr>
          <w:p>
            <w:r>
              <w:rPr>
                <w:b/>
                <w:sz w:val="18"/>
              </w:rPr>
              <w:t>Current solutions</w:t>
            </w:r>
          </w:p>
        </w:tc>
        <w:tc>
          <w:tcPr>
            <w:tcW w:type="dxa" w:w="4703"/>
            <w:shd w:val="clear" w:color="auto" w:fill="FFFFFF"/>
          </w:tcPr>
          <w:p>
            <w:r>
              <w:rPr>
                <w:sz w:val="18"/>
              </w:rPr>
              <w:t>NEMA/NDA waste rules; incineration; QCIL's modern facility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Solar + reliable power</w:t>
            </w:r>
            <w:r>
              <w:rPr>
                <w:sz w:val="18"/>
              </w:rPr>
              <w:t xml:space="preserve"> and energy-efficient HVAC for GMP plants (cuts the high utility cost); (2) </w:t>
            </w:r>
            <w:r>
              <w:rPr>
                <w:b/>
                <w:sz w:val="18"/>
              </w:rPr>
              <w:t>pharma-grade water recycling</w:t>
            </w:r>
            <w:r>
              <w:rPr>
                <w:sz w:val="18"/>
              </w:rPr>
              <w:t xml:space="preserve">; (3) </w:t>
            </w:r>
            <w:r>
              <w:rPr>
                <w:b/>
                <w:sz w:val="18"/>
              </w:rPr>
              <w:t>green chemistry</w:t>
            </w:r>
            <w:r>
              <w:rPr>
                <w:sz w:val="18"/>
              </w:rPr>
              <w:t xml:space="preserve"> for any local API/excipient; (4) </w:t>
            </w:r>
            <w:r>
              <w:rPr>
                <w:b/>
                <w:sz w:val="18"/>
              </w:rPr>
              <w:t>proper take-back and incineration</w:t>
            </w:r>
            <w:r>
              <w:rPr>
                <w:sz w:val="18"/>
              </w:rPr>
              <w:t xml:space="preserve"> of pharmaceutical waste</w:t>
            </w:r>
          </w:p>
        </w:tc>
      </w:tr>
    </w:tbl>
    <w:p/>
    <w:p>
      <w:r>
        <w:rPr>
          <w:b/>
        </w:rPr>
        <w:t>Why it pays:</w:t>
      </w:r>
      <w:r>
        <w:t xml:space="preserve"> lower utility costs improve GMP-product competitiveness, and demonstrable environmental compliance eases WHO-prequalification and donor procurement.</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Essential generics (ARVs, antimalarials, anti-TB, NCD)</w:t>
            </w:r>
          </w:p>
        </w:tc>
        <w:tc>
          <w:tcPr>
            <w:tcW w:type="dxa" w:w="1176"/>
            <w:shd w:val="clear" w:color="auto" w:fill="EEF3F9"/>
          </w:tcPr>
          <w:p>
            <w:r>
              <w:rPr>
                <w:sz w:val="18"/>
              </w:rPr>
              <w:t>High</w:t>
            </w:r>
          </w:p>
        </w:tc>
        <w:tc>
          <w:tcPr>
            <w:tcW w:type="dxa" w:w="1176"/>
            <w:shd w:val="clear" w:color="auto" w:fill="EEF3F9"/>
          </w:tcPr>
          <w:p>
            <w:r>
              <w:rPr>
                <w:sz w:val="18"/>
              </w:rPr>
              <w:t>High (QCIL base)</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Medical consumables &amp; basic formulations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Local API / excipient (selective)</w:t>
            </w:r>
          </w:p>
        </w:tc>
        <w:tc>
          <w:tcPr>
            <w:tcW w:type="dxa" w:w="1176"/>
            <w:shd w:val="clear" w:color="auto" w:fill="EEF3F9"/>
          </w:tcPr>
          <w:p>
            <w:r>
              <w:rPr>
                <w:sz w:val="18"/>
              </w:rPr>
              <w:t>Medium</w:t>
            </w:r>
          </w:p>
        </w:tc>
        <w:tc>
          <w:tcPr>
            <w:tcW w:type="dxa" w:w="1176"/>
            <w:shd w:val="clear" w:color="auto" w:fill="EEF3F9"/>
          </w:tcPr>
          <w:p>
            <w:r>
              <w:rPr>
                <w:sz w:val="18"/>
              </w:rPr>
              <w:t>Low–Med</w:t>
            </w:r>
          </w:p>
        </w:tc>
        <w:tc>
          <w:tcPr>
            <w:tcW w:type="dxa" w:w="1176"/>
            <w:shd w:val="clear" w:color="auto" w:fill="EEF3F9"/>
          </w:tcPr>
          <w:p>
            <w:r>
              <w:rPr>
                <w:sz w:val="18"/>
              </w:rPr>
              <w:t>Low–Med</w:t>
            </w:r>
          </w:p>
        </w:tc>
        <w:tc>
          <w:tcPr>
            <w:tcW w:type="dxa" w:w="1176"/>
            <w:shd w:val="clear" w:color="auto" w:fill="EEF3F9"/>
          </w:tcPr>
          <w:p>
            <w:r>
              <w:rPr>
                <w:sz w:val="18"/>
              </w:rPr>
              <w:t>Medium</w:t>
            </w:r>
          </w:p>
        </w:tc>
        <w:tc>
          <w:tcPr>
            <w:tcW w:type="dxa" w:w="1176"/>
            <w:shd w:val="clear" w:color="auto" w:fill="EEF3F9"/>
          </w:tcPr>
          <w:p>
            <w:r>
              <w:rPr>
                <w:sz w:val="18"/>
              </w:rPr>
              <w:t>High (supply security)</w:t>
            </w:r>
          </w:p>
        </w:tc>
        <w:tc>
          <w:tcPr>
            <w:tcW w:type="dxa" w:w="1176"/>
            <w:shd w:val="clear" w:color="auto" w:fill="EEF3F9"/>
          </w:tcPr>
          <w:p>
            <w:r>
              <w:rPr>
                <w:sz w:val="18"/>
              </w:rPr>
              <w:t>Medium</w:t>
            </w:r>
          </w:p>
        </w:tc>
        <w:tc>
          <w:tcPr>
            <w:tcW w:type="dxa" w:w="1176"/>
            <w:shd w:val="clear" w:color="auto" w:fill="EEF3F9"/>
          </w:tcPr>
          <w:p>
            <w:r>
              <w:rPr>
                <w:b/>
                <w:sz w:val="18"/>
              </w:rPr>
              <w:t>Priority (strategic, longer-term)</w:t>
            </w:r>
          </w:p>
        </w:tc>
      </w:tr>
      <w:tr>
        <w:tc>
          <w:tcPr>
            <w:tcW w:type="dxa" w:w="1176"/>
            <w:shd w:val="clear" w:color="auto" w:fill="FFFFFF"/>
          </w:tcPr>
          <w:p>
            <w:r>
              <w:rPr>
                <w:sz w:val="18"/>
              </w:rPr>
              <w:t>Biologics / vaccines (fill-finish)</w:t>
            </w:r>
          </w:p>
        </w:tc>
        <w:tc>
          <w:tcPr>
            <w:tcW w:type="dxa" w:w="1176"/>
            <w:shd w:val="clear" w:color="auto" w:fill="FFFFFF"/>
          </w:tcPr>
          <w:p>
            <w:r>
              <w:rPr>
                <w:sz w:val="18"/>
              </w:rPr>
              <w:t>Medium</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API synthesis at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broad import substitution.</w:t>
      </w:r>
    </w:p>
    <w:p>
      <w:pPr>
        <w:pStyle w:val="ListNumber"/>
      </w:pPr>
      <w:r>
        <w:rPr>
          <w:b/>
        </w:rPr>
        <w:t>Selective local API/excipient production</w:t>
      </w:r>
      <w:r>
        <w:t xml:space="preserve"> — strategic, longer-term, to reduce the deepest dependency where volumes justify.</w:t>
      </w:r>
    </w:p>
    <w:p>
      <w:r>
        <w:rPr>
          <w:b/>
        </w:rPr>
        <w:t>Explicit deprioritization.</w:t>
      </w:r>
      <w:r>
        <w:t xml:space="preserve"> Uganda should </w:t>
      </w:r>
      <w:r>
        <w:rPr>
          <w:b/>
        </w:rPr>
        <w:t>not</w:t>
      </w:r>
      <w:r>
        <w:t xml:space="preserve"> attempt broad-spectrum API synthesis at scale now (capital- and chemistry-intensive beyond current competitiveness); vaccine fill-finish is conditional on regional initiatives. Focus on </w:t>
      </w:r>
      <w:r>
        <w:rPr>
          <w:b/>
        </w:rPr>
        <w:t>finished essential generics</w:t>
      </w:r>
      <w:r>
        <w:t xml:space="preserve"> where Uganda already competes.</w:t>
      </w:r>
    </w:p>
    <w:p>
      <w:pPr>
        <w:pStyle w:val="Heading2"/>
      </w:pPr>
      <w:r>
        <w:t>5.G Project Profiles</w:t>
      </w:r>
    </w:p>
    <w:p>
      <w:r>
        <w:rPr>
          <w:b/>
        </w:rPr>
        <w:t>P1 — Essential-generics capacity expansion (strategic anchor).</w:t>
      </w:r>
    </w:p>
    <w:p>
      <w:pPr>
        <w:pStyle w:val="ListBullet"/>
      </w:pPr>
      <w:r>
        <w:rPr>
          <w:i/>
        </w:rPr>
        <w:t>Strategic:</w:t>
      </w:r>
      <w:r>
        <w:t xml:space="preserve"> scales QCIL-class WHO-GMP output of ARVs/antimalarials/anti-TB/NCD; cuts the USD 263m import line and serves donor/regional markets.</w:t>
      </w:r>
    </w:p>
    <w:p>
      <w:pPr>
        <w:pStyle w:val="ListBullet"/>
      </w:pPr>
      <w:r>
        <w:rPr>
          <w:i/>
        </w:rPr>
        <w:t>Quick-win element:</w:t>
      </w:r>
      <w:r>
        <w:t xml:space="preserve"> preferential NMS/JMS procurement can fill capacity immediately.</w:t>
      </w:r>
    </w:p>
    <w:p>
      <w:pPr>
        <w:pStyle w:val="ListBullet"/>
      </w:pPr>
      <w:r>
        <w:rPr>
          <w:i/>
        </w:rPr>
        <w:t>Green:</w:t>
      </w:r>
      <w:r>
        <w:t xml:space="preserve"> solar/efficient GMP utilities.</w:t>
      </w:r>
    </w:p>
    <w:p>
      <w:r>
        <w:rPr>
          <w:b/>
        </w:rPr>
        <w:t>P2 — Medical consumables plant (quick win).</w:t>
      </w:r>
    </w:p>
    <w:p>
      <w:pPr>
        <w:pStyle w:val="ListBullet"/>
      </w:pPr>
      <w:r>
        <w:rPr>
          <w:i/>
        </w:rPr>
        <w:t>Strategic:</w:t>
      </w:r>
      <w:r>
        <w:t xml:space="preserve"> substitutes a broad consumables import line; job-rich; lower regulatory barrier than novel drugs.</w:t>
      </w:r>
    </w:p>
    <w:p>
      <w:pPr>
        <w:pStyle w:val="ListBullet"/>
      </w:pPr>
      <w:r>
        <w:rPr>
          <w:i/>
        </w:rPr>
        <w:t>Quick-win element:</w:t>
      </w:r>
      <w:r>
        <w:t xml:space="preserve"> shorter lead time than complex formulations.</w:t>
      </w:r>
    </w:p>
    <w:p>
      <w:pPr>
        <w:pStyle w:val="ListBullet"/>
      </w:pPr>
      <w:r>
        <w:rPr>
          <w:i/>
        </w:rPr>
        <w:t>Green:</w:t>
      </w:r>
      <w:r>
        <w:t xml:space="preserve"> energy-efficient, low-waste lines.</w:t>
      </w:r>
    </w:p>
    <w:p>
      <w:r>
        <w:rPr>
          <w:b/>
        </w:rPr>
        <w:t>P3 — Selective API/excipient facility (strategic, longer-term + green).</w:t>
      </w:r>
    </w:p>
    <w:p>
      <w:pPr>
        <w:pStyle w:val="ListBullet"/>
      </w:pPr>
      <w:r>
        <w:rPr>
          <w:i/>
        </w:rPr>
        <w:t>Strategic:</w:t>
      </w:r>
      <w:r>
        <w:t xml:space="preserve"> attacks the deepest dependency (imported APIs) for high-volume molecules.</w:t>
      </w:r>
    </w:p>
    <w:p>
      <w:pPr>
        <w:pStyle w:val="ListBullet"/>
      </w:pPr>
      <w:r>
        <w:rPr>
          <w:i/>
        </w:rPr>
        <w:t>Quick-win element:</w:t>
      </w:r>
      <w:r>
        <w:t xml:space="preserve"> start with one or two high-volume excipients/APIs.</w:t>
      </w:r>
    </w:p>
    <w:p>
      <w:pPr>
        <w:pStyle w:val="ListBullet"/>
      </w:pPr>
      <w:r>
        <w:rPr>
          <w:i/>
        </w:rPr>
        <w:t>Green:</w:t>
      </w:r>
      <w:r>
        <w:t xml:space="preserve"> green-chemistry process design.</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6: Petrochemicals &amp; Fertilizers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National Oil Company (UNOC); Petroleum Authority of Uganda (PAU); Osukuru Industrial Complex records; UBOS; ITC TradeMap (2024). Full sources are in the consolidated References at the end of this report.</w:t>
      </w:r>
    </w:p>
    <w:p>
      <w:pPr>
        <w:pStyle w:val="Heading2"/>
      </w:pPr>
      <w:r>
        <w:t>6.0 Why Petrochemicals &amp; Fertilizers Matters for the Tenfold Growth Strategy</w:t>
      </w:r>
    </w:p>
    <w:p>
      <w:r>
        <w:t xml:space="preserve">This chain feeds two tenfold pillars at once: </w:t>
      </w:r>
      <w:r>
        <w:rPr>
          <w:b/>
        </w:rPr>
        <w:t>Minerals/energy</w:t>
      </w:r>
      <w:r>
        <w:t xml:space="preserve"> (the oil refinery and petrochemical park) and </w:t>
      </w:r>
      <w:r>
        <w:rPr>
          <w:b/>
        </w:rPr>
        <w:t>agro-industrialisation</w:t>
      </w:r>
      <w:r>
        <w:t xml:space="preserve"> (fertilizer for farm productivity). A ten-times-larger economy cannot run on imported fuels, imported plastics feedstock, and near-zero domestic fertilizer while farm yields stay low for want of nutrients. Uganda has the assets in motion — a </w:t>
      </w:r>
      <w:r>
        <w:rPr>
          <w:b/>
        </w:rPr>
        <w:t>60,000 bpd refinery and the Kabalega Petrochemical Park</w:t>
      </w:r>
      <w:r>
        <w:t xml:space="preserve"> (investment agreement signed 2025) and </w:t>
      </w:r>
      <w:r>
        <w:rPr>
          <w:b/>
        </w:rPr>
        <w:t>phosphate resources at Sukulu</w:t>
      </w:r>
      <w:r>
        <w:t xml:space="preserve"> — but petrochemicals are pre-production and fertilizer output has stalled. Sequencing these correctly (fertilizer now; petrochemicals as the refinery comes on ~2029–30) is the tenfold play.</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Strand</w:t>
            </w:r>
          </w:p>
        </w:tc>
        <w:tc>
          <w:tcPr>
            <w:tcW w:type="dxa" w:w="1881"/>
            <w:shd w:val="clear" w:color="auto" w:fill="002B5B"/>
          </w:tcPr>
          <w:p>
            <w:r>
              <w:rPr>
                <w:b/>
                <w:color w:val="FFFFFF"/>
                <w:sz w:val="18"/>
              </w:rPr>
              <w:t>Phase</w:t>
            </w:r>
          </w:p>
        </w:tc>
        <w:tc>
          <w:tcPr>
            <w:tcW w:type="dxa" w:w="1881"/>
            <w:shd w:val="clear" w:color="auto" w:fill="002B5B"/>
          </w:tcPr>
          <w:p>
            <w:r>
              <w:rPr>
                <w:b/>
                <w:color w:val="FFFFFF"/>
                <w:sz w:val="18"/>
              </w:rPr>
              <w:t>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Petrochemicals</w:t>
            </w:r>
          </w:p>
        </w:tc>
        <w:tc>
          <w:tcPr>
            <w:tcW w:type="dxa" w:w="1881"/>
            <w:shd w:val="clear" w:color="auto" w:fill="EEF3F9"/>
          </w:tcPr>
          <w:p>
            <w:r>
              <w:rPr>
                <w:sz w:val="18"/>
              </w:rPr>
              <w:t>Refining</w:t>
            </w:r>
          </w:p>
        </w:tc>
        <w:tc>
          <w:tcPr>
            <w:tcW w:type="dxa" w:w="1881"/>
            <w:shd w:val="clear" w:color="auto" w:fill="EEF3F9"/>
          </w:tcPr>
          <w:p>
            <w:r>
              <w:rPr>
                <w:sz w:val="18"/>
              </w:rPr>
              <w:t>Crude oil</w:t>
            </w:r>
          </w:p>
        </w:tc>
        <w:tc>
          <w:tcPr>
            <w:tcW w:type="dxa" w:w="1881"/>
            <w:shd w:val="clear" w:color="auto" w:fill="EEF3F9"/>
          </w:tcPr>
          <w:p>
            <w:r>
              <w:rPr>
                <w:sz w:val="18"/>
              </w:rPr>
              <w:t>Fuels, LPG, naphtha, base chemicals</w:t>
            </w:r>
          </w:p>
        </w:tc>
        <w:tc>
          <w:tcPr>
            <w:tcW w:type="dxa" w:w="1881"/>
            <w:shd w:val="clear" w:color="auto" w:fill="EEF3F9"/>
          </w:tcPr>
          <w:p>
            <w:r>
              <w:rPr>
                <w:b/>
                <w:sz w:val="18"/>
              </w:rPr>
              <w:t>Pre-production</w:t>
            </w:r>
            <w:r>
              <w:rPr>
                <w:sz w:val="18"/>
              </w:rPr>
              <w:t xml:space="preserve"> (~2029–30)</w:t>
            </w:r>
          </w:p>
        </w:tc>
      </w:tr>
      <w:tr>
        <w:tc>
          <w:tcPr>
            <w:tcW w:type="dxa" w:w="1881"/>
            <w:shd w:val="clear" w:color="auto" w:fill="FFFFFF"/>
          </w:tcPr>
          <w:p>
            <w:r>
              <w:rPr>
                <w:sz w:val="18"/>
              </w:rPr>
              <w:t>Petrochemicals</w:t>
            </w:r>
          </w:p>
        </w:tc>
        <w:tc>
          <w:tcPr>
            <w:tcW w:type="dxa" w:w="1881"/>
            <w:shd w:val="clear" w:color="auto" w:fill="FFFFFF"/>
          </w:tcPr>
          <w:p>
            <w:r>
              <w:rPr>
                <w:sz w:val="18"/>
              </w:rPr>
              <w:t>Petrochemical processing</w:t>
            </w:r>
          </w:p>
        </w:tc>
        <w:tc>
          <w:tcPr>
            <w:tcW w:type="dxa" w:w="1881"/>
            <w:shd w:val="clear" w:color="auto" w:fill="FFFFFF"/>
          </w:tcPr>
          <w:p>
            <w:r>
              <w:rPr>
                <w:sz w:val="18"/>
              </w:rPr>
              <w:t>Naphtha/gas</w:t>
            </w:r>
          </w:p>
        </w:tc>
        <w:tc>
          <w:tcPr>
            <w:tcW w:type="dxa" w:w="1881"/>
            <w:shd w:val="clear" w:color="auto" w:fill="FFFFFF"/>
          </w:tcPr>
          <w:p>
            <w:r>
              <w:rPr>
                <w:sz w:val="18"/>
              </w:rPr>
              <w:t>Polymers, solvents, intermediates</w:t>
            </w:r>
          </w:p>
        </w:tc>
        <w:tc>
          <w:tcPr>
            <w:tcW w:type="dxa" w:w="1881"/>
            <w:shd w:val="clear" w:color="auto" w:fill="FFFFFF"/>
          </w:tcPr>
          <w:p>
            <w:r>
              <w:rPr>
                <w:b/>
                <w:sz w:val="18"/>
              </w:rPr>
              <w:t>Future</w:t>
            </w:r>
            <w:r>
              <w:rPr>
                <w:sz w:val="18"/>
              </w:rPr>
              <w:t xml:space="preserve"> (Kabalega park)</w:t>
            </w:r>
          </w:p>
        </w:tc>
      </w:tr>
      <w:tr>
        <w:tc>
          <w:tcPr>
            <w:tcW w:type="dxa" w:w="1881"/>
            <w:shd w:val="clear" w:color="auto" w:fill="EEF3F9"/>
          </w:tcPr>
          <w:p>
            <w:r>
              <w:rPr>
                <w:sz w:val="18"/>
              </w:rPr>
              <w:t>Fertilizers</w:t>
            </w:r>
          </w:p>
        </w:tc>
        <w:tc>
          <w:tcPr>
            <w:tcW w:type="dxa" w:w="1881"/>
            <w:shd w:val="clear" w:color="auto" w:fill="EEF3F9"/>
          </w:tcPr>
          <w:p>
            <w:r>
              <w:rPr>
                <w:sz w:val="18"/>
              </w:rPr>
              <w:t>Phosphate mining &amp; processing</w:t>
            </w:r>
          </w:p>
        </w:tc>
        <w:tc>
          <w:tcPr>
            <w:tcW w:type="dxa" w:w="1881"/>
            <w:shd w:val="clear" w:color="auto" w:fill="EEF3F9"/>
          </w:tcPr>
          <w:p>
            <w:r>
              <w:rPr>
                <w:sz w:val="18"/>
              </w:rPr>
              <w:t>Phosphate rock, sulphur</w:t>
            </w:r>
          </w:p>
        </w:tc>
        <w:tc>
          <w:tcPr>
            <w:tcW w:type="dxa" w:w="1881"/>
            <w:shd w:val="clear" w:color="auto" w:fill="EEF3F9"/>
          </w:tcPr>
          <w:p>
            <w:r>
              <w:rPr>
                <w:sz w:val="18"/>
              </w:rPr>
              <w:t>Phosphate fertilizer, sulphuric acid</w:t>
            </w:r>
          </w:p>
        </w:tc>
        <w:tc>
          <w:tcPr>
            <w:tcW w:type="dxa" w:w="1881"/>
            <w:shd w:val="clear" w:color="auto" w:fill="EEF3F9"/>
          </w:tcPr>
          <w:p>
            <w:r>
              <w:rPr>
                <w:b/>
                <w:sz w:val="18"/>
              </w:rPr>
              <w:t>Stalled</w:t>
            </w:r>
            <w:r>
              <w:rPr>
                <w:sz w:val="18"/>
              </w:rPr>
              <w:t xml:space="preserve"> (Sukulu)</w:t>
            </w:r>
          </w:p>
        </w:tc>
      </w:tr>
      <w:tr>
        <w:tc>
          <w:tcPr>
            <w:tcW w:type="dxa" w:w="1881"/>
            <w:shd w:val="clear" w:color="auto" w:fill="FFFFFF"/>
          </w:tcPr>
          <w:p>
            <w:r>
              <w:rPr>
                <w:sz w:val="18"/>
              </w:rPr>
              <w:t>Fertilizers</w:t>
            </w:r>
          </w:p>
        </w:tc>
        <w:tc>
          <w:tcPr>
            <w:tcW w:type="dxa" w:w="1881"/>
            <w:shd w:val="clear" w:color="auto" w:fill="FFFFFF"/>
          </w:tcPr>
          <w:p>
            <w:r>
              <w:rPr>
                <w:sz w:val="18"/>
              </w:rPr>
              <w:t>Blending</w:t>
            </w:r>
          </w:p>
        </w:tc>
        <w:tc>
          <w:tcPr>
            <w:tcW w:type="dxa" w:w="1881"/>
            <w:shd w:val="clear" w:color="auto" w:fill="FFFFFF"/>
          </w:tcPr>
          <w:p>
            <w:r>
              <w:rPr>
                <w:sz w:val="18"/>
              </w:rPr>
              <w:t>Imported/local nutrients</w:t>
            </w:r>
          </w:p>
        </w:tc>
        <w:tc>
          <w:tcPr>
            <w:tcW w:type="dxa" w:w="1881"/>
            <w:shd w:val="clear" w:color="auto" w:fill="FFFFFF"/>
          </w:tcPr>
          <w:p>
            <w:r>
              <w:rPr>
                <w:sz w:val="18"/>
              </w:rPr>
              <w:t>NPK blends</w:t>
            </w:r>
          </w:p>
        </w:tc>
        <w:tc>
          <w:tcPr>
            <w:tcW w:type="dxa" w:w="1881"/>
            <w:shd w:val="clear" w:color="auto" w:fill="FFFFFF"/>
          </w:tcPr>
          <w:p>
            <w:r>
              <w:rPr>
                <w:b/>
                <w:sz w:val="18"/>
              </w:rPr>
              <w:t>Limited</w:t>
            </w:r>
          </w:p>
        </w:tc>
      </w:tr>
      <w:tr>
        <w:tc>
          <w:tcPr>
            <w:tcW w:type="dxa" w:w="1881"/>
            <w:shd w:val="clear" w:color="auto" w:fill="EEF3F9"/>
          </w:tcPr>
          <w:p>
            <w:r>
              <w:rPr>
                <w:sz w:val="18"/>
              </w:rPr>
              <w:t>Both</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Fuel, plastics feedstock, fertilizer</w:t>
            </w:r>
          </w:p>
        </w:tc>
        <w:tc>
          <w:tcPr>
            <w:tcW w:type="dxa" w:w="1881"/>
            <w:shd w:val="clear" w:color="auto" w:fill="EEF3F9"/>
          </w:tcPr>
          <w:p>
            <w:r>
              <w:rPr>
                <w:b/>
                <w:sz w:val="18"/>
              </w:rPr>
              <w:t>Import-dependent</w:t>
            </w:r>
          </w:p>
        </w:tc>
      </w:tr>
    </w:tbl>
    <w:p/>
    <w:p>
      <w:r>
        <w:rPr>
          <w:b/>
        </w:rPr>
        <w:t>Where value is captured and lost.</w:t>
      </w:r>
      <w:r>
        <w:t xml:space="preserve"> Uganda imports refined fuels, plastics feedstock (Chapter 8 linkage), and most fertilizer. Mineral/chemical fertilizer (HS 3105) imports were ~</w:t>
      </w:r>
      <w:r>
        <w:rPr>
          <w:b/>
        </w:rPr>
        <w:t>USD 32.1 million in 2024</w:t>
      </w:r>
      <w:r>
        <w:t xml:space="preserve"> (ITC TradeMap), and total fertilizer need vastly exceeds domestic supply. The petrochemical base awaits the Kabaale refinery.</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Refinery</w:t>
            </w:r>
          </w:p>
        </w:tc>
        <w:tc>
          <w:tcPr>
            <w:tcW w:type="dxa" w:w="3135"/>
            <w:shd w:val="clear" w:color="auto" w:fill="EEF3F9"/>
          </w:tcPr>
          <w:p>
            <w:r>
              <w:rPr>
                <w:b/>
                <w:sz w:val="18"/>
              </w:rPr>
              <w:t>Kabaale (Hoima), 60,000 bpd</w:t>
            </w:r>
            <w:r>
              <w:rPr>
                <w:sz w:val="18"/>
              </w:rPr>
              <w:t>; investment agreement Mar 2025</w:t>
            </w:r>
          </w:p>
        </w:tc>
        <w:tc>
          <w:tcPr>
            <w:tcW w:type="dxa" w:w="3135"/>
            <w:shd w:val="clear" w:color="auto" w:fill="EEF3F9"/>
          </w:tcPr>
          <w:p>
            <w:r>
              <w:rPr>
                <w:sz w:val="18"/>
              </w:rPr>
              <w:t>UNOC; PAU</w:t>
            </w:r>
          </w:p>
        </w:tc>
      </w:tr>
      <w:tr>
        <w:tc>
          <w:tcPr>
            <w:tcW w:type="dxa" w:w="3135"/>
            <w:shd w:val="clear" w:color="auto" w:fill="FFFFFF"/>
          </w:tcPr>
          <w:p>
            <w:r>
              <w:rPr>
                <w:sz w:val="18"/>
              </w:rPr>
              <w:t>Refinery investor / structure</w:t>
            </w:r>
          </w:p>
        </w:tc>
        <w:tc>
          <w:tcPr>
            <w:tcW w:type="dxa" w:w="3135"/>
            <w:shd w:val="clear" w:color="auto" w:fill="FFFFFF"/>
          </w:tcPr>
          <w:p>
            <w:r>
              <w:rPr>
                <w:b/>
                <w:sz w:val="18"/>
              </w:rPr>
              <w:t>Alpha MBM Investments (UAE)</w:t>
            </w:r>
            <w:r>
              <w:rPr>
                <w:sz w:val="18"/>
              </w:rPr>
              <w:t>, Govt ~40% via UNOC; ~USD 4bn; ops ~2029–30</w:t>
            </w:r>
          </w:p>
        </w:tc>
        <w:tc>
          <w:tcPr>
            <w:tcW w:type="dxa" w:w="3135"/>
            <w:shd w:val="clear" w:color="auto" w:fill="FFFFFF"/>
          </w:tcPr>
          <w:p>
            <w:r>
              <w:rPr>
                <w:sz w:val="18"/>
              </w:rPr>
              <w:t>UNOC; PAU</w:t>
            </w:r>
          </w:p>
        </w:tc>
      </w:tr>
      <w:tr>
        <w:tc>
          <w:tcPr>
            <w:tcW w:type="dxa" w:w="3135"/>
            <w:shd w:val="clear" w:color="auto" w:fill="EEF3F9"/>
          </w:tcPr>
          <w:p>
            <w:r>
              <w:rPr>
                <w:sz w:val="18"/>
              </w:rPr>
              <w:t>Phosphate plant</w:t>
            </w:r>
          </w:p>
        </w:tc>
        <w:tc>
          <w:tcPr>
            <w:tcW w:type="dxa" w:w="3135"/>
            <w:shd w:val="clear" w:color="auto" w:fill="EEF3F9"/>
          </w:tcPr>
          <w:p>
            <w:r>
              <w:rPr>
                <w:b/>
                <w:sz w:val="18"/>
              </w:rPr>
              <w:t>Sukulu/Osukuru (Tororo)</w:t>
            </w:r>
            <w:r>
              <w:rPr>
                <w:sz w:val="18"/>
              </w:rPr>
              <w:t xml:space="preserve">, ~100,000 t/yr design — </w:t>
            </w:r>
            <w:r>
              <w:rPr>
                <w:b/>
                <w:sz w:val="18"/>
              </w:rPr>
              <w:t>shut 2021, brief 2023, halted</w:t>
            </w:r>
          </w:p>
        </w:tc>
        <w:tc>
          <w:tcPr>
            <w:tcW w:type="dxa" w:w="3135"/>
            <w:shd w:val="clear" w:color="auto" w:fill="EEF3F9"/>
          </w:tcPr>
          <w:p>
            <w:r>
              <w:rPr>
                <w:sz w:val="18"/>
              </w:rPr>
              <w:t>Osukuru records</w:t>
            </w:r>
          </w:p>
        </w:tc>
      </w:tr>
      <w:tr>
        <w:tc>
          <w:tcPr>
            <w:tcW w:type="dxa" w:w="3135"/>
            <w:shd w:val="clear" w:color="auto" w:fill="FFFFFF"/>
          </w:tcPr>
          <w:p>
            <w:r>
              <w:rPr>
                <w:sz w:val="18"/>
              </w:rPr>
              <w:t>Fertilizer use vs need</w:t>
            </w:r>
          </w:p>
        </w:tc>
        <w:tc>
          <w:tcPr>
            <w:tcW w:type="dxa" w:w="3135"/>
            <w:shd w:val="clear" w:color="auto" w:fill="FFFFFF"/>
          </w:tcPr>
          <w:p>
            <w:r>
              <w:rPr>
                <w:b/>
                <w:sz w:val="18"/>
              </w:rPr>
              <w:t>~50,000 t imported vs ~1,000,000 t need</w:t>
            </w:r>
          </w:p>
        </w:tc>
        <w:tc>
          <w:tcPr>
            <w:tcW w:type="dxa" w:w="3135"/>
            <w:shd w:val="clear" w:color="auto" w:fill="FFFFFF"/>
          </w:tcPr>
          <w:p>
            <w:r>
              <w:rPr>
                <w:sz w:val="18"/>
              </w:rPr>
              <w:t>sector; MAAIF</w:t>
            </w:r>
          </w:p>
        </w:tc>
      </w:tr>
      <w:tr>
        <w:tc>
          <w:tcPr>
            <w:tcW w:type="dxa" w:w="3135"/>
            <w:shd w:val="clear" w:color="auto" w:fill="EEF3F9"/>
          </w:tcPr>
          <w:p>
            <w:r>
              <w:rPr>
                <w:sz w:val="18"/>
              </w:rPr>
              <w:t>Fertilizer imports (HS 3105)</w:t>
            </w:r>
          </w:p>
        </w:tc>
        <w:tc>
          <w:tcPr>
            <w:tcW w:type="dxa" w:w="3135"/>
            <w:shd w:val="clear" w:color="auto" w:fill="EEF3F9"/>
          </w:tcPr>
          <w:p>
            <w:r>
              <w:rPr>
                <w:sz w:val="18"/>
              </w:rPr>
              <w:t>~USD 32.1m (2024)</w:t>
            </w:r>
          </w:p>
        </w:tc>
        <w:tc>
          <w:tcPr>
            <w:tcW w:type="dxa" w:w="3135"/>
            <w:shd w:val="clear" w:color="auto" w:fill="EEF3F9"/>
          </w:tcPr>
          <w:p>
            <w:r>
              <w:rPr>
                <w:sz w:val="18"/>
              </w:rPr>
              <w:t>ITC TradeMap</w:t>
            </w:r>
          </w:p>
        </w:tc>
      </w:tr>
    </w:tbl>
    <w:p/>
    <w:p>
      <w:r>
        <w:rPr>
          <w:b/>
        </w:rPr>
        <w:t>Petrochemicals (pre-production).</w:t>
      </w:r>
      <w:r>
        <w:t xml:space="preserve"> Anchored on the </w:t>
      </w:r>
      <w:r>
        <w:rPr>
          <w:b/>
        </w:rPr>
        <w:t>Kabaale refinery (60,000 bpd)</w:t>
      </w:r>
      <w:r>
        <w:t xml:space="preserve"> and </w:t>
      </w:r>
      <w:r>
        <w:rPr>
          <w:b/>
        </w:rPr>
        <w:t>Kabalega Petrochemical Industrial Park</w:t>
      </w:r>
      <w:r>
        <w:t xml:space="preserve">; </w:t>
      </w:r>
      <w:r>
        <w:rPr>
          <w:b/>
        </w:rPr>
        <w:t>March 2025 implementation agreement with Alpha MBM Investments (UAE)</w:t>
      </w:r>
      <w:r>
        <w:t xml:space="preserve"> (Government ~40% via UNOC), ~USD 4bn, operations ~</w:t>
      </w:r>
      <w:r>
        <w:rPr>
          <w:b/>
        </w:rPr>
        <w:t>2029–30</w:t>
      </w:r>
      <w:r>
        <w:t xml:space="preserve"> (UNOC; PAU). Until then, all polymers and refined products are imported.</w:t>
      </w:r>
    </w:p>
    <w:p>
      <w:r>
        <w:rPr>
          <w:b/>
        </w:rPr>
        <w:t>Fertilizers (stalled).</w:t>
      </w:r>
      <w:r>
        <w:t xml:space="preserve"> The </w:t>
      </w:r>
      <w:r>
        <w:rPr>
          <w:b/>
        </w:rPr>
        <w:t>Sukulu/Osukuru complex</w:t>
      </w:r>
      <w:r>
        <w:t xml:space="preserve"> (Guangzhou Dongsong), commissioned 2018 with ~100,000 t/yr phosphate-fertilizer design (plus sulphuric-acid and steel units), </w:t>
      </w:r>
      <w:r>
        <w:rPr>
          <w:b/>
        </w:rPr>
        <w:t>shut in 2021 after losing financing, briefly resumed in 2023, then halted</w:t>
      </w:r>
      <w:r>
        <w:t>. Uganda imports ~</w:t>
      </w:r>
      <w:r>
        <w:rPr>
          <w:b/>
        </w:rPr>
        <w:t>50,000 t</w:t>
      </w:r>
      <w:r>
        <w:t xml:space="preserve"> of fertilizer against an estimated need approaching </w:t>
      </w:r>
      <w:r>
        <w:rPr>
          <w:b/>
        </w:rPr>
        <w:t>1 million tonnes</w:t>
      </w:r>
      <w:r>
        <w:t xml:space="preserve"> for effective agricultural intensification.</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Huge unmet fertilizer demand (~50,000 t vs ~1m t need); fuel &amp; plastics-feedstock demand large but awaiting refinery</w:t>
            </w:r>
          </w:p>
        </w:tc>
        <w:tc>
          <w:tcPr>
            <w:tcW w:type="dxa" w:w="3135"/>
            <w:shd w:val="clear" w:color="auto" w:fill="EEF3F9"/>
          </w:tcPr>
          <w:p>
            <w:r>
              <w:rPr>
                <w:sz w:val="18"/>
              </w:rPr>
              <w:t>Agricultural intensification; industrialisation; motorisation</w:t>
            </w:r>
          </w:p>
        </w:tc>
      </w:tr>
      <w:tr>
        <w:tc>
          <w:tcPr>
            <w:tcW w:type="dxa" w:w="3135"/>
            <w:shd w:val="clear" w:color="auto" w:fill="FFFFFF"/>
          </w:tcPr>
          <w:p>
            <w:r>
              <w:rPr>
                <w:b/>
                <w:sz w:val="18"/>
              </w:rPr>
              <w:t>Regional (EAC + COMESA)</w:t>
            </w:r>
          </w:p>
        </w:tc>
        <w:tc>
          <w:tcPr>
            <w:tcW w:type="dxa" w:w="3135"/>
            <w:shd w:val="clear" w:color="auto" w:fill="FFFFFF"/>
          </w:tcPr>
          <w:p>
            <w:r>
              <w:rPr>
                <w:sz w:val="18"/>
              </w:rPr>
              <w:t>A functioning refinery would supply regional fuel/petrochemicals; fertilizer blending could serve regional agriculture (post-2029)</w:t>
            </w:r>
          </w:p>
        </w:tc>
        <w:tc>
          <w:tcPr>
            <w:tcW w:type="dxa" w:w="3135"/>
            <w:shd w:val="clear" w:color="auto" w:fill="FFFFFF"/>
          </w:tcPr>
          <w:p>
            <w:r>
              <w:rPr>
                <w:sz w:val="18"/>
              </w:rPr>
              <w:t>Regional fuel deficit; agriculture</w:t>
            </w:r>
          </w:p>
        </w:tc>
      </w:tr>
      <w:tr>
        <w:tc>
          <w:tcPr>
            <w:tcW w:type="dxa" w:w="3135"/>
            <w:shd w:val="clear" w:color="auto" w:fill="EEF3F9"/>
          </w:tcPr>
          <w:p>
            <w:r>
              <w:rPr>
                <w:b/>
                <w:sz w:val="18"/>
              </w:rPr>
              <w:t>Continental (Africa)</w:t>
            </w:r>
          </w:p>
        </w:tc>
        <w:tc>
          <w:tcPr>
            <w:tcW w:type="dxa" w:w="3135"/>
            <w:shd w:val="clear" w:color="auto" w:fill="EEF3F9"/>
          </w:tcPr>
          <w:p>
            <w:r>
              <w:rPr>
                <w:sz w:val="18"/>
              </w:rPr>
              <w:t>Africa is a large fertilizer importer; AfCFTA access</w:t>
            </w:r>
          </w:p>
        </w:tc>
        <w:tc>
          <w:tcPr>
            <w:tcW w:type="dxa" w:w="3135"/>
            <w:shd w:val="clear" w:color="auto" w:fill="EEF3F9"/>
          </w:tcPr>
          <w:p>
            <w:r>
              <w:rPr>
                <w:sz w:val="18"/>
              </w:rPr>
              <w:t>Food-security drive; fertilizer localisation</w:t>
            </w:r>
          </w:p>
        </w:tc>
      </w:tr>
      <w:tr>
        <w:tc>
          <w:tcPr>
            <w:tcW w:type="dxa" w:w="3135"/>
            <w:shd w:val="clear" w:color="auto" w:fill="FFFFFF"/>
          </w:tcPr>
          <w:p>
            <w:r>
              <w:rPr>
                <w:b/>
                <w:sz w:val="18"/>
              </w:rPr>
              <w:t>Global</w:t>
            </w:r>
          </w:p>
        </w:tc>
        <w:tc>
          <w:tcPr>
            <w:tcW w:type="dxa" w:w="3135"/>
            <w:shd w:val="clear" w:color="auto" w:fill="FFFFFF"/>
          </w:tcPr>
          <w:p>
            <w:r>
              <w:rPr>
                <w:sz w:val="18"/>
              </w:rPr>
              <w:t>Not relevant medium-term; chain is about domestic/regional substitution</w:t>
            </w:r>
          </w:p>
        </w:tc>
        <w:tc>
          <w:tcPr>
            <w:tcW w:type="dxa" w:w="3135"/>
            <w:shd w:val="clear" w:color="auto" w:fill="FFFFFF"/>
          </w:tcPr>
          <w:p>
            <w:r>
              <w:rPr>
                <w:sz w:val="18"/>
              </w:rPr>
              <w:t>—</w:t>
            </w:r>
          </w:p>
        </w:tc>
      </w:tr>
    </w:tbl>
    <w:p/>
    <w:p>
      <w:pPr>
        <w:pStyle w:val="Heading3"/>
      </w:pPr>
      <w:r>
        <w:t>2040 projection — Tenfold logic</w:t>
      </w:r>
    </w:p>
    <w:p>
      <w:r>
        <w:t xml:space="preserve">Agricultural intensification toward tenfold farm output implies fertilizer demand rising from today's ~1m t </w:t>
      </w:r>
      <w:r>
        <w:rPr>
          <w:i/>
        </w:rPr>
        <w:t>need</w:t>
      </w:r>
      <w:r>
        <w:t xml:space="preserve"> toward </w:t>
      </w:r>
      <w:r>
        <w:rPr>
          <w:b/>
        </w:rPr>
        <w:t>~1.5–2 million tonnes a year by 2040</w:t>
      </w:r>
      <w:r>
        <w:t xml:space="preserve">, while a refinery + petrochemical park would localise a large fuels-and-polymers market (feedstock for the Plastics chain, Chapter 8). The sequence is decisive: </w:t>
      </w:r>
      <w:r>
        <w:rPr>
          <w:b/>
        </w:rPr>
        <w:t>fertilizer first</w:t>
      </w:r>
      <w:r>
        <w:t xml:space="preserve"> (food security can't wait for 2029), </w:t>
      </w:r>
      <w:r>
        <w:rPr>
          <w:b/>
        </w:rPr>
        <w:t>petrochemicals as the refinery comes online</w:t>
      </w:r>
      <w:r>
        <w:t>. Other markets grow on business-as-usual.</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Stalled phosphate processing / fertilizer supply (inputs)</w:t>
            </w:r>
          </w:p>
        </w:tc>
        <w:tc>
          <w:tcPr>
            <w:tcW w:type="dxa" w:w="2351"/>
            <w:shd w:val="clear" w:color="auto" w:fill="EEF3F9"/>
          </w:tcPr>
          <w:p>
            <w:r>
              <w:rPr>
                <w:b/>
                <w:sz w:val="18"/>
              </w:rPr>
              <w:t>5</w:t>
            </w:r>
          </w:p>
        </w:tc>
        <w:tc>
          <w:tcPr>
            <w:tcW w:type="dxa" w:w="2351"/>
            <w:shd w:val="clear" w:color="auto" w:fill="EEF3F9"/>
          </w:tcPr>
          <w:p>
            <w:r>
              <w:rPr>
                <w:sz w:val="18"/>
              </w:rPr>
              <w:t>Sukulu shut since 2021/23; ~50,000 t vs ~1m t need — a food-security and productivity constraint</w:t>
            </w:r>
          </w:p>
        </w:tc>
      </w:tr>
      <w:tr>
        <w:tc>
          <w:tcPr>
            <w:tcW w:type="dxa" w:w="2351"/>
            <w:shd w:val="clear" w:color="auto" w:fill="FFFFFF"/>
          </w:tcPr>
          <w:p>
            <w:r>
              <w:rPr>
                <w:sz w:val="18"/>
              </w:rPr>
              <w:t>2</w:t>
            </w:r>
          </w:p>
        </w:tc>
        <w:tc>
          <w:tcPr>
            <w:tcW w:type="dxa" w:w="2351"/>
            <w:shd w:val="clear" w:color="auto" w:fill="FFFFFF"/>
          </w:tcPr>
          <w:p>
            <w:r>
              <w:rPr>
                <w:b/>
                <w:sz w:val="18"/>
              </w:rPr>
              <w:t>Very large capital + financing fragility (finance)</w:t>
            </w:r>
          </w:p>
        </w:tc>
        <w:tc>
          <w:tcPr>
            <w:tcW w:type="dxa" w:w="2351"/>
            <w:shd w:val="clear" w:color="auto" w:fill="FFFFFF"/>
          </w:tcPr>
          <w:p>
            <w:r>
              <w:rPr>
                <w:b/>
                <w:sz w:val="18"/>
              </w:rPr>
              <w:t>5</w:t>
            </w:r>
          </w:p>
        </w:tc>
        <w:tc>
          <w:tcPr>
            <w:tcW w:type="dxa" w:w="2351"/>
            <w:shd w:val="clear" w:color="auto" w:fill="FFFFFF"/>
          </w:tcPr>
          <w:p>
            <w:r>
              <w:rPr>
                <w:sz w:val="18"/>
              </w:rPr>
              <w:t>Refinery ~USD 4bn; Sukulu's collapse shows financing fragility; both strands capital-intensive</w:t>
            </w:r>
          </w:p>
        </w:tc>
      </w:tr>
      <w:tr>
        <w:tc>
          <w:tcPr>
            <w:tcW w:type="dxa" w:w="2351"/>
            <w:shd w:val="clear" w:color="auto" w:fill="EEF3F9"/>
          </w:tcPr>
          <w:p>
            <w:r>
              <w:rPr>
                <w:sz w:val="18"/>
              </w:rPr>
              <w:t>3</w:t>
            </w:r>
          </w:p>
        </w:tc>
        <w:tc>
          <w:tcPr>
            <w:tcW w:type="dxa" w:w="2351"/>
            <w:shd w:val="clear" w:color="auto" w:fill="EEF3F9"/>
          </w:tcPr>
          <w:p>
            <w:r>
              <w:rPr>
                <w:b/>
                <w:sz w:val="18"/>
              </w:rPr>
              <w:t>Feedstock timing — refinery pre-2029 (inputs/sequencing)</w:t>
            </w:r>
          </w:p>
        </w:tc>
        <w:tc>
          <w:tcPr>
            <w:tcW w:type="dxa" w:w="2351"/>
            <w:shd w:val="clear" w:color="auto" w:fill="EEF3F9"/>
          </w:tcPr>
          <w:p>
            <w:r>
              <w:rPr>
                <w:b/>
                <w:sz w:val="18"/>
              </w:rPr>
              <w:t>4</w:t>
            </w:r>
          </w:p>
        </w:tc>
        <w:tc>
          <w:tcPr>
            <w:tcW w:type="dxa" w:w="2351"/>
            <w:shd w:val="clear" w:color="auto" w:fill="EEF3F9"/>
          </w:tcPr>
          <w:p>
            <w:r>
              <w:rPr>
                <w:sz w:val="18"/>
              </w:rPr>
              <w:t>No domestic petrochemical feedstock until ~2029–30; premature downstream investment is risky</w:t>
            </w:r>
          </w:p>
        </w:tc>
      </w:tr>
      <w:tr>
        <w:tc>
          <w:tcPr>
            <w:tcW w:type="dxa" w:w="2351"/>
            <w:shd w:val="clear" w:color="auto" w:fill="FFFFFF"/>
          </w:tcPr>
          <w:p>
            <w:r>
              <w:rPr>
                <w:sz w:val="18"/>
              </w:rPr>
              <w:t>4</w:t>
            </w:r>
          </w:p>
        </w:tc>
        <w:tc>
          <w:tcPr>
            <w:tcW w:type="dxa" w:w="2351"/>
            <w:shd w:val="clear" w:color="auto" w:fill="FFFFFF"/>
          </w:tcPr>
          <w:p>
            <w:r>
              <w:rPr>
                <w:b/>
                <w:sz w:val="18"/>
              </w:rPr>
              <w:t>Fertilizer quality &amp; distribution (standards/logistics)</w:t>
            </w:r>
          </w:p>
        </w:tc>
        <w:tc>
          <w:tcPr>
            <w:tcW w:type="dxa" w:w="2351"/>
            <w:shd w:val="clear" w:color="auto" w:fill="FFFFFF"/>
          </w:tcPr>
          <w:p>
            <w:r>
              <w:rPr>
                <w:b/>
                <w:sz w:val="18"/>
              </w:rPr>
              <w:t>4</w:t>
            </w:r>
          </w:p>
        </w:tc>
        <w:tc>
          <w:tcPr>
            <w:tcW w:type="dxa" w:w="2351"/>
            <w:shd w:val="clear" w:color="auto" w:fill="FFFFFF"/>
          </w:tcPr>
          <w:p>
            <w:r>
              <w:rPr>
                <w:sz w:val="18"/>
              </w:rPr>
              <w:t>Adulterated fertilizer a market problem (UNBS); rural distribution to farmers weak</w:t>
            </w:r>
          </w:p>
        </w:tc>
      </w:tr>
      <w:tr>
        <w:tc>
          <w:tcPr>
            <w:tcW w:type="dxa" w:w="2351"/>
            <w:shd w:val="clear" w:color="auto" w:fill="EEF3F9"/>
          </w:tcPr>
          <w:p>
            <w:r>
              <w:rPr>
                <w:sz w:val="18"/>
              </w:rPr>
              <w:t>5</w:t>
            </w:r>
          </w:p>
        </w:tc>
        <w:tc>
          <w:tcPr>
            <w:tcW w:type="dxa" w:w="2351"/>
            <w:shd w:val="clear" w:color="auto" w:fill="EEF3F9"/>
          </w:tcPr>
          <w:p>
            <w:r>
              <w:rPr>
                <w:b/>
                <w:sz w:val="18"/>
              </w:rPr>
              <w:t>Environmental management (waste)</w:t>
            </w:r>
          </w:p>
        </w:tc>
        <w:tc>
          <w:tcPr>
            <w:tcW w:type="dxa" w:w="2351"/>
            <w:shd w:val="clear" w:color="auto" w:fill="EEF3F9"/>
          </w:tcPr>
          <w:p>
            <w:r>
              <w:rPr>
                <w:b/>
                <w:sz w:val="18"/>
              </w:rPr>
              <w:t>3</w:t>
            </w:r>
          </w:p>
        </w:tc>
        <w:tc>
          <w:tcPr>
            <w:tcW w:type="dxa" w:w="2351"/>
            <w:shd w:val="clear" w:color="auto" w:fill="EEF3F9"/>
          </w:tcPr>
          <w:p>
            <w:r>
              <w:rPr>
                <w:sz w:val="18"/>
              </w:rPr>
              <w:t>Refinery emissions; phosphogypsum from phosphate processing; NEMA-regulated</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Chemical/process-engineering scarce; oil sector building some capacity</w:t>
            </w:r>
          </w:p>
        </w:tc>
      </w:tr>
      <w:tr>
        <w:tc>
          <w:tcPr>
            <w:tcW w:type="dxa" w:w="2351"/>
            <w:shd w:val="clear" w:color="auto" w:fill="EEF3F9"/>
          </w:tcPr>
          <w:p>
            <w:r>
              <w:rPr>
                <w:sz w:val="18"/>
              </w:rPr>
              <w:t>7</w:t>
            </w:r>
          </w:p>
        </w:tc>
        <w:tc>
          <w:tcPr>
            <w:tcW w:type="dxa" w:w="2351"/>
            <w:shd w:val="clear" w:color="auto" w:fill="EEF3F9"/>
          </w:tcPr>
          <w:p>
            <w:r>
              <w:rPr>
                <w:b/>
                <w:sz w:val="18"/>
              </w:rPr>
              <w:t>Energy/process power (energy)</w:t>
            </w:r>
          </w:p>
        </w:tc>
        <w:tc>
          <w:tcPr>
            <w:tcW w:type="dxa" w:w="2351"/>
            <w:shd w:val="clear" w:color="auto" w:fill="EEF3F9"/>
          </w:tcPr>
          <w:p>
            <w:r>
              <w:rPr>
                <w:b/>
                <w:sz w:val="18"/>
              </w:rPr>
              <w:t>2</w:t>
            </w:r>
          </w:p>
        </w:tc>
        <w:tc>
          <w:tcPr>
            <w:tcW w:type="dxa" w:w="2351"/>
            <w:shd w:val="clear" w:color="auto" w:fill="EEF3F9"/>
          </w:tcPr>
          <w:p>
            <w:r>
              <w:rPr>
                <w:sz w:val="18"/>
              </w:rPr>
              <w:t>Refinery self-supplies; fertilizer processing needs reliable power</w:t>
            </w:r>
          </w:p>
        </w:tc>
      </w:tr>
    </w:tbl>
    <w:p/>
    <w:p>
      <w:r>
        <w:t xml:space="preserve">The near-term binding constraint is </w:t>
      </w:r>
      <w:r>
        <w:rPr>
          <w:b/>
        </w:rPr>
        <w:t>fertilizer supply</w:t>
      </w:r>
      <w:r>
        <w:t xml:space="preserve"> (resolve Sukulu or enable alternative blending); the medium-term one is </w:t>
      </w:r>
      <w:r>
        <w:rPr>
          <w:b/>
        </w:rPr>
        <w:t>sequencing petrochemicals to the refinery</w:t>
      </w:r>
      <w:r>
        <w:t xml:space="preserve"> without over-committing capital early.</w:t>
      </w:r>
    </w:p>
    <w:p>
      <w:pPr>
        <w:pStyle w:val="Heading2"/>
      </w:pPr>
      <w:r>
        <w:t>6.E Greening &amp; Sustainability</w:t>
      </w:r>
    </w:p>
    <w:p>
      <w:r>
        <w:t>This is the most carbon-exposed chain in the report — which makes greening both a licence-to-operate and a competitiveness play (CBAM increasingly prices carbon in fertilizer/fuel exports).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Pre-production refinery; stalled phosphate plant; high-emission processes by nature</w:t>
            </w:r>
          </w:p>
        </w:tc>
      </w:tr>
      <w:tr>
        <w:tc>
          <w:tcPr>
            <w:tcW w:type="dxa" w:w="4703"/>
            <w:shd w:val="clear" w:color="auto" w:fill="FFFFFF"/>
          </w:tcPr>
          <w:p>
            <w:r>
              <w:rPr>
                <w:b/>
                <w:sz w:val="18"/>
              </w:rPr>
              <w:t>Current solutions</w:t>
            </w:r>
          </w:p>
        </w:tc>
        <w:tc>
          <w:tcPr>
            <w:tcW w:type="dxa" w:w="4703"/>
            <w:shd w:val="clear" w:color="auto" w:fill="FFFFFF"/>
          </w:tcPr>
          <w:p>
            <w:r>
              <w:rPr>
                <w:sz w:val="18"/>
              </w:rPr>
              <w:t>NEMA environmental governance; gas-capture design intent at the refinery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Green ammonia/nitrogen fertilizer</w:t>
            </w:r>
            <w:r>
              <w:rPr>
                <w:sz w:val="18"/>
              </w:rPr>
              <w:t xml:space="preserve"> via hydro-powered electrolysis — a genuine low-carbon fertilizer route for Uganda's grid; (2) </w:t>
            </w:r>
            <w:r>
              <w:rPr>
                <w:b/>
                <w:sz w:val="18"/>
              </w:rPr>
              <w:t>gas capture (not flaring)</w:t>
            </w:r>
            <w:r>
              <w:rPr>
                <w:sz w:val="18"/>
              </w:rPr>
              <w:t xml:space="preserve"> for LPG and fertilizer feedstock; (3) </w:t>
            </w:r>
            <w:r>
              <w:rPr>
                <w:b/>
                <w:sz w:val="18"/>
              </w:rPr>
              <w:t>phosphogypsum reuse</w:t>
            </w:r>
            <w:r>
              <w:rPr>
                <w:sz w:val="18"/>
              </w:rPr>
              <w:t xml:space="preserve"> into gypsum board/cement (links to Cement, Chapter 9); (4) </w:t>
            </w:r>
            <w:r>
              <w:rPr>
                <w:b/>
                <w:sz w:val="18"/>
              </w:rPr>
              <w:t>refinery emissions control and water reuse</w:t>
            </w:r>
          </w:p>
        </w:tc>
      </w:tr>
    </w:tbl>
    <w:p/>
    <w:p>
      <w:r>
        <w:rPr>
          <w:b/>
        </w:rPr>
        <w:t>Why it pays:</w:t>
      </w:r>
      <w:r>
        <w:t xml:space="preserve"> green ammonia turns Uganda's clean hydro power into low-carbon fertilizer (import-substitution </w:t>
      </w:r>
      <w:r>
        <w:rPr>
          <w:i/>
        </w:rPr>
        <w:t>and</w:t>
      </w:r>
      <w:r>
        <w:t xml:space="preserve"> an exportable green product), and phosphogypsum reuse converts a hazardous by-product into building-materials feedstock.</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Fertilizer (blending + phosphate revival)</w:t>
            </w:r>
          </w:p>
        </w:tc>
        <w:tc>
          <w:tcPr>
            <w:tcW w:type="dxa" w:w="1176"/>
            <w:shd w:val="clear" w:color="auto" w:fill="EEF3F9"/>
          </w:tcPr>
          <w:p>
            <w:r>
              <w:rPr>
                <w:sz w:val="18"/>
              </w:rPr>
              <w:t>Very high (unmet)</w:t>
            </w:r>
          </w:p>
        </w:tc>
        <w:tc>
          <w:tcPr>
            <w:tcW w:type="dxa" w:w="1176"/>
            <w:shd w:val="clear" w:color="auto" w:fill="EEF3F9"/>
          </w:tcPr>
          <w:p>
            <w:r>
              <w:rPr>
                <w:sz w:val="18"/>
              </w:rPr>
              <w:t>Medium (phosphate rock)</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Medium–High (green ammonia)</w:t>
            </w:r>
          </w:p>
        </w:tc>
        <w:tc>
          <w:tcPr>
            <w:tcW w:type="dxa" w:w="1176"/>
            <w:shd w:val="clear" w:color="auto" w:fill="EEF3F9"/>
          </w:tcPr>
          <w:p>
            <w:r>
              <w:rPr>
                <w:b/>
                <w:sz w:val="18"/>
              </w:rPr>
              <w:t>Priority</w:t>
            </w:r>
          </w:p>
        </w:tc>
      </w:tr>
      <w:tr>
        <w:tc>
          <w:tcPr>
            <w:tcW w:type="dxa" w:w="1176"/>
            <w:shd w:val="clear" w:color="auto" w:fill="FFFFFF"/>
          </w:tcPr>
          <w:p>
            <w:r>
              <w:rPr>
                <w:b/>
                <w:sz w:val="18"/>
              </w:rPr>
              <w:t>Sulphuric acid &amp; industrial chemicals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b/>
                <w:sz w:val="18"/>
              </w:rPr>
              <w:t>Priority (paired w/ fertilizer)</w:t>
            </w:r>
          </w:p>
        </w:tc>
      </w:tr>
      <w:tr>
        <w:tc>
          <w:tcPr>
            <w:tcW w:type="dxa" w:w="1176"/>
            <w:shd w:val="clear" w:color="auto" w:fill="EEF3F9"/>
          </w:tcPr>
          <w:p>
            <w:r>
              <w:rPr>
                <w:b/>
                <w:sz w:val="18"/>
              </w:rPr>
              <w:t>Petrochemicals / polymers (Kabalega park)</w:t>
            </w:r>
          </w:p>
        </w:tc>
        <w:tc>
          <w:tcPr>
            <w:tcW w:type="dxa" w:w="1176"/>
            <w:shd w:val="clear" w:color="auto" w:fill="EEF3F9"/>
          </w:tcPr>
          <w:p>
            <w:r>
              <w:rPr>
                <w:sz w:val="18"/>
              </w:rPr>
              <w:t>High (post-2029)</w:t>
            </w:r>
          </w:p>
        </w:tc>
        <w:tc>
          <w:tcPr>
            <w:tcW w:type="dxa" w:w="1176"/>
            <w:shd w:val="clear" w:color="auto" w:fill="EEF3F9"/>
          </w:tcPr>
          <w:p>
            <w:r>
              <w:rPr>
                <w:sz w:val="18"/>
              </w:rPr>
              <w:t>High (future feedstock)</w:t>
            </w:r>
          </w:p>
        </w:tc>
        <w:tc>
          <w:tcPr>
            <w:tcW w:type="dxa" w:w="1176"/>
            <w:shd w:val="clear" w:color="auto" w:fill="EEF3F9"/>
          </w:tcPr>
          <w:p>
            <w:r>
              <w:rPr>
                <w:sz w:val="18"/>
              </w:rPr>
              <w:t>Low now</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 (medium-term, sequenced)</w:t>
            </w:r>
          </w:p>
        </w:tc>
      </w:tr>
      <w:tr>
        <w:tc>
          <w:tcPr>
            <w:tcW w:type="dxa" w:w="1176"/>
            <w:shd w:val="clear" w:color="auto" w:fill="FFFFFF"/>
          </w:tcPr>
          <w:p>
            <w:r>
              <w:rPr>
                <w:sz w:val="18"/>
              </w:rPr>
              <w:t>Large-scale refined-product export</w:t>
            </w:r>
          </w:p>
        </w:tc>
        <w:tc>
          <w:tcPr>
            <w:tcW w:type="dxa" w:w="1176"/>
            <w:shd w:val="clear" w:color="auto" w:fill="FFFFFF"/>
          </w:tcPr>
          <w:p>
            <w:r>
              <w:rPr>
                <w:sz w:val="18"/>
              </w:rPr>
              <w:t>Medium</w:t>
            </w:r>
          </w:p>
        </w:tc>
        <w:tc>
          <w:tcPr>
            <w:tcW w:type="dxa" w:w="1176"/>
            <w:shd w:val="clear" w:color="auto" w:fill="FFFFFF"/>
          </w:tcPr>
          <w:p>
            <w:r>
              <w:rPr>
                <w:sz w:val="18"/>
              </w:rPr>
              <w:t>Low now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Conditional (post-refinery)</w:t>
            </w:r>
          </w:p>
        </w:tc>
      </w:tr>
      <w:tr>
        <w:tc>
          <w:tcPr>
            <w:tcW w:type="dxa" w:w="1176"/>
            <w:shd w:val="clear" w:color="auto" w:fill="EEF3F9"/>
          </w:tcPr>
          <w:p>
            <w:r>
              <w:rPr>
                <w:sz w:val="18"/>
              </w:rPr>
              <w:t>Greenfield specialty chemicals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highest-urgency, highest-impact near-term opportunity, tied to agricultural productivity; resolve the Sukulu stall or enable alternative blending (including a green-ammonia route).</w:t>
      </w:r>
    </w:p>
    <w:p>
      <w:pPr>
        <w:pStyle w:val="ListNumber"/>
      </w:pPr>
      <w:r>
        <w:rPr>
          <w:b/>
        </w:rPr>
        <w:t>Sulphuric acid and basic industrial chemicals</w:t>
      </w:r>
      <w:r>
        <w:t xml:space="preserve"> — paired with phosphate processing; useful across industry.</w:t>
      </w:r>
    </w:p>
    <w:p>
      <w:pPr>
        <w:pStyle w:val="ListNumber"/>
      </w:pPr>
      <w:r>
        <w:rPr>
          <w:b/>
        </w:rPr>
        <w:t>Petrochemicals/polymers at Kabalega</w:t>
      </w:r>
      <w:r>
        <w:t xml:space="preserve"> — the transformational medium-term prize, sequenced to the refinery (~2029–30); prepare the park, skills and downstream plastics linkage now (Chapter 8).</w:t>
      </w:r>
    </w:p>
    <w:p>
      <w:r>
        <w:rPr>
          <w:b/>
        </w:rPr>
        <w:t>Explicit deprioritization.</w:t>
      </w:r>
      <w:r>
        <w:t xml:space="preserve"> Uganda should </w:t>
      </w:r>
      <w:r>
        <w:rPr>
          <w:b/>
        </w:rPr>
        <w:t>not</w:t>
      </w:r>
      <w:r>
        <w:t xml:space="preserve"> pursue greenfield specialty chemicals or large-scale refined-product export ahead of the refinery. Near-term focus is </w:t>
      </w:r>
      <w:r>
        <w:rPr>
          <w:b/>
        </w:rPr>
        <w:t>fertilizer for domestic agriculture</w:t>
      </w:r>
      <w:r>
        <w:t xml:space="preserve">; petrochemicals must be </w:t>
      </w:r>
      <w:r>
        <w:rPr>
          <w:b/>
        </w:rPr>
        <w:t>sequenced</w:t>
      </w:r>
      <w:r>
        <w:t>, not rushed.</w:t>
      </w:r>
    </w:p>
    <w:p>
      <w:pPr>
        <w:pStyle w:val="Heading2"/>
      </w:pPr>
      <w:r>
        <w:t>6.G Project Profiles</w:t>
      </w:r>
    </w:p>
    <w:p>
      <w:r>
        <w:rPr>
          <w:b/>
        </w:rPr>
        <w:t>P1 — Fertilizer supply: phosphate revival + blending (strategic anchor + green).</w:t>
      </w:r>
    </w:p>
    <w:p>
      <w:pPr>
        <w:pStyle w:val="ListBullet"/>
      </w:pPr>
      <w:r>
        <w:rPr>
          <w:i/>
        </w:rPr>
        <w:t>Strategic:</w:t>
      </w:r>
      <w:r>
        <w:t xml:space="preserve"> attacks the ~50,000 t vs ~1m t gap; directly raises farm productivity (agro-industrialisation).</w:t>
      </w:r>
    </w:p>
    <w:p>
      <w:pPr>
        <w:pStyle w:val="ListBullet"/>
      </w:pPr>
      <w:r>
        <w:rPr>
          <w:i/>
        </w:rPr>
        <w:t>Quick-win element:</w:t>
      </w:r>
      <w:r>
        <w:t xml:space="preserve"> expand blending and quality enforcement now; restructure/re-tender Sukulu.</w:t>
      </w:r>
    </w:p>
    <w:p>
      <w:pPr>
        <w:pStyle w:val="ListBullet"/>
      </w:pPr>
      <w:r>
        <w:rPr>
          <w:i/>
        </w:rPr>
        <w:t>Green:</w:t>
      </w:r>
      <w:r>
        <w:t xml:space="preserve"> green-ammonia (hydro electrolysis) nitrogen route; phosphogypsum reuse.</w:t>
      </w:r>
    </w:p>
    <w:p>
      <w:r>
        <w:rPr>
          <w:b/>
        </w:rPr>
        <w:t>P2 — Kabalega petrochemical park readiness (strategic, sequenced).</w:t>
      </w:r>
    </w:p>
    <w:p>
      <w:pPr>
        <w:pStyle w:val="ListBullet"/>
      </w:pPr>
      <w:r>
        <w:rPr>
          <w:i/>
        </w:rPr>
        <w:t>Strategic:</w:t>
      </w:r>
      <w:r>
        <w:t xml:space="preserve"> localises fuels and plastics feedstock once the refinery runs; anchors the Plastics chain.</w:t>
      </w:r>
    </w:p>
    <w:p>
      <w:pPr>
        <w:pStyle w:val="ListBullet"/>
      </w:pPr>
      <w:r>
        <w:rPr>
          <w:i/>
        </w:rPr>
        <w:t>Quick-win element:</w:t>
      </w:r>
      <w:r>
        <w:t xml:space="preserve"> park infrastructure, skills and downstream linkages prepared pre-2029.</w:t>
      </w:r>
    </w:p>
    <w:p>
      <w:pPr>
        <w:pStyle w:val="ListBullet"/>
      </w:pPr>
      <w:r>
        <w:rPr>
          <w:i/>
        </w:rPr>
        <w:t>Green:</w:t>
      </w:r>
      <w:r>
        <w:t xml:space="preserve"> gas capture; emissions control designed in.</w:t>
      </w:r>
    </w:p>
    <w:p>
      <w:r>
        <w:rPr>
          <w:b/>
        </w:rPr>
        <w:t>P3 — Green-ammonia pilot (green + strategic).</w:t>
      </w:r>
    </w:p>
    <w:p>
      <w:pPr>
        <w:pStyle w:val="ListBullet"/>
      </w:pPr>
      <w:r>
        <w:rPr>
          <w:i/>
        </w:rPr>
        <w:t>Strategic:</w:t>
      </w:r>
      <w:r>
        <w:t xml:space="preserve"> low-carbon nitrogen fertilizer from hydro power; import substitution + export potential.</w:t>
      </w:r>
    </w:p>
    <w:p>
      <w:pPr>
        <w:pStyle w:val="ListBullet"/>
      </w:pPr>
      <w:r>
        <w:rPr>
          <w:i/>
        </w:rPr>
        <w:t>Quick-win element:</w:t>
      </w:r>
      <w:r>
        <w:t xml:space="preserve"> modular electrolysis pilot.</w:t>
      </w:r>
    </w:p>
    <w:p>
      <w:pPr>
        <w:pStyle w:val="ListBullet"/>
      </w:pPr>
      <w:r>
        <w:rPr>
          <w:i/>
        </w:rPr>
        <w:t>Green:</w:t>
      </w:r>
      <w:r>
        <w:t xml:space="preserve"> near-zero-carbon fertilizer.</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(restructure/re-finance/re-tender); expand fertilizer blending</w:t>
            </w:r>
          </w:p>
        </w:tc>
        <w:tc>
          <w:tcPr>
            <w:tcW w:type="dxa" w:w="2351"/>
            <w:shd w:val="clear" w:color="auto" w:fill="EEF3F9"/>
          </w:tcPr>
          <w:p>
            <w:r>
              <w:rPr>
                <w:sz w:val="18"/>
              </w:rPr>
              <w:t>MTIC,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plastics linkage, skills); green-ammonia feasibility</w:t>
            </w:r>
          </w:p>
        </w:tc>
        <w:tc>
          <w:tcPr>
            <w:tcW w:type="dxa" w:w="2351"/>
            <w:shd w:val="clear" w:color="auto" w:fill="FFFFFF"/>
          </w:tcPr>
          <w:p>
            <w:r>
              <w:rPr>
                <w:sz w:val="18"/>
              </w:rPr>
              <w:t>PAU, UNOC, MTIC,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(incl. green-ammonia)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7: Sugar &amp; Confectionery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Sugar Manufacturers' Association (USMA); UBOS; ITC TradeMap (2024). Full sources are in the consolidated References at the end of this report.</w:t>
      </w:r>
    </w:p>
    <w:p>
      <w:pPr>
        <w:pStyle w:val="Heading2"/>
      </w:pPr>
      <w:r>
        <w:t>7.0 Why Sugar &amp; Confectionery Matters for the Tenfold Growth Strategy</w:t>
      </w:r>
    </w:p>
    <w:p>
      <w:r>
        <w:t xml:space="preserve">Sugar is Uganda's clearest agro-industrial success — a </w:t>
      </w:r>
      <w:r>
        <w:rPr>
          <w:b/>
        </w:rPr>
        <w:t>mature, competitive milling industry already in structural surplus</w:t>
      </w:r>
      <w:r>
        <w:t xml:space="preserve">. That changes the tenfold question for this chain: not "grow more cane," but </w:t>
      </w:r>
      <w:r>
        <w:rPr>
          <w:b/>
        </w:rPr>
        <w:t>"convert the surplus into higher-value, greener products"</w:t>
      </w:r>
      <w:r>
        <w:t xml:space="preserve"> — industrial sugar, ethanol, grid electricity from bagasse, and confectionery. Done well, sugar becomes a model of the Tenfold Strategy's logic: take what Uganda already produces in abundance and move it up the value chain into energy, chemicals and food products, rather than exporting a low-value commodity.</w:t>
      </w:r>
    </w:p>
    <w:p>
      <w:pPr>
        <w:pStyle w:val="Heading2"/>
      </w:pPr>
      <w:r>
        <w:t>7.A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Cane growing</w:t>
            </w:r>
          </w:p>
        </w:tc>
        <w:tc>
          <w:tcPr>
            <w:tcW w:type="dxa" w:w="1881"/>
            <w:shd w:val="clear" w:color="auto" w:fill="EEF3F9"/>
          </w:tcPr>
          <w:p>
            <w:r>
              <w:rPr>
                <w:sz w:val="18"/>
              </w:rPr>
              <w:t>Land, inputs</w:t>
            </w:r>
          </w:p>
        </w:tc>
        <w:tc>
          <w:tcPr>
            <w:tcW w:type="dxa" w:w="1881"/>
            <w:shd w:val="clear" w:color="auto" w:fill="EEF3F9"/>
          </w:tcPr>
          <w:p>
            <w:r>
              <w:rPr>
                <w:sz w:val="18"/>
              </w:rPr>
              <w:t>Sugarcane</w:t>
            </w:r>
          </w:p>
        </w:tc>
        <w:tc>
          <w:tcPr>
            <w:tcW w:type="dxa" w:w="1881"/>
            <w:shd w:val="clear" w:color="auto" w:fill="EEF3F9"/>
          </w:tcPr>
          <w:p>
            <w:r>
              <w:rPr>
                <w:b/>
                <w:sz w:val="18"/>
              </w:rPr>
              <w:t>Strong</w:t>
            </w:r>
            <w:r>
              <w:rPr>
                <w:sz w:val="18"/>
              </w:rPr>
              <w:t xml:space="preserve"> (surplus)</w:t>
            </w:r>
          </w:p>
        </w:tc>
      </w:tr>
      <w:tr>
        <w:tc>
          <w:tcPr>
            <w:tcW w:type="dxa" w:w="1881"/>
            <w:shd w:val="clear" w:color="auto" w:fill="FFFFFF"/>
          </w:tcPr>
          <w:p>
            <w:r>
              <w:rPr>
                <w:sz w:val="18"/>
              </w:rPr>
              <w:t>II</w:t>
            </w:r>
          </w:p>
        </w:tc>
        <w:tc>
          <w:tcPr>
            <w:tcW w:type="dxa" w:w="1881"/>
            <w:shd w:val="clear" w:color="auto" w:fill="FFFFFF"/>
          </w:tcPr>
          <w:p>
            <w:r>
              <w:rPr>
                <w:sz w:val="18"/>
              </w:rPr>
              <w:t>Milling</w:t>
            </w:r>
          </w:p>
        </w:tc>
        <w:tc>
          <w:tcPr>
            <w:tcW w:type="dxa" w:w="1881"/>
            <w:shd w:val="clear" w:color="auto" w:fill="FFFFFF"/>
          </w:tcPr>
          <w:p>
            <w:r>
              <w:rPr>
                <w:sz w:val="18"/>
              </w:rPr>
              <w:t>Cane</w:t>
            </w:r>
          </w:p>
        </w:tc>
        <w:tc>
          <w:tcPr>
            <w:tcW w:type="dxa" w:w="1881"/>
            <w:shd w:val="clear" w:color="auto" w:fill="FFFFFF"/>
          </w:tcPr>
          <w:p>
            <w:r>
              <w:rPr>
                <w:sz w:val="18"/>
              </w:rPr>
              <w:t>Raw/brown sugar, molasses, bagasse</w:t>
            </w:r>
          </w:p>
        </w:tc>
        <w:tc>
          <w:tcPr>
            <w:tcW w:type="dxa" w:w="1881"/>
            <w:shd w:val="clear" w:color="auto" w:fill="FFFFFF"/>
          </w:tcPr>
          <w:p>
            <w:r>
              <w:rPr>
                <w:b/>
                <w:sz w:val="18"/>
              </w:rPr>
              <w:t>Mature/competitive</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Raw sugar</w:t>
            </w:r>
          </w:p>
        </w:tc>
        <w:tc>
          <w:tcPr>
            <w:tcW w:type="dxa" w:w="1881"/>
            <w:shd w:val="clear" w:color="auto" w:fill="EEF3F9"/>
          </w:tcPr>
          <w:p>
            <w:r>
              <w:rPr>
                <w:sz w:val="18"/>
              </w:rPr>
              <w:t>Refined/industrial sugar</w:t>
            </w:r>
          </w:p>
        </w:tc>
        <w:tc>
          <w:tcPr>
            <w:tcW w:type="dxa" w:w="1881"/>
            <w:shd w:val="clear" w:color="auto" w:fill="EEF3F9"/>
          </w:tcPr>
          <w:p>
            <w:r>
              <w:rPr>
                <w:b/>
                <w:sz w:val="18"/>
              </w:rPr>
              <w:t>Gap</w:t>
            </w:r>
            <w:r>
              <w:rPr>
                <w:sz w:val="18"/>
              </w:rPr>
              <w:t xml:space="preserve"> — imported</w:t>
            </w:r>
          </w:p>
        </w:tc>
      </w:tr>
      <w:tr>
        <w:tc>
          <w:tcPr>
            <w:tcW w:type="dxa" w:w="1881"/>
            <w:shd w:val="clear" w:color="auto" w:fill="FFFFFF"/>
          </w:tcPr>
          <w:p>
            <w:r>
              <w:rPr>
                <w:sz w:val="18"/>
              </w:rPr>
              <w:t>IV</w:t>
            </w:r>
          </w:p>
        </w:tc>
        <w:tc>
          <w:tcPr>
            <w:tcW w:type="dxa" w:w="1881"/>
            <w:shd w:val="clear" w:color="auto" w:fill="FFFFFF"/>
          </w:tcPr>
          <w:p>
            <w:r>
              <w:rPr>
                <w:sz w:val="18"/>
              </w:rPr>
              <w:t>Downstream</w:t>
            </w:r>
          </w:p>
        </w:tc>
        <w:tc>
          <w:tcPr>
            <w:tcW w:type="dxa" w:w="1881"/>
            <w:shd w:val="clear" w:color="auto" w:fill="FFFFFF"/>
          </w:tcPr>
          <w:p>
            <w:r>
              <w:rPr>
                <w:sz w:val="18"/>
              </w:rPr>
              <w:t>Sugar, molasses, bagasse</w:t>
            </w:r>
          </w:p>
        </w:tc>
        <w:tc>
          <w:tcPr>
            <w:tcW w:type="dxa" w:w="1881"/>
            <w:shd w:val="clear" w:color="auto" w:fill="FFFFFF"/>
          </w:tcPr>
          <w:p>
            <w:r>
              <w:rPr>
                <w:sz w:val="18"/>
              </w:rPr>
              <w:t>Confectionery, ethanol, electricity (co-gen)</w:t>
            </w:r>
          </w:p>
        </w:tc>
        <w:tc>
          <w:tcPr>
            <w:tcW w:type="dxa" w:w="1881"/>
            <w:shd w:val="clear" w:color="auto" w:fill="FFFFFF"/>
          </w:tcPr>
          <w:p>
            <w:r>
              <w:rPr>
                <w:b/>
                <w:sz w:val="18"/>
              </w:rPr>
              <w:t>Under-exploited</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Domestic + regional</w:t>
            </w:r>
          </w:p>
        </w:tc>
        <w:tc>
          <w:tcPr>
            <w:tcW w:type="dxa" w:w="1881"/>
            <w:shd w:val="clear" w:color="auto" w:fill="EEF3F9"/>
          </w:tcPr>
          <w:p>
            <w:r>
              <w:rPr>
                <w:b/>
                <w:sz w:val="18"/>
              </w:rPr>
              <w:t>Active</w:t>
            </w:r>
            <w:r>
              <w:rPr>
                <w:sz w:val="18"/>
              </w:rPr>
              <w:t>; surplus exporter</w:t>
            </w:r>
          </w:p>
        </w:tc>
      </w:tr>
    </w:tbl>
    <w:p/>
    <w:p>
      <w:r>
        <w:rPr>
          <w:b/>
        </w:rPr>
        <w:t>Where value is captured and lost.</w:t>
      </w:r>
      <w:r>
        <w:t xml:space="preserve"> Uganda produces a surplus of brown sugar yet still imports </w:t>
      </w:r>
      <w:r>
        <w:rPr>
          <w:b/>
        </w:rPr>
        <w:t>industrial/refined sugar</w:t>
      </w:r>
      <w:r>
        <w:t xml:space="preserve"> and confectionery and under-exploits downstream products (ethanol, co-generation). Sugar imports (HS 1701) were ~</w:t>
      </w:r>
      <w:r>
        <w:rPr>
          <w:b/>
        </w:rPr>
        <w:t>USD 38.1 million in 2024</w:t>
      </w:r>
      <w:r>
        <w:t xml:space="preserve"> — largely industrial sugar — even as Uganda exports surplus brown sugar regionally (ITC TradeMap). The leak here is </w:t>
      </w:r>
      <w:r>
        <w:rPr>
          <w:i/>
        </w:rPr>
        <w:t>under-diversification</w:t>
      </w:r>
      <w:r>
        <w:t>, not under-production.</w:t>
      </w:r>
    </w:p>
    <w:p>
      <w:pPr>
        <w:pStyle w:val="Heading2"/>
      </w:pPr>
      <w:r>
        <w:t>7.B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National output</w:t>
            </w:r>
          </w:p>
        </w:tc>
        <w:tc>
          <w:tcPr>
            <w:tcW w:type="dxa" w:w="3135"/>
            <w:shd w:val="clear" w:color="auto" w:fill="EEF3F9"/>
          </w:tcPr>
          <w:p>
            <w:r>
              <w:rPr>
                <w:b/>
                <w:sz w:val="18"/>
              </w:rPr>
              <w:t>~822,000 t (2022)</w:t>
            </w:r>
            <w:r>
              <w:rPr>
                <w:sz w:val="18"/>
              </w:rPr>
              <w:t xml:space="preserve"> (~720k brown + ~102k industrial)</w:t>
            </w:r>
          </w:p>
        </w:tc>
        <w:tc>
          <w:tcPr>
            <w:tcW w:type="dxa" w:w="3135"/>
            <w:shd w:val="clear" w:color="auto" w:fill="EEF3F9"/>
          </w:tcPr>
          <w:p>
            <w:r>
              <w:rPr>
                <w:sz w:val="18"/>
              </w:rPr>
              <w:t>USMA; sector</w:t>
            </w:r>
          </w:p>
        </w:tc>
      </w:tr>
      <w:tr>
        <w:tc>
          <w:tcPr>
            <w:tcW w:type="dxa" w:w="3135"/>
            <w:shd w:val="clear" w:color="auto" w:fill="FFFFFF"/>
          </w:tcPr>
          <w:p>
            <w:r>
              <w:rPr>
                <w:sz w:val="18"/>
              </w:rPr>
              <w:t>Domestic consumption</w:t>
            </w:r>
          </w:p>
        </w:tc>
        <w:tc>
          <w:tcPr>
            <w:tcW w:type="dxa" w:w="3135"/>
            <w:shd w:val="clear" w:color="auto" w:fill="FFFFFF"/>
          </w:tcPr>
          <w:p>
            <w:r>
              <w:rPr>
                <w:sz w:val="18"/>
              </w:rPr>
              <w:t>~370,000 t</w:t>
            </w:r>
          </w:p>
        </w:tc>
        <w:tc>
          <w:tcPr>
            <w:tcW w:type="dxa" w:w="3135"/>
            <w:shd w:val="clear" w:color="auto" w:fill="FFFFFF"/>
          </w:tcPr>
          <w:p>
            <w:r>
              <w:rPr>
                <w:sz w:val="18"/>
              </w:rPr>
              <w:t>sector</w:t>
            </w:r>
          </w:p>
        </w:tc>
      </w:tr>
      <w:tr>
        <w:tc>
          <w:tcPr>
            <w:tcW w:type="dxa" w:w="3135"/>
            <w:shd w:val="clear" w:color="auto" w:fill="EEF3F9"/>
          </w:tcPr>
          <w:p>
            <w:r>
              <w:rPr>
                <w:sz w:val="18"/>
              </w:rPr>
              <w:t>Structural surplus</w:t>
            </w:r>
          </w:p>
        </w:tc>
        <w:tc>
          <w:tcPr>
            <w:tcW w:type="dxa" w:w="3135"/>
            <w:shd w:val="clear" w:color="auto" w:fill="EEF3F9"/>
          </w:tcPr>
          <w:p>
            <w:r>
              <w:rPr>
                <w:b/>
                <w:sz w:val="18"/>
              </w:rPr>
              <w:t>180,000+ t</w:t>
            </w:r>
          </w:p>
        </w:tc>
        <w:tc>
          <w:tcPr>
            <w:tcW w:type="dxa" w:w="3135"/>
            <w:shd w:val="clear" w:color="auto" w:fill="EEF3F9"/>
          </w:tcPr>
          <w:p>
            <w:r>
              <w:rPr>
                <w:sz w:val="18"/>
              </w:rPr>
              <w:t>sector</w:t>
            </w:r>
          </w:p>
        </w:tc>
      </w:tr>
      <w:tr>
        <w:tc>
          <w:tcPr>
            <w:tcW w:type="dxa" w:w="3135"/>
            <w:shd w:val="clear" w:color="auto" w:fill="FFFFFF"/>
          </w:tcPr>
          <w:p>
            <w:r>
              <w:rPr>
                <w:sz w:val="18"/>
              </w:rPr>
              <w:t>Industrial-sugar imports (HS 1701)</w:t>
            </w:r>
          </w:p>
        </w:tc>
        <w:tc>
          <w:tcPr>
            <w:tcW w:type="dxa" w:w="3135"/>
            <w:shd w:val="clear" w:color="auto" w:fill="FFFFFF"/>
          </w:tcPr>
          <w:p>
            <w:r>
              <w:rPr>
                <w:sz w:val="18"/>
              </w:rPr>
              <w:t>~USD 38.1m (2024)</w:t>
            </w:r>
          </w:p>
        </w:tc>
        <w:tc>
          <w:tcPr>
            <w:tcW w:type="dxa" w:w="3135"/>
            <w:shd w:val="clear" w:color="auto" w:fill="FFFFFF"/>
          </w:tcPr>
          <w:p>
            <w:r>
              <w:rPr>
                <w:sz w:val="18"/>
              </w:rPr>
              <w:t>ITC TradeMap</w:t>
            </w:r>
          </w:p>
        </w:tc>
      </w:tr>
      <w:tr>
        <w:tc>
          <w:tcPr>
            <w:tcW w:type="dxa" w:w="3135"/>
            <w:shd w:val="clear" w:color="auto" w:fill="EEF3F9"/>
          </w:tcPr>
          <w:p>
            <w:r>
              <w:rPr>
                <w:sz w:val="18"/>
              </w:rPr>
              <w:t>Largest miller</w:t>
            </w:r>
          </w:p>
        </w:tc>
        <w:tc>
          <w:tcPr>
            <w:tcW w:type="dxa" w:w="3135"/>
            <w:shd w:val="clear" w:color="auto" w:fill="EEF3F9"/>
          </w:tcPr>
          <w:p>
            <w:r>
              <w:rPr>
                <w:b/>
                <w:sz w:val="18"/>
              </w:rPr>
              <w:t>Kakira Sugar Works</w:t>
            </w:r>
            <w:r>
              <w:rPr>
                <w:sz w:val="18"/>
              </w:rPr>
              <w:t xml:space="preserve"> (~half of output; &gt;2m t cane/yr)</w:t>
            </w:r>
          </w:p>
        </w:tc>
        <w:tc>
          <w:tcPr>
            <w:tcW w:type="dxa" w:w="3135"/>
            <w:shd w:val="clear" w:color="auto" w:fill="EEF3F9"/>
          </w:tcPr>
          <w:p>
            <w:r>
              <w:rPr>
                <w:sz w:val="18"/>
              </w:rPr>
              <w:t>USMA; Kakira</w:t>
            </w:r>
          </w:p>
        </w:tc>
      </w:tr>
      <w:tr>
        <w:tc>
          <w:tcPr>
            <w:tcW w:type="dxa" w:w="3135"/>
            <w:shd w:val="clear" w:color="auto" w:fill="FFFFFF"/>
          </w:tcPr>
          <w:p>
            <w:r>
              <w:rPr>
                <w:sz w:val="18"/>
              </w:rPr>
              <w:t>Other majors</w:t>
            </w:r>
          </w:p>
        </w:tc>
        <w:tc>
          <w:tcPr>
            <w:tcW w:type="dxa" w:w="3135"/>
            <w:shd w:val="clear" w:color="auto" w:fill="FFFFFF"/>
          </w:tcPr>
          <w:p>
            <w:r>
              <w:rPr>
                <w:sz w:val="18"/>
              </w:rPr>
              <w:t>Kinyara (industrial sugar ~75,000 t, 2023), SCOUL, Mayuge, smaller mills</w:t>
            </w:r>
          </w:p>
        </w:tc>
        <w:tc>
          <w:tcPr>
            <w:tcW w:type="dxa" w:w="3135"/>
            <w:shd w:val="clear" w:color="auto" w:fill="FFFFFF"/>
          </w:tcPr>
          <w:p>
            <w:r>
              <w:rPr>
                <w:sz w:val="18"/>
              </w:rPr>
              <w:t>USMA</w:t>
            </w:r>
          </w:p>
        </w:tc>
      </w:tr>
    </w:tbl>
    <w:p/>
    <w:p>
      <w:r>
        <w:rPr>
          <w:b/>
        </w:rPr>
        <w:t>Production and surplus.</w:t>
      </w:r>
      <w:r>
        <w:t xml:space="preserve"> National output ~</w:t>
      </w:r>
      <w:r>
        <w:rPr>
          <w:b/>
        </w:rPr>
        <w:t>822,000 t (2022)</w:t>
      </w:r>
      <w:r>
        <w:t xml:space="preserve"> against consumption ~</w:t>
      </w:r>
      <w:r>
        <w:rPr>
          <w:b/>
        </w:rPr>
        <w:t>370,000 t</w:t>
      </w:r>
      <w:r>
        <w:t xml:space="preserve">, leaving a structural </w:t>
      </w:r>
      <w:r>
        <w:rPr>
          <w:b/>
        </w:rPr>
        <w:t>surplus of 180,000+ t</w:t>
      </w:r>
      <w:r>
        <w:t>; continued licensing of new mills has created over-supply and price pressure — the live policy issue.</w:t>
      </w:r>
    </w:p>
    <w:p>
      <w:r>
        <w:rPr>
          <w:b/>
        </w:rPr>
        <w:t>Firms.</w:t>
      </w:r>
      <w:r>
        <w:t xml:space="preserve"> </w:t>
      </w:r>
      <w:r>
        <w:rPr>
          <w:b/>
        </w:rPr>
        <w:t>Kakira Sugar Works</w:t>
      </w:r>
      <w:r>
        <w:t xml:space="preserve"> (~half of output; crushing &gt;2m t cane/yr), </w:t>
      </w:r>
      <w:r>
        <w:rPr>
          <w:b/>
        </w:rPr>
        <w:t>Kinyara Sugar</w:t>
      </w:r>
      <w:r>
        <w:t xml:space="preserve"> (industrial-sugar refinery expanded to ~75,000 t in 2023), </w:t>
      </w:r>
      <w:r>
        <w:rPr>
          <w:b/>
        </w:rPr>
        <w:t>Sugar Corporation of Uganda (SCOUL)</w:t>
      </w:r>
      <w:r>
        <w:t xml:space="preserve">, </w:t>
      </w:r>
      <w:r>
        <w:rPr>
          <w:b/>
        </w:rPr>
        <w:t>Mayuge Sugar</w:t>
      </w:r>
      <w:r>
        <w:t>, plus smaller mills.</w:t>
      </w:r>
    </w:p>
    <w:p>
      <w:r>
        <w:rPr>
          <w:b/>
        </w:rPr>
        <w:t>Downstream.</w:t>
      </w:r>
      <w:r>
        <w:t xml:space="preserve"> Molasses supports ethanol; bagasse supports co-generation (grid power); confectionery is growing but still import-supplied.</w:t>
      </w:r>
    </w:p>
    <w:p>
      <w:pPr>
        <w:pStyle w:val="Heading2"/>
      </w:pPr>
      <w:r>
        <w:t>7.C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 xml:space="preserve">Brown sugar over-supplied; genuine gaps in </w:t>
            </w:r>
            <w:r>
              <w:rPr>
                <w:b/>
                <w:sz w:val="18"/>
              </w:rPr>
              <w:t>industrial/refined sugar</w:t>
            </w:r>
            <w:r>
              <w:rPr>
                <w:sz w:val="18"/>
              </w:rPr>
              <w:t xml:space="preserve"> (USD 38m) and confectionery; ethanol-blending market latent</w:t>
            </w:r>
          </w:p>
        </w:tc>
        <w:tc>
          <w:tcPr>
            <w:tcW w:type="dxa" w:w="3135"/>
            <w:shd w:val="clear" w:color="auto" w:fill="EEF3F9"/>
          </w:tcPr>
          <w:p>
            <w:r>
              <w:rPr>
                <w:sz w:val="18"/>
              </w:rPr>
              <w:t>Food processing, beverages, pharma, fuel blending</w:t>
            </w:r>
          </w:p>
        </w:tc>
      </w:tr>
      <w:tr>
        <w:tc>
          <w:tcPr>
            <w:tcW w:type="dxa" w:w="3135"/>
            <w:shd w:val="clear" w:color="auto" w:fill="FFFFFF"/>
          </w:tcPr>
          <w:p>
            <w:r>
              <w:rPr>
                <w:b/>
                <w:sz w:val="18"/>
              </w:rPr>
              <w:t>Regional (EAC + COMESA)</w:t>
            </w:r>
          </w:p>
        </w:tc>
        <w:tc>
          <w:tcPr>
            <w:tcW w:type="dxa" w:w="3135"/>
            <w:shd w:val="clear" w:color="auto" w:fill="FFFFFF"/>
          </w:tcPr>
          <w:p>
            <w:r>
              <w:rPr>
                <w:sz w:val="18"/>
              </w:rPr>
              <w:t>Surplus brown sugar exported to Kenya, S. Sudan, DRC (subject to EAC dynamics); ethanol/industrial-sugar demand</w:t>
            </w:r>
          </w:p>
        </w:tc>
        <w:tc>
          <w:tcPr>
            <w:tcW w:type="dxa" w:w="3135"/>
            <w:shd w:val="clear" w:color="auto" w:fill="FFFFFF"/>
          </w:tcPr>
          <w:p>
            <w:r>
              <w:rPr>
                <w:sz w:val="18"/>
              </w:rPr>
              <w:t>Regional deficits; integration</w:t>
            </w:r>
          </w:p>
        </w:tc>
      </w:tr>
      <w:tr>
        <w:tc>
          <w:tcPr>
            <w:tcW w:type="dxa" w:w="3135"/>
            <w:shd w:val="clear" w:color="auto" w:fill="EEF3F9"/>
          </w:tcPr>
          <w:p>
            <w:r>
              <w:rPr>
                <w:b/>
                <w:sz w:val="18"/>
              </w:rPr>
              <w:t>Continental (Africa)</w:t>
            </w:r>
          </w:p>
        </w:tc>
        <w:tc>
          <w:tcPr>
            <w:tcW w:type="dxa" w:w="3135"/>
            <w:shd w:val="clear" w:color="auto" w:fill="EEF3F9"/>
          </w:tcPr>
          <w:p>
            <w:r>
              <w:rPr>
                <w:sz w:val="18"/>
              </w:rPr>
              <w:t>Net sugar-importing continent; AfCFTA access for refined/industrial sugar and ethanol</w:t>
            </w:r>
          </w:p>
        </w:tc>
        <w:tc>
          <w:tcPr>
            <w:tcW w:type="dxa" w:w="3135"/>
            <w:shd w:val="clear" w:color="auto" w:fill="EEF3F9"/>
          </w:tcPr>
          <w:p>
            <w:r>
              <w:rPr>
                <w:sz w:val="18"/>
              </w:rPr>
              <w:t>Africa demand growth</w:t>
            </w:r>
          </w:p>
        </w:tc>
      </w:tr>
      <w:tr>
        <w:tc>
          <w:tcPr>
            <w:tcW w:type="dxa" w:w="3135"/>
            <w:shd w:val="clear" w:color="auto" w:fill="FFFFFF"/>
          </w:tcPr>
          <w:p>
            <w:r>
              <w:rPr>
                <w:b/>
                <w:sz w:val="18"/>
              </w:rPr>
              <w:t>Global</w:t>
            </w:r>
          </w:p>
        </w:tc>
        <w:tc>
          <w:tcPr>
            <w:tcW w:type="dxa" w:w="3135"/>
            <w:shd w:val="clear" w:color="auto" w:fill="FFFFFF"/>
          </w:tcPr>
          <w:p>
            <w:r>
              <w:rPr>
                <w:sz w:val="18"/>
              </w:rPr>
              <w:t>Distorted, scale-driven raw-sugar market — not accessible</w:t>
            </w:r>
          </w:p>
        </w:tc>
        <w:tc>
          <w:tcPr>
            <w:tcW w:type="dxa" w:w="3135"/>
            <w:shd w:val="clear" w:color="auto" w:fill="FFFFFF"/>
          </w:tcPr>
          <w:p>
            <w:r>
              <w:rPr>
                <w:sz w:val="18"/>
              </w:rPr>
              <w:t>—</w:t>
            </w:r>
          </w:p>
        </w:tc>
      </w:tr>
    </w:tbl>
    <w:p/>
    <w:p>
      <w:pPr>
        <w:pStyle w:val="Heading3"/>
      </w:pPr>
      <w:r>
        <w:t>2040 projection — Tenfold logic</w:t>
      </w:r>
    </w:p>
    <w:p>
      <w:r>
        <w:t xml:space="preserve">A ten-times-larger economy shifts sugar's value from raw commodity to </w:t>
      </w:r>
      <w:r>
        <w:rPr>
          <w:b/>
        </w:rPr>
        <w:t>industrial sugar (food/beverage/pharma), ethanol (fuel blending as motorisation rises), grid power (bagasse co-gen), and confectionery</w:t>
      </w:r>
      <w:r>
        <w:t xml:space="preserve">. The brown-sugar surplus becomes the feedstock for these higher-value streams; by 2040 the chain's value should be dominated by downstream products, not raw sugar. Other markets grow on business-as-usual; Uganda's external plays are </w:t>
      </w:r>
      <w:r>
        <w:rPr>
          <w:b/>
        </w:rPr>
        <w:t>regional industrial sugar/ethanol</w:t>
      </w:r>
      <w:r>
        <w:t>, not global raw sugar.</w:t>
      </w:r>
    </w:p>
    <w:p>
      <w:pPr>
        <w:pStyle w:val="Heading2"/>
      </w:pPr>
      <w:r>
        <w:t>7.D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Over-supply / over-licensing of raw sugar (policy)</w:t>
            </w:r>
          </w:p>
        </w:tc>
        <w:tc>
          <w:tcPr>
            <w:tcW w:type="dxa" w:w="2351"/>
            <w:shd w:val="clear" w:color="auto" w:fill="EEF3F9"/>
          </w:tcPr>
          <w:p>
            <w:r>
              <w:rPr>
                <w:b/>
                <w:sz w:val="18"/>
              </w:rPr>
              <w:t>5</w:t>
            </w:r>
          </w:p>
        </w:tc>
        <w:tc>
          <w:tcPr>
            <w:tcW w:type="dxa" w:w="2351"/>
            <w:shd w:val="clear" w:color="auto" w:fill="EEF3F9"/>
          </w:tcPr>
          <w:p>
            <w:r>
              <w:rPr>
                <w:sz w:val="18"/>
              </w:rPr>
              <w:t>Surplus 180,000+ t depressing prices; continued mill licensing strains cane per mill — the central policy problem</w:t>
            </w:r>
          </w:p>
        </w:tc>
      </w:tr>
      <w:tr>
        <w:tc>
          <w:tcPr>
            <w:tcW w:type="dxa" w:w="2351"/>
            <w:shd w:val="clear" w:color="auto" w:fill="FFFFFF"/>
          </w:tcPr>
          <w:p>
            <w:r>
              <w:rPr>
                <w:sz w:val="18"/>
              </w:rPr>
              <w:t>2</w:t>
            </w:r>
          </w:p>
        </w:tc>
        <w:tc>
          <w:tcPr>
            <w:tcW w:type="dxa" w:w="2351"/>
            <w:shd w:val="clear" w:color="auto" w:fill="FFFFFF"/>
          </w:tcPr>
          <w:p>
            <w:r>
              <w:rPr>
                <w:b/>
                <w:sz w:val="18"/>
              </w:rPr>
              <w:t>Downstream capital &amp; technology (finance/technology)</w:t>
            </w:r>
          </w:p>
        </w:tc>
        <w:tc>
          <w:tcPr>
            <w:tcW w:type="dxa" w:w="2351"/>
            <w:shd w:val="clear" w:color="auto" w:fill="FFFFFF"/>
          </w:tcPr>
          <w:p>
            <w:r>
              <w:rPr>
                <w:b/>
                <w:sz w:val="18"/>
              </w:rPr>
              <w:t>4</w:t>
            </w:r>
          </w:p>
        </w:tc>
        <w:tc>
          <w:tcPr>
            <w:tcW w:type="dxa" w:w="2351"/>
            <w:shd w:val="clear" w:color="auto" w:fill="FFFFFF"/>
          </w:tcPr>
          <w:p>
            <w:r>
              <w:rPr>
                <w:sz w:val="18"/>
              </w:rPr>
              <w:t>Refining-to-industrial-grade, ethanol distilleries, confectionery need investment; milling is well-capitalised</w:t>
            </w:r>
          </w:p>
        </w:tc>
      </w:tr>
      <w:tr>
        <w:tc>
          <w:tcPr>
            <w:tcW w:type="dxa" w:w="2351"/>
            <w:shd w:val="clear" w:color="auto" w:fill="EEF3F9"/>
          </w:tcPr>
          <w:p>
            <w:r>
              <w:rPr>
                <w:sz w:val="18"/>
              </w:rPr>
              <w:t>3</w:t>
            </w:r>
          </w:p>
        </w:tc>
        <w:tc>
          <w:tcPr>
            <w:tcW w:type="dxa" w:w="2351"/>
            <w:shd w:val="clear" w:color="auto" w:fill="EEF3F9"/>
          </w:tcPr>
          <w:p>
            <w:r>
              <w:rPr>
                <w:b/>
                <w:sz w:val="18"/>
              </w:rPr>
              <w:t>Industrial-sugar quality/standards (standards)</w:t>
            </w:r>
          </w:p>
        </w:tc>
        <w:tc>
          <w:tcPr>
            <w:tcW w:type="dxa" w:w="2351"/>
            <w:shd w:val="clear" w:color="auto" w:fill="EEF3F9"/>
          </w:tcPr>
          <w:p>
            <w:r>
              <w:rPr>
                <w:b/>
                <w:sz w:val="18"/>
              </w:rPr>
              <w:t>3</w:t>
            </w:r>
          </w:p>
        </w:tc>
        <w:tc>
          <w:tcPr>
            <w:tcW w:type="dxa" w:w="2351"/>
            <w:shd w:val="clear" w:color="auto" w:fill="EEF3F9"/>
          </w:tcPr>
          <w:p>
            <w:r>
              <w:rPr>
                <w:sz w:val="18"/>
              </w:rPr>
              <w:t>Food/pharma buyers require industrial-grade specs (UNBS); current output mostly table grade</w:t>
            </w:r>
          </w:p>
        </w:tc>
      </w:tr>
      <w:tr>
        <w:tc>
          <w:tcPr>
            <w:tcW w:type="dxa" w:w="2351"/>
            <w:shd w:val="clear" w:color="auto" w:fill="FFFFFF"/>
          </w:tcPr>
          <w:p>
            <w:r>
              <w:rPr>
                <w:sz w:val="18"/>
              </w:rPr>
              <w:t>4</w:t>
            </w:r>
          </w:p>
        </w:tc>
        <w:tc>
          <w:tcPr>
            <w:tcW w:type="dxa" w:w="2351"/>
            <w:shd w:val="clear" w:color="auto" w:fill="FFFFFF"/>
          </w:tcPr>
          <w:p>
            <w:r>
              <w:rPr>
                <w:b/>
                <w:sz w:val="18"/>
              </w:rPr>
              <w:t>Grid feed-in for co-generation (policy/energy)</w:t>
            </w:r>
          </w:p>
        </w:tc>
        <w:tc>
          <w:tcPr>
            <w:tcW w:type="dxa" w:w="2351"/>
            <w:shd w:val="clear" w:color="auto" w:fill="FFFFFF"/>
          </w:tcPr>
          <w:p>
            <w:r>
              <w:rPr>
                <w:b/>
                <w:sz w:val="18"/>
              </w:rPr>
              <w:t>3</w:t>
            </w:r>
          </w:p>
        </w:tc>
        <w:tc>
          <w:tcPr>
            <w:tcW w:type="dxa" w:w="2351"/>
            <w:shd w:val="clear" w:color="auto" w:fill="FFFFFF"/>
          </w:tcPr>
          <w:p>
            <w:r>
              <w:rPr>
                <w:sz w:val="18"/>
              </w:rPr>
              <w:t>Bagasse power needs a clear feed-in/tariff framework to monetise</w:t>
            </w:r>
          </w:p>
        </w:tc>
      </w:tr>
      <w:tr>
        <w:tc>
          <w:tcPr>
            <w:tcW w:type="dxa" w:w="2351"/>
            <w:shd w:val="clear" w:color="auto" w:fill="EEF3F9"/>
          </w:tcPr>
          <w:p>
            <w:r>
              <w:rPr>
                <w:sz w:val="18"/>
              </w:rPr>
              <w:t>5</w:t>
            </w:r>
          </w:p>
        </w:tc>
        <w:tc>
          <w:tcPr>
            <w:tcW w:type="dxa" w:w="2351"/>
            <w:shd w:val="clear" w:color="auto" w:fill="EEF3F9"/>
          </w:tcPr>
          <w:p>
            <w:r>
              <w:rPr>
                <w:b/>
                <w:sz w:val="18"/>
              </w:rPr>
              <w:t>Distillery effluent (waste)</w:t>
            </w:r>
          </w:p>
        </w:tc>
        <w:tc>
          <w:tcPr>
            <w:tcW w:type="dxa" w:w="2351"/>
            <w:shd w:val="clear" w:color="auto" w:fill="EEF3F9"/>
          </w:tcPr>
          <w:p>
            <w:r>
              <w:rPr>
                <w:b/>
                <w:sz w:val="18"/>
              </w:rPr>
              <w:t>3</w:t>
            </w:r>
          </w:p>
        </w:tc>
        <w:tc>
          <w:tcPr>
            <w:tcW w:type="dxa" w:w="2351"/>
            <w:shd w:val="clear" w:color="auto" w:fill="EEF3F9"/>
          </w:tcPr>
          <w:p>
            <w:r>
              <w:rPr>
                <w:sz w:val="18"/>
              </w:rPr>
              <w:t>Vinasse and bagasse ash need management; also a circular-economy opportunity</w:t>
            </w:r>
          </w:p>
        </w:tc>
      </w:tr>
      <w:tr>
        <w:tc>
          <w:tcPr>
            <w:tcW w:type="dxa" w:w="2351"/>
            <w:shd w:val="clear" w:color="auto" w:fill="FFFFFF"/>
          </w:tcPr>
          <w:p>
            <w:r>
              <w:rPr>
                <w:sz w:val="18"/>
              </w:rPr>
              <w:t>6</w:t>
            </w:r>
          </w:p>
        </w:tc>
        <w:tc>
          <w:tcPr>
            <w:tcW w:type="dxa" w:w="2351"/>
            <w:shd w:val="clear" w:color="auto" w:fill="FFFFFF"/>
          </w:tcPr>
          <w:p>
            <w:r>
              <w:rPr>
                <w:b/>
                <w:sz w:val="18"/>
              </w:rPr>
              <w:t>Out-grower coordination &amp; cane quality (inputs)</w:t>
            </w:r>
          </w:p>
        </w:tc>
        <w:tc>
          <w:tcPr>
            <w:tcW w:type="dxa" w:w="2351"/>
            <w:shd w:val="clear" w:color="auto" w:fill="FFFFFF"/>
          </w:tcPr>
          <w:p>
            <w:r>
              <w:rPr>
                <w:b/>
                <w:sz w:val="18"/>
              </w:rPr>
              <w:t>2</w:t>
            </w:r>
          </w:p>
        </w:tc>
        <w:tc>
          <w:tcPr>
            <w:tcW w:type="dxa" w:w="2351"/>
            <w:shd w:val="clear" w:color="auto" w:fill="FFFFFF"/>
          </w:tcPr>
          <w:p>
            <w:r>
              <w:rPr>
                <w:sz w:val="18"/>
              </w:rPr>
              <w:t>Ample cane but variable quality and out-grower coordination</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Food-technology/process skills for downstream diversification</w:t>
            </w:r>
          </w:p>
        </w:tc>
      </w:tr>
    </w:tbl>
    <w:p/>
    <w:p>
      <w:r>
        <w:t xml:space="preserve">The decisive lever is </w:t>
      </w:r>
      <w:r>
        <w:rPr>
          <w:b/>
        </w:rPr>
        <w:t>policy on over-supply</w:t>
      </w:r>
      <w:r>
        <w:t xml:space="preserve"> (discipline new raw-sugar licensing) paired with </w:t>
      </w:r>
      <w:r>
        <w:rPr>
          <w:b/>
        </w:rPr>
        <w:t>incentives to move downstream</w:t>
      </w:r>
      <w:r>
        <w:t xml:space="preserve"> (ethanol mandate, co-gen feed-in, industrial-sugar standards).</w:t>
      </w:r>
    </w:p>
    <w:p>
      <w:pPr>
        <w:pStyle w:val="Heading2"/>
      </w:pPr>
      <w:r>
        <w:t>7.E Greening &amp; Sustainability</w:t>
      </w:r>
    </w:p>
    <w:p>
      <w:r>
        <w:t xml:space="preserve">Sugar is potentially the </w:t>
      </w:r>
      <w:r>
        <w:rPr>
          <w:b/>
        </w:rPr>
        <w:t>greenest chain in the report</w:t>
      </w:r>
      <w:r>
        <w:t xml:space="preserve"> — its by-products are renewable energy and biofuel:</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Some bagasse co-generation and molasses-ethanol already exist; vinasse effluent is the main impact</w:t>
            </w:r>
          </w:p>
        </w:tc>
      </w:tr>
      <w:tr>
        <w:tc>
          <w:tcPr>
            <w:tcW w:type="dxa" w:w="4703"/>
            <w:shd w:val="clear" w:color="auto" w:fill="FFFFFF"/>
          </w:tcPr>
          <w:p>
            <w:r>
              <w:rPr>
                <w:b/>
                <w:sz w:val="18"/>
              </w:rPr>
              <w:t>Current solutions</w:t>
            </w:r>
          </w:p>
        </w:tc>
        <w:tc>
          <w:tcPr>
            <w:tcW w:type="dxa" w:w="4703"/>
            <w:shd w:val="clear" w:color="auto" w:fill="FFFFFF"/>
          </w:tcPr>
          <w:p>
            <w:r>
              <w:rPr>
                <w:sz w:val="18"/>
              </w:rPr>
              <w:t>Bagasse-to-grid co-generation (renewable power); molasses ethanol</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Fuel-blending ethanol</w:t>
            </w:r>
            <w:r>
              <w:rPr>
                <w:sz w:val="18"/>
              </w:rPr>
              <w:t xml:space="preserve"> to decarbonise transport and cut fuel imports; (2) </w:t>
            </w:r>
            <w:r>
              <w:rPr>
                <w:b/>
                <w:sz w:val="18"/>
              </w:rPr>
              <w:t>expanded bagasse co-generation</w:t>
            </w:r>
            <w:r>
              <w:rPr>
                <w:sz w:val="18"/>
              </w:rPr>
              <w:t xml:space="preserve"> feeding renewable power to the grid; (3) </w:t>
            </w:r>
            <w:r>
              <w:rPr>
                <w:b/>
                <w:sz w:val="18"/>
              </w:rPr>
              <w:t>vinasse-to-biogas and bio-fertilizer</w:t>
            </w:r>
            <w:r>
              <w:rPr>
                <w:sz w:val="18"/>
              </w:rPr>
              <w:t xml:space="preserve"> (closes the loop, links to the Fertilizer chain); (4) </w:t>
            </w:r>
            <w:r>
              <w:rPr>
                <w:b/>
                <w:sz w:val="18"/>
              </w:rPr>
              <w:t>circular mill design</w:t>
            </w:r>
            <w:r>
              <w:rPr>
                <w:sz w:val="18"/>
              </w:rPr>
              <w:t xml:space="preserve"> (zero-waste)</w:t>
            </w:r>
          </w:p>
        </w:tc>
      </w:tr>
    </w:tbl>
    <w:p/>
    <w:p>
      <w:r>
        <w:rPr>
          <w:b/>
        </w:rPr>
        <w:t>Why it pays:</w:t>
      </w:r>
      <w:r>
        <w:t xml:space="preserve"> co-gen and ethanol turn waste streams into saleable energy and fuel, improving mill economics while delivering renewable power and lower transport emissions — green and profitable at once.</w:t>
      </w:r>
    </w:p>
    <w:p>
      <w:pPr>
        <w:pStyle w:val="Heading2"/>
      </w:pPr>
      <w:r>
        <w:t>7.F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 refined sugar</w:t>
            </w:r>
          </w:p>
        </w:tc>
        <w:tc>
          <w:tcPr>
            <w:tcW w:type="dxa" w:w="1176"/>
            <w:shd w:val="clear" w:color="auto" w:fill="EEF3F9"/>
          </w:tcPr>
          <w:p>
            <w:r>
              <w:rPr>
                <w:sz w:val="18"/>
              </w:rPr>
              <w:t>High (USD 38m imports)</w:t>
            </w:r>
          </w:p>
        </w:tc>
        <w:tc>
          <w:tcPr>
            <w:tcW w:type="dxa" w:w="1176"/>
            <w:shd w:val="clear" w:color="auto" w:fill="EEF3F9"/>
          </w:tcPr>
          <w:p>
            <w:r>
              <w:rPr>
                <w:sz w:val="18"/>
              </w:rPr>
              <w:t>High (surplus cane)</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Ethanol (fuel &amp; industrial)</w:t>
            </w:r>
          </w:p>
        </w:tc>
        <w:tc>
          <w:tcPr>
            <w:tcW w:type="dxa" w:w="1176"/>
            <w:shd w:val="clear" w:color="auto" w:fill="FFFFFF"/>
          </w:tcPr>
          <w:p>
            <w:r>
              <w:rPr>
                <w:sz w:val="18"/>
              </w:rPr>
              <w:t>High (blending, regional)</w:t>
            </w:r>
          </w:p>
        </w:tc>
        <w:tc>
          <w:tcPr>
            <w:tcW w:type="dxa" w:w="1176"/>
            <w:shd w:val="clear" w:color="auto" w:fill="FFFFFF"/>
          </w:tcPr>
          <w:p>
            <w:r>
              <w:rPr>
                <w:sz w:val="18"/>
              </w:rPr>
              <w:t>High (molasses)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Co-generation (bagasse to grid)</w:t>
            </w:r>
          </w:p>
        </w:tc>
        <w:tc>
          <w:tcPr>
            <w:tcW w:type="dxa" w:w="1176"/>
            <w:shd w:val="clear" w:color="auto" w:fill="EEF3F9"/>
          </w:tcPr>
          <w:p>
            <w:r>
              <w:rPr>
                <w:sz w:val="18"/>
              </w:rPr>
              <w:t>Medium–High</w:t>
            </w:r>
          </w:p>
        </w:tc>
        <w:tc>
          <w:tcPr>
            <w:tcW w:type="dxa" w:w="1176"/>
            <w:shd w:val="clear" w:color="auto" w:fill="EEF3F9"/>
          </w:tcPr>
          <w:p>
            <w:r>
              <w:rPr>
                <w:sz w:val="18"/>
              </w:rPr>
              <w:t>High (bagasse)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Energy benefit</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b/>
                <w:sz w:val="18"/>
              </w:rPr>
              <w:t>Confectionery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Raw brown-sugar capacity expansion</w:t>
            </w:r>
          </w:p>
        </w:tc>
        <w:tc>
          <w:tcPr>
            <w:tcW w:type="dxa" w:w="1176"/>
            <w:shd w:val="clear" w:color="auto" w:fill="EEF3F9"/>
          </w:tcPr>
          <w:p>
            <w:r>
              <w:rPr>
                <w:sz w:val="18"/>
              </w:rPr>
              <w:t>Low (surplus)</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import line using surplus domestic cane; serves beverages, food processing and pharmaceuticals.</w:t>
      </w:r>
    </w:p>
    <w:p>
      <w:pPr>
        <w:pStyle w:val="ListNumber"/>
      </w:pPr>
      <w:r>
        <w:rPr>
          <w:b/>
        </w:rPr>
        <w:t>Ethanol</w:t>
      </w:r>
      <w:r>
        <w:t xml:space="preserve"> — convert molasses surplus into fuel-blending ethanol (energy security, decarbonisation) and industrial alcohol, with strong regional demand.</w:t>
      </w:r>
    </w:p>
    <w:p>
      <w:pPr>
        <w:pStyle w:val="ListNumber"/>
      </w:pPr>
      <w:r>
        <w:rPr>
          <w:b/>
        </w:rPr>
        <w:t>Co-generation</w:t>
      </w:r>
      <w:r>
        <w:t xml:space="preserve"> — monetise bagasse as renewable grid electricity, improving mill economics.</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The strategic move is </w:t>
      </w:r>
      <w:r>
        <w:rPr>
          <w:b/>
        </w:rPr>
        <w:t>downstream, not more raw sugar.</w:t>
      </w:r>
    </w:p>
    <w:p>
      <w:pPr>
        <w:pStyle w:val="Heading2"/>
      </w:pPr>
      <w:r>
        <w:t>7.G Project Profiles</w:t>
      </w:r>
    </w:p>
    <w:p>
      <w:r>
        <w:rPr>
          <w:b/>
        </w:rPr>
        <w:t>P1 — Ethanol distillery + fuel-blending programme (strategic + green).</w:t>
      </w:r>
    </w:p>
    <w:p>
      <w:pPr>
        <w:pStyle w:val="ListBullet"/>
      </w:pPr>
      <w:r>
        <w:rPr>
          <w:i/>
        </w:rPr>
        <w:t>Strategic:</w:t>
      </w:r>
      <w:r>
        <w:t xml:space="preserve"> absorbs molasses surplus; energy security; regional ethanol demand.</w:t>
      </w:r>
    </w:p>
    <w:p>
      <w:pPr>
        <w:pStyle w:val="ListBullet"/>
      </w:pPr>
      <w:r>
        <w:rPr>
          <w:i/>
        </w:rPr>
        <w:t>Quick-win element:</w:t>
      </w:r>
      <w:r>
        <w:t xml:space="preserve"> a fuel-blending mandate creates instant guaranteed demand.</w:t>
      </w:r>
    </w:p>
    <w:p>
      <w:pPr>
        <w:pStyle w:val="ListBullet"/>
      </w:pPr>
      <w:r>
        <w:rPr>
          <w:i/>
        </w:rPr>
        <w:t>Green:</w:t>
      </w:r>
      <w:r>
        <w:t xml:space="preserve"> biofuel displacing imported petrol; vinasse-to-biogas.</w:t>
      </w:r>
    </w:p>
    <w:p>
      <w:r>
        <w:rPr>
          <w:b/>
        </w:rPr>
        <w:t>P2 — Industrial-sugar refining (strategic, import-substitution).</w:t>
      </w:r>
    </w:p>
    <w:p>
      <w:pPr>
        <w:pStyle w:val="ListBullet"/>
      </w:pPr>
      <w:r>
        <w:rPr>
          <w:i/>
        </w:rPr>
        <w:t>Strategic:</w:t>
      </w:r>
      <w:r>
        <w:t xml:space="preserve"> substitutes the USD 38m industrial-sugar import line for food/beverage/pharma.</w:t>
      </w:r>
    </w:p>
    <w:p>
      <w:pPr>
        <w:pStyle w:val="ListBullet"/>
      </w:pPr>
      <w:r>
        <w:rPr>
          <w:i/>
        </w:rPr>
        <w:t>Quick-win element:</w:t>
      </w:r>
      <w:r>
        <w:t xml:space="preserve"> build on existing mills (Kinyara) and surplus cane.</w:t>
      </w:r>
    </w:p>
    <w:p>
      <w:pPr>
        <w:pStyle w:val="ListBullet"/>
      </w:pPr>
      <w:r>
        <w:rPr>
          <w:i/>
        </w:rPr>
        <w:t>Green:</w:t>
      </w:r>
      <w:r>
        <w:t xml:space="preserve"> co-located with co-gen for renewable process power.</w:t>
      </w:r>
    </w:p>
    <w:p>
      <w:r>
        <w:rPr>
          <w:b/>
        </w:rPr>
        <w:t>P3 — Bagasse co-generation expansion (green + quick win).</w:t>
      </w:r>
    </w:p>
    <w:p>
      <w:pPr>
        <w:pStyle w:val="ListBullet"/>
      </w:pPr>
      <w:r>
        <w:rPr>
          <w:i/>
        </w:rPr>
        <w:t>Strategic:</w:t>
      </w:r>
      <w:r>
        <w:t xml:space="preserve"> renewable grid power + better mill economics.</w:t>
      </w:r>
    </w:p>
    <w:p>
      <w:pPr>
        <w:pStyle w:val="ListBullet"/>
      </w:pPr>
      <w:r>
        <w:rPr>
          <w:i/>
        </w:rPr>
        <w:t>Quick-win element:</w:t>
      </w:r>
      <w:r>
        <w:t xml:space="preserve"> needs mainly a clear feed-in framework.</w:t>
      </w:r>
    </w:p>
    <w:p>
      <w:pPr>
        <w:pStyle w:val="ListBullet"/>
      </w:pPr>
      <w:r>
        <w:rPr>
          <w:i/>
        </w:rPr>
        <w:t>Green:</w:t>
      </w:r>
      <w:r>
        <w:t xml:space="preserve"> renewable electricity from a waste stream.</w:t>
      </w:r>
    </w:p>
    <w:p>
      <w:pPr>
        <w:pStyle w:val="Heading2"/>
      </w:pPr>
      <w:r>
        <w:t>7.H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Licensing/zoning discipline on new raw-sugar mills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8: Plastics &amp; Packaging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NEMA </w:t>
      </w:r>
      <w:r>
        <w:rPr>
          <w:i/>
        </w:rPr>
        <w:t>National Strategy for Plastics Circularity 2023–2028</w:t>
      </w:r>
      <w:r>
        <w:t>; UNBS certified-manufacturer registers; UBOS; ITC TradeMap (2024). Full sources are in the consolidated References at the end of this report.</w:t>
      </w:r>
    </w:p>
    <w:p>
      <w:pPr>
        <w:pStyle w:val="Heading2"/>
      </w:pPr>
      <w:r>
        <w:t>8.0 Why Plastics &amp; Packaging Matters for the Tenfold Growth Strategy</w:t>
      </w:r>
    </w:p>
    <w:p>
      <w:r>
        <w:t xml:space="preserve">Packaging is an enabling industry for </w:t>
      </w:r>
      <w:r>
        <w:rPr>
          <w:i/>
        </w:rPr>
        <w:t>every other</w:t>
      </w:r>
      <w:r>
        <w:t xml:space="preserve"> manufacturing chain — food, beverages, sugar, fertilizer, cement and pharmaceuticals all need it. A ten-times-larger manufacturing economy needs a ten-times-larger packaging base, and it cannot be built on 100% imported resin and imported finished packaging. The tenfold play here is twofold: </w:t>
      </w:r>
      <w:r>
        <w:rPr>
          <w:b/>
        </w:rPr>
        <w:t>substitute the packaging import bill with higher-value domestic conversion</w:t>
      </w:r>
      <w:r>
        <w:t xml:space="preserve">, and </w:t>
      </w:r>
      <w:r>
        <w:rPr>
          <w:b/>
        </w:rPr>
        <w:t>build circularity</w:t>
      </w:r>
      <w:r>
        <w:t xml:space="preserve"> — turning Uganda's large plastic-waste stream into domestic feedstock — so growth does not mean proportionally more pollution. The 2025 move toward a single-use-bag ban reshapes the sector toward exactly this: recycled content, durable packaging, and alternatives.</w:t>
      </w:r>
    </w:p>
    <w:p>
      <w:pPr>
        <w:pStyle w:val="Heading2"/>
      </w:pPr>
      <w:r>
        <w:t>8.A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Resin / feedstock</w:t>
            </w:r>
          </w:p>
        </w:tc>
        <w:tc>
          <w:tcPr>
            <w:tcW w:type="dxa" w:w="1881"/>
            <w:shd w:val="clear" w:color="auto" w:fill="EEF3F9"/>
          </w:tcPr>
          <w:p>
            <w:r>
              <w:rPr>
                <w:sz w:val="18"/>
              </w:rPr>
              <w:t>Petrochemicals (imported)</w:t>
            </w:r>
          </w:p>
        </w:tc>
        <w:tc>
          <w:tcPr>
            <w:tcW w:type="dxa" w:w="1881"/>
            <w:shd w:val="clear" w:color="auto" w:fill="EEF3F9"/>
          </w:tcPr>
          <w:p>
            <w:r>
              <w:rPr>
                <w:sz w:val="18"/>
              </w:rPr>
              <w:t>PE, PP, PET, PVC resin</w:t>
            </w:r>
          </w:p>
        </w:tc>
        <w:tc>
          <w:tcPr>
            <w:tcW w:type="dxa" w:w="1881"/>
            <w:shd w:val="clear" w:color="auto" w:fill="EEF3F9"/>
          </w:tcPr>
          <w:p>
            <w:r>
              <w:rPr>
                <w:b/>
                <w:sz w:val="18"/>
              </w:rPr>
              <w:t>Gap</w:t>
            </w:r>
            <w:r>
              <w:rPr>
                <w:sz w:val="18"/>
              </w:rPr>
              <w:t xml:space="preserve"> — all imported (until Ch.6 park)</w:t>
            </w:r>
          </w:p>
        </w:tc>
      </w:tr>
      <w:tr>
        <w:tc>
          <w:tcPr>
            <w:tcW w:type="dxa" w:w="1881"/>
            <w:shd w:val="clear" w:color="auto" w:fill="FFFFFF"/>
          </w:tcPr>
          <w:p>
            <w:r>
              <w:rPr>
                <w:sz w:val="18"/>
              </w:rPr>
              <w:t>II</w:t>
            </w:r>
          </w:p>
        </w:tc>
        <w:tc>
          <w:tcPr>
            <w:tcW w:type="dxa" w:w="1881"/>
            <w:shd w:val="clear" w:color="auto" w:fill="FFFFFF"/>
          </w:tcPr>
          <w:p>
            <w:r>
              <w:rPr>
                <w:sz w:val="18"/>
              </w:rPr>
              <w:t>Conversion</w:t>
            </w:r>
          </w:p>
        </w:tc>
        <w:tc>
          <w:tcPr>
            <w:tcW w:type="dxa" w:w="1881"/>
            <w:shd w:val="clear" w:color="auto" w:fill="FFFFFF"/>
          </w:tcPr>
          <w:p>
            <w:r>
              <w:rPr>
                <w:sz w:val="18"/>
              </w:rPr>
              <w:t>Resin</w:t>
            </w:r>
          </w:p>
        </w:tc>
        <w:tc>
          <w:tcPr>
            <w:tcW w:type="dxa" w:w="1881"/>
            <w:shd w:val="clear" w:color="auto" w:fill="FFFFFF"/>
          </w:tcPr>
          <w:p>
            <w:r>
              <w:rPr>
                <w:sz w:val="18"/>
              </w:rPr>
              <w:t>Films, sheets, preforms, mouldings</w:t>
            </w:r>
          </w:p>
        </w:tc>
        <w:tc>
          <w:tcPr>
            <w:tcW w:type="dxa" w:w="1881"/>
            <w:shd w:val="clear" w:color="auto" w:fill="FFFFFF"/>
          </w:tcPr>
          <w:p>
            <w:r>
              <w:rPr>
                <w:b/>
                <w:sz w:val="18"/>
              </w:rPr>
              <w:t>Established</w:t>
            </w:r>
          </w:p>
        </w:tc>
      </w:tr>
      <w:tr>
        <w:tc>
          <w:tcPr>
            <w:tcW w:type="dxa" w:w="1881"/>
            <w:shd w:val="clear" w:color="auto" w:fill="EEF3F9"/>
          </w:tcPr>
          <w:p>
            <w:r>
              <w:rPr>
                <w:sz w:val="18"/>
              </w:rPr>
              <w:t>III</w:t>
            </w:r>
          </w:p>
        </w:tc>
        <w:tc>
          <w:tcPr>
            <w:tcW w:type="dxa" w:w="1881"/>
            <w:shd w:val="clear" w:color="auto" w:fill="EEF3F9"/>
          </w:tcPr>
          <w:p>
            <w:r>
              <w:rPr>
                <w:sz w:val="18"/>
              </w:rPr>
              <w:t>Packaging &amp; products</w:t>
            </w:r>
          </w:p>
        </w:tc>
        <w:tc>
          <w:tcPr>
            <w:tcW w:type="dxa" w:w="1881"/>
            <w:shd w:val="clear" w:color="auto" w:fill="EEF3F9"/>
          </w:tcPr>
          <w:p>
            <w:r>
              <w:rPr>
                <w:sz w:val="18"/>
              </w:rPr>
              <w:t>Converted plastic</w:t>
            </w:r>
          </w:p>
        </w:tc>
        <w:tc>
          <w:tcPr>
            <w:tcW w:type="dxa" w:w="1881"/>
            <w:shd w:val="clear" w:color="auto" w:fill="EEF3F9"/>
          </w:tcPr>
          <w:p>
            <w:r>
              <w:rPr>
                <w:sz w:val="18"/>
              </w:rPr>
              <w:t>Bottles, sacks, containers, household goods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Use</w:t>
            </w:r>
          </w:p>
        </w:tc>
        <w:tc>
          <w:tcPr>
            <w:tcW w:type="dxa" w:w="1881"/>
            <w:shd w:val="clear" w:color="auto" w:fill="FFFFFF"/>
          </w:tcPr>
          <w:p>
            <w:r>
              <w:rPr>
                <w:sz w:val="18"/>
              </w:rPr>
              <w:t>Products</w:t>
            </w:r>
          </w:p>
        </w:tc>
        <w:tc>
          <w:tcPr>
            <w:tcW w:type="dxa" w:w="1881"/>
            <w:shd w:val="clear" w:color="auto" w:fill="FFFFFF"/>
          </w:tcPr>
          <w:p>
            <w:r>
              <w:rPr>
                <w:sz w:val="18"/>
              </w:rPr>
              <w:t>Consumer/industrial use</w:t>
            </w:r>
          </w:p>
        </w:tc>
        <w:tc>
          <w:tcPr>
            <w:tcW w:type="dxa" w:w="1881"/>
            <w:shd w:val="clear" w:color="auto" w:fill="FFFFFF"/>
          </w:tcPr>
          <w:p>
            <w:r>
              <w:rPr>
                <w:sz w:val="18"/>
              </w:rPr>
              <w:t>—</w:t>
            </w:r>
          </w:p>
        </w:tc>
      </w:tr>
      <w:tr>
        <w:tc>
          <w:tcPr>
            <w:tcW w:type="dxa" w:w="1881"/>
            <w:shd w:val="clear" w:color="auto" w:fill="EEF3F9"/>
          </w:tcPr>
          <w:p>
            <w:r>
              <w:rPr>
                <w:sz w:val="18"/>
              </w:rPr>
              <w:t>V</w:t>
            </w:r>
          </w:p>
        </w:tc>
        <w:tc>
          <w:tcPr>
            <w:tcW w:type="dxa" w:w="1881"/>
            <w:shd w:val="clear" w:color="auto" w:fill="EEF3F9"/>
          </w:tcPr>
          <w:p>
            <w:r>
              <w:rPr>
                <w:sz w:val="18"/>
              </w:rPr>
              <w:t>Recycling</w:t>
            </w:r>
          </w:p>
        </w:tc>
        <w:tc>
          <w:tcPr>
            <w:tcW w:type="dxa" w:w="1881"/>
            <w:shd w:val="clear" w:color="auto" w:fill="EEF3F9"/>
          </w:tcPr>
          <w:p>
            <w:r>
              <w:rPr>
                <w:sz w:val="18"/>
              </w:rPr>
              <w:t>Post-consumer plastic</w:t>
            </w:r>
          </w:p>
        </w:tc>
        <w:tc>
          <w:tcPr>
            <w:tcW w:type="dxa" w:w="1881"/>
            <w:shd w:val="clear" w:color="auto" w:fill="EEF3F9"/>
          </w:tcPr>
          <w:p>
            <w:r>
              <w:rPr>
                <w:sz w:val="18"/>
              </w:rPr>
              <w:t>Recycled flake/pellet</w:t>
            </w:r>
          </w:p>
        </w:tc>
        <w:tc>
          <w:tcPr>
            <w:tcW w:type="dxa" w:w="1881"/>
            <w:shd w:val="clear" w:color="auto" w:fill="EEF3F9"/>
          </w:tcPr>
          <w:p>
            <w:r>
              <w:rPr>
                <w:b/>
                <w:sz w:val="18"/>
              </w:rPr>
              <w:t>Under-scaled</w:t>
            </w:r>
          </w:p>
        </w:tc>
      </w:tr>
    </w:tbl>
    <w:p/>
    <w:p>
      <w:r>
        <w:rPr>
          <w:b/>
        </w:rPr>
        <w:t>Where value is captured and lost.</w:t>
      </w:r>
      <w:r>
        <w:t xml:space="preserve"> Uganda imports </w:t>
      </w:r>
      <w:r>
        <w:rPr>
          <w:b/>
        </w:rPr>
        <w:t>all virgin polymer resin</w:t>
      </w:r>
      <w:r>
        <w:t xml:space="preserve"> (no domestic production until the petrochemical park, Chapter 6) and a large share of finished plastics. Plastic packaging (HS 3923) imports were ~</w:t>
      </w:r>
      <w:r>
        <w:rPr>
          <w:b/>
        </w:rPr>
        <w:t>USD 37.1 million in 2024</w:t>
      </w:r>
      <w:r>
        <w:t xml:space="preserve"> (ITC TradeMap), and Uganda imports roughly </w:t>
      </w:r>
      <w:r>
        <w:rPr>
          <w:b/>
        </w:rPr>
        <w:t>150,000 tonnes of plastics a year</w:t>
      </w:r>
      <w:r>
        <w:t xml:space="preserve"> (NEMA). Domestic value addition is in conversion; feedstock and much finished product are imported — and the waste largely uncaptured.</w:t>
      </w:r>
    </w:p>
    <w:p>
      <w:pPr>
        <w:pStyle w:val="Heading2"/>
      </w:pPr>
      <w:r>
        <w:t>8.B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Plastic packaging imports (HS 3923)</w:t>
            </w:r>
          </w:p>
        </w:tc>
        <w:tc>
          <w:tcPr>
            <w:tcW w:type="dxa" w:w="3135"/>
            <w:shd w:val="clear" w:color="auto" w:fill="EEF3F9"/>
          </w:tcPr>
          <w:p>
            <w:r>
              <w:rPr>
                <w:sz w:val="18"/>
              </w:rPr>
              <w:t>~USD 37.1m (2024)</w:t>
            </w:r>
          </w:p>
        </w:tc>
        <w:tc>
          <w:tcPr>
            <w:tcW w:type="dxa" w:w="3135"/>
            <w:shd w:val="clear" w:color="auto" w:fill="EEF3F9"/>
          </w:tcPr>
          <w:p>
            <w:r>
              <w:rPr>
                <w:sz w:val="18"/>
              </w:rPr>
              <w:t>ITC TradeMap</w:t>
            </w:r>
          </w:p>
        </w:tc>
      </w:tr>
      <w:tr>
        <w:tc>
          <w:tcPr>
            <w:tcW w:type="dxa" w:w="3135"/>
            <w:shd w:val="clear" w:color="auto" w:fill="FFFFFF"/>
          </w:tcPr>
          <w:p>
            <w:r>
              <w:rPr>
                <w:sz w:val="18"/>
              </w:rPr>
              <w:t>Plastics imported</w:t>
            </w:r>
          </w:p>
        </w:tc>
        <w:tc>
          <w:tcPr>
            <w:tcW w:type="dxa" w:w="3135"/>
            <w:shd w:val="clear" w:color="auto" w:fill="FFFFFF"/>
          </w:tcPr>
          <w:p>
            <w:r>
              <w:rPr>
                <w:sz w:val="18"/>
              </w:rPr>
              <w:t>~150,000 t/yr</w:t>
            </w:r>
          </w:p>
        </w:tc>
        <w:tc>
          <w:tcPr>
            <w:tcW w:type="dxa" w:w="3135"/>
            <w:shd w:val="clear" w:color="auto" w:fill="FFFFFF"/>
          </w:tcPr>
          <w:p>
            <w:r>
              <w:rPr>
                <w:sz w:val="18"/>
              </w:rPr>
              <w:t>NEMA</w:t>
            </w:r>
          </w:p>
        </w:tc>
      </w:tr>
      <w:tr>
        <w:tc>
          <w:tcPr>
            <w:tcW w:type="dxa" w:w="3135"/>
            <w:shd w:val="clear" w:color="auto" w:fill="EEF3F9"/>
          </w:tcPr>
          <w:p>
            <w:r>
              <w:rPr>
                <w:sz w:val="18"/>
              </w:rPr>
              <w:t>Certified bag manufacturers</w:t>
            </w:r>
          </w:p>
        </w:tc>
        <w:tc>
          <w:tcPr>
            <w:tcW w:type="dxa" w:w="3135"/>
            <w:shd w:val="clear" w:color="auto" w:fill="EEF3F9"/>
          </w:tcPr>
          <w:p>
            <w:r>
              <w:rPr>
                <w:b/>
                <w:sz w:val="18"/>
              </w:rPr>
              <w:t>41 firms, 67 valid UNBS permits</w:t>
            </w:r>
          </w:p>
        </w:tc>
        <w:tc>
          <w:tcPr>
            <w:tcW w:type="dxa" w:w="3135"/>
            <w:shd w:val="clear" w:color="auto" w:fill="EEF3F9"/>
          </w:tcPr>
          <w:p>
            <w:r>
              <w:rPr>
                <w:sz w:val="18"/>
              </w:rPr>
              <w:t>UNBS</w:t>
            </w:r>
          </w:p>
        </w:tc>
      </w:tr>
      <w:tr>
        <w:tc>
          <w:tcPr>
            <w:tcW w:type="dxa" w:w="3135"/>
            <w:shd w:val="clear" w:color="auto" w:fill="FFFFFF"/>
          </w:tcPr>
          <w:p>
            <w:r>
              <w:rPr>
                <w:sz w:val="18"/>
              </w:rPr>
              <w:t>Plastic waste generated</w:t>
            </w:r>
          </w:p>
        </w:tc>
        <w:tc>
          <w:tcPr>
            <w:tcW w:type="dxa" w:w="3135"/>
            <w:shd w:val="clear" w:color="auto" w:fill="FFFFFF"/>
          </w:tcPr>
          <w:p>
            <w:r>
              <w:rPr>
                <w:b/>
                <w:sz w:val="18"/>
              </w:rPr>
              <w:t>~600 t/day, &lt;40% properly collected</w:t>
            </w:r>
          </w:p>
        </w:tc>
        <w:tc>
          <w:tcPr>
            <w:tcW w:type="dxa" w:w="3135"/>
            <w:shd w:val="clear" w:color="auto" w:fill="FFFFFF"/>
          </w:tcPr>
          <w:p>
            <w:r>
              <w:rPr>
                <w:sz w:val="18"/>
              </w:rPr>
              <w:t>NEMA</w:t>
            </w:r>
          </w:p>
        </w:tc>
      </w:tr>
      <w:tr>
        <w:tc>
          <w:tcPr>
            <w:tcW w:type="dxa" w:w="3135"/>
            <w:shd w:val="clear" w:color="auto" w:fill="EEF3F9"/>
          </w:tcPr>
          <w:p>
            <w:r>
              <w:rPr>
                <w:sz w:val="18"/>
              </w:rPr>
              <w:t>Policy</w:t>
            </w:r>
          </w:p>
        </w:tc>
        <w:tc>
          <w:tcPr>
            <w:tcW w:type="dxa" w:w="3135"/>
            <w:shd w:val="clear" w:color="auto" w:fill="EEF3F9"/>
          </w:tcPr>
          <w:p>
            <w:r>
              <w:rPr>
                <w:sz w:val="18"/>
              </w:rPr>
              <w:t xml:space="preserve">National Strategy for Plastics Circularity 2023–2028; </w:t>
            </w:r>
            <w:r>
              <w:rPr>
                <w:b/>
                <w:sz w:val="18"/>
              </w:rPr>
              <w:t>2025 single-use-bag ban move</w:t>
            </w:r>
          </w:p>
        </w:tc>
        <w:tc>
          <w:tcPr>
            <w:tcW w:type="dxa" w:w="3135"/>
            <w:shd w:val="clear" w:color="auto" w:fill="EEF3F9"/>
          </w:tcPr>
          <w:p>
            <w:r>
              <w:rPr>
                <w:sz w:val="18"/>
              </w:rPr>
              <w:t>NEMA</w:t>
            </w:r>
          </w:p>
        </w:tc>
      </w:tr>
      <w:tr>
        <w:tc>
          <w:tcPr>
            <w:tcW w:type="dxa" w:w="3135"/>
            <w:shd w:val="clear" w:color="auto" w:fill="FFFFFF"/>
          </w:tcPr>
          <w:p>
            <w:r>
              <w:rPr>
                <w:sz w:val="18"/>
              </w:rPr>
              <w:t>Leading firms</w:t>
            </w:r>
          </w:p>
        </w:tc>
        <w:tc>
          <w:tcPr>
            <w:tcW w:type="dxa" w:w="3135"/>
            <w:shd w:val="clear" w:color="auto" w:fill="FFFFFF"/>
          </w:tcPr>
          <w:p>
            <w:r>
              <w:rPr>
                <w:sz w:val="18"/>
              </w:rPr>
              <w:t>Nice House of Plastics (est. 1970, largest), Nile Plastic Industries; Quality Plastics (recycler, Mukono)</w:t>
            </w:r>
          </w:p>
        </w:tc>
        <w:tc>
          <w:tcPr>
            <w:tcW w:type="dxa" w:w="3135"/>
            <w:shd w:val="clear" w:color="auto" w:fill="FFFFFF"/>
          </w:tcPr>
          <w:p>
            <w:r>
              <w:rPr>
                <w:sz w:val="18"/>
              </w:rPr>
              <w:t>sector</w:t>
            </w:r>
          </w:p>
        </w:tc>
      </w:tr>
    </w:tbl>
    <w:p/>
    <w:p>
      <w:r>
        <w:rPr>
          <w:b/>
        </w:rPr>
        <w:t>Industry.</w:t>
      </w:r>
      <w:r>
        <w:t xml:space="preserve"> An established conversion industry in Kampala, Wakiso, Jinja, Mukono; </w:t>
      </w:r>
      <w:r>
        <w:rPr>
          <w:b/>
        </w:rPr>
        <w:t>41 UNBS-certified manufacturers of plastic bags hold 67 valid permits</w:t>
      </w:r>
      <w:r>
        <w:t xml:space="preserve">. Leading firms include </w:t>
      </w:r>
      <w:r>
        <w:rPr>
          <w:b/>
        </w:rPr>
        <w:t>Nice House of Plastics</w:t>
      </w:r>
      <w:r>
        <w:t xml:space="preserve"> (largest, est. 1970) and </w:t>
      </w:r>
      <w:r>
        <w:rPr>
          <w:b/>
        </w:rPr>
        <w:t>Nile Plastic Industries</w:t>
      </w:r>
      <w:r>
        <w:t xml:space="preserve">; recyclers such as </w:t>
      </w:r>
      <w:r>
        <w:rPr>
          <w:b/>
        </w:rPr>
        <w:t>Quality Plastics</w:t>
      </w:r>
      <w:r>
        <w:t xml:space="preserve"> run a growing but under-scaled loop.</w:t>
      </w:r>
    </w:p>
    <w:p>
      <w:r>
        <w:rPr>
          <w:b/>
        </w:rPr>
        <w:t>Waste &amp; circularity.</w:t>
      </w:r>
      <w:r>
        <w:t xml:space="preserve"> ~</w:t>
      </w:r>
      <w:r>
        <w:rPr>
          <w:b/>
        </w:rPr>
        <w:t>600 t/day</w:t>
      </w:r>
      <w:r>
        <w:t xml:space="preserve"> of plastic waste, </w:t>
      </w:r>
      <w:r>
        <w:rPr>
          <w:b/>
        </w:rPr>
        <w:t>under 40% properly collected</w:t>
      </w:r>
      <w:r>
        <w:t xml:space="preserve"> (NEMA). The </w:t>
      </w:r>
      <w:r>
        <w:rPr>
          <w:b/>
        </w:rPr>
        <w:t>Plastics Circularity Strategy (2023–2028)</w:t>
      </w:r>
      <w:r>
        <w:t xml:space="preserve"> could cut plastic pollution up to ~37% by 2040 if implemented.</w:t>
      </w:r>
    </w:p>
    <w:p>
      <w:r>
        <w:rPr>
          <w:b/>
        </w:rPr>
        <w:t>2025 policy shift.</w:t>
      </w:r>
      <w:r>
        <w:t xml:space="preserve"> NEMA moved to </w:t>
      </w:r>
      <w:r>
        <w:rPr>
          <w:b/>
        </w:rPr>
        <w:t>ban single-use plastic carrier bags</w:t>
      </w:r>
      <w:r>
        <w:t xml:space="preserve"> (amending the National Environment Act), aligning with EAC neighbours — constraining single-use bags while creating demand for </w:t>
      </w:r>
      <w:r>
        <w:rPr>
          <w:b/>
        </w:rPr>
        <w:t>alternatives, recycled content and durable packaging</w:t>
      </w:r>
      <w:r>
        <w:t>.</w:t>
      </w:r>
    </w:p>
    <w:p>
      <w:pPr>
        <w:pStyle w:val="Heading2"/>
      </w:pPr>
      <w:r>
        <w:t>8.C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Large, growing packaging demand (food, beverage, agri-inputs, cement bags, pharma) met substantially by imports</w:t>
            </w:r>
          </w:p>
        </w:tc>
        <w:tc>
          <w:tcPr>
            <w:tcW w:type="dxa" w:w="3135"/>
            <w:shd w:val="clear" w:color="auto" w:fill="EEF3F9"/>
          </w:tcPr>
          <w:p>
            <w:r>
              <w:rPr>
                <w:sz w:val="18"/>
              </w:rPr>
              <w:t>Manufacturing growth across all chains; consumer goods</w:t>
            </w:r>
          </w:p>
        </w:tc>
      </w:tr>
      <w:tr>
        <w:tc>
          <w:tcPr>
            <w:tcW w:type="dxa" w:w="3135"/>
            <w:shd w:val="clear" w:color="auto" w:fill="FFFFFF"/>
          </w:tcPr>
          <w:p>
            <w:r>
              <w:rPr>
                <w:b/>
                <w:sz w:val="18"/>
              </w:rPr>
              <w:t>Regional (EAC + COMESA)</w:t>
            </w:r>
          </w:p>
        </w:tc>
        <w:tc>
          <w:tcPr>
            <w:tcW w:type="dxa" w:w="3135"/>
            <w:shd w:val="clear" w:color="auto" w:fill="FFFFFF"/>
          </w:tcPr>
          <w:p>
            <w:r>
              <w:rPr>
                <w:sz w:val="18"/>
              </w:rPr>
              <w:t>Accessible packaging market; EAC bag-ban alignment levels the field for compliant alternatives</w:t>
            </w:r>
          </w:p>
        </w:tc>
        <w:tc>
          <w:tcPr>
            <w:tcW w:type="dxa" w:w="3135"/>
            <w:shd w:val="clear" w:color="auto" w:fill="FFFFFF"/>
          </w:tcPr>
          <w:p>
            <w:r>
              <w:rPr>
                <w:sz w:val="18"/>
              </w:rPr>
              <w:t>Regional manufacturing/packaging demand</w:t>
            </w:r>
          </w:p>
        </w:tc>
      </w:tr>
      <w:tr>
        <w:tc>
          <w:tcPr>
            <w:tcW w:type="dxa" w:w="3135"/>
            <w:shd w:val="clear" w:color="auto" w:fill="EEF3F9"/>
          </w:tcPr>
          <w:p>
            <w:r>
              <w:rPr>
                <w:b/>
                <w:sz w:val="18"/>
              </w:rPr>
              <w:t>Continental (Africa)</w:t>
            </w:r>
          </w:p>
        </w:tc>
        <w:tc>
          <w:tcPr>
            <w:tcW w:type="dxa" w:w="3135"/>
            <w:shd w:val="clear" w:color="auto" w:fill="EEF3F9"/>
          </w:tcPr>
          <w:p>
            <w:r>
              <w:rPr>
                <w:sz w:val="18"/>
              </w:rPr>
              <w:t>Large packaging deficit; AfCFTA access</w:t>
            </w:r>
          </w:p>
        </w:tc>
        <w:tc>
          <w:tcPr>
            <w:tcW w:type="dxa" w:w="3135"/>
            <w:shd w:val="clear" w:color="auto" w:fill="EEF3F9"/>
          </w:tcPr>
          <w:p>
            <w:r>
              <w:rPr>
                <w:sz w:val="18"/>
              </w:rPr>
              <w:t>Industrialisation; consumer growth</w:t>
            </w:r>
          </w:p>
        </w:tc>
      </w:tr>
      <w:tr>
        <w:tc>
          <w:tcPr>
            <w:tcW w:type="dxa" w:w="3135"/>
            <w:shd w:val="clear" w:color="auto" w:fill="FFFFFF"/>
          </w:tcPr>
          <w:p>
            <w:r>
              <w:rPr>
                <w:b/>
                <w:sz w:val="18"/>
              </w:rPr>
              <w:t>Global</w:t>
            </w:r>
          </w:p>
        </w:tc>
        <w:tc>
          <w:tcPr>
            <w:tcW w:type="dxa" w:w="3135"/>
            <w:shd w:val="clear" w:color="auto" w:fill="FFFFFF"/>
          </w:tcPr>
          <w:p>
            <w:r>
              <w:rPr>
                <w:sz w:val="18"/>
              </w:rPr>
              <w:t>Not relevant; domestic/regional substitution + circularity</w:t>
            </w:r>
          </w:p>
        </w:tc>
        <w:tc>
          <w:tcPr>
            <w:tcW w:type="dxa" w:w="3135"/>
            <w:shd w:val="clear" w:color="auto" w:fill="FFFFFF"/>
          </w:tcPr>
          <w:p>
            <w:r>
              <w:rPr>
                <w:sz w:val="18"/>
              </w:rPr>
              <w:t>—</w:t>
            </w:r>
          </w:p>
        </w:tc>
      </w:tr>
    </w:tbl>
    <w:p/>
    <w:p>
      <w:pPr>
        <w:pStyle w:val="Heading3"/>
      </w:pPr>
      <w:r>
        <w:t>2040 projection — Tenfold logic</w:t>
      </w:r>
    </w:p>
    <w:p>
      <w:r>
        <w:t xml:space="preserve">Packaging demand scales with </w:t>
      </w:r>
      <w:r>
        <w:rPr>
          <w:i/>
        </w:rPr>
        <w:t>all</w:t>
      </w:r>
      <w:r>
        <w:t xml:space="preserve"> manufacturing, so a tenfold economy implies a several-fold larger packaging market by 2040 — but the strategy is to meet it with </w:t>
      </w:r>
      <w:r>
        <w:rPr>
          <w:b/>
        </w:rPr>
        <w:t>domestic conversion + recycled content + (eventually) domestic resin</w:t>
      </w:r>
      <w:r>
        <w:t xml:space="preserve"> from the Kabalega park (Chapter 6), not rising imports and waste. Recycling should grow from a marginal activity to a core feedstock source. Other markets grow on business-as-usual; Uganda competes </w:t>
      </w:r>
      <w:r>
        <w:rPr>
          <w:b/>
        </w:rPr>
        <w:t>regionally</w:t>
      </w:r>
      <w:r>
        <w:t xml:space="preserve"> in compliant, recycled-content packaging.</w:t>
      </w:r>
    </w:p>
    <w:p>
      <w:pPr>
        <w:pStyle w:val="Heading2"/>
      </w:pPr>
      <w:r>
        <w:t>8.D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100% imported virgin resin (inputs)</w:t>
            </w:r>
          </w:p>
        </w:tc>
        <w:tc>
          <w:tcPr>
            <w:tcW w:type="dxa" w:w="2351"/>
            <w:shd w:val="clear" w:color="auto" w:fill="EEF3F9"/>
          </w:tcPr>
          <w:p>
            <w:r>
              <w:rPr>
                <w:b/>
                <w:sz w:val="18"/>
              </w:rPr>
              <w:t>5</w:t>
            </w:r>
          </w:p>
        </w:tc>
        <w:tc>
          <w:tcPr>
            <w:tcW w:type="dxa" w:w="2351"/>
            <w:shd w:val="clear" w:color="auto" w:fill="EEF3F9"/>
          </w:tcPr>
          <w:p>
            <w:r>
              <w:rPr>
                <w:sz w:val="18"/>
              </w:rPr>
              <w:t>No domestic resin until the petrochemical park (Ch.6); recycled feedstock under-developed — the core cost/supply constraint</w:t>
            </w:r>
          </w:p>
        </w:tc>
      </w:tr>
      <w:tr>
        <w:tc>
          <w:tcPr>
            <w:tcW w:type="dxa" w:w="2351"/>
            <w:shd w:val="clear" w:color="auto" w:fill="FFFFFF"/>
          </w:tcPr>
          <w:p>
            <w:r>
              <w:rPr>
                <w:sz w:val="18"/>
              </w:rPr>
              <w:t>2</w:t>
            </w:r>
          </w:p>
        </w:tc>
        <w:tc>
          <w:tcPr>
            <w:tcW w:type="dxa" w:w="2351"/>
            <w:shd w:val="clear" w:color="auto" w:fill="FFFFFF"/>
          </w:tcPr>
          <w:p>
            <w:r>
              <w:rPr>
                <w:b/>
                <w:sz w:val="18"/>
              </w:rPr>
              <w:t>Low waste collection / weak circularity (waste)</w:t>
            </w:r>
          </w:p>
        </w:tc>
        <w:tc>
          <w:tcPr>
            <w:tcW w:type="dxa" w:w="2351"/>
            <w:shd w:val="clear" w:color="auto" w:fill="FFFFFF"/>
          </w:tcPr>
          <w:p>
            <w:r>
              <w:rPr>
                <w:b/>
                <w:sz w:val="18"/>
              </w:rPr>
              <w:t>4</w:t>
            </w:r>
          </w:p>
        </w:tc>
        <w:tc>
          <w:tcPr>
            <w:tcW w:type="dxa" w:w="2351"/>
            <w:shd w:val="clear" w:color="auto" w:fill="FFFFFF"/>
          </w:tcPr>
          <w:p>
            <w:r>
              <w:rPr>
                <w:sz w:val="18"/>
              </w:rPr>
              <w:t>~600 t/day waste, &lt;40% collected — pollution liability and a missed feedstock opportunity</w:t>
            </w:r>
          </w:p>
        </w:tc>
      </w:tr>
      <w:tr>
        <w:tc>
          <w:tcPr>
            <w:tcW w:type="dxa" w:w="2351"/>
            <w:shd w:val="clear" w:color="auto" w:fill="EEF3F9"/>
          </w:tcPr>
          <w:p>
            <w:r>
              <w:rPr>
                <w:sz w:val="18"/>
              </w:rPr>
              <w:t>3</w:t>
            </w:r>
          </w:p>
        </w:tc>
        <w:tc>
          <w:tcPr>
            <w:tcW w:type="dxa" w:w="2351"/>
            <w:shd w:val="clear" w:color="auto" w:fill="EEF3F9"/>
          </w:tcPr>
          <w:p>
            <w:r>
              <w:rPr>
                <w:b/>
                <w:sz w:val="18"/>
              </w:rPr>
              <w:t>Capital &amp; fragmentation (finance)</w:t>
            </w:r>
          </w:p>
        </w:tc>
        <w:tc>
          <w:tcPr>
            <w:tcW w:type="dxa" w:w="2351"/>
            <w:shd w:val="clear" w:color="auto" w:fill="EEF3F9"/>
          </w:tcPr>
          <w:p>
            <w:r>
              <w:rPr>
                <w:b/>
                <w:sz w:val="18"/>
              </w:rPr>
              <w:t>3</w:t>
            </w:r>
          </w:p>
        </w:tc>
        <w:tc>
          <w:tcPr>
            <w:tcW w:type="dxa" w:w="2351"/>
            <w:shd w:val="clear" w:color="auto" w:fill="EEF3F9"/>
          </w:tcPr>
          <w:p>
            <w:r>
              <w:rPr>
                <w:sz w:val="18"/>
              </w:rPr>
              <w:t>Recycling plants and modern converters need capital; sector is fragmented</w:t>
            </w:r>
          </w:p>
        </w:tc>
      </w:tr>
      <w:tr>
        <w:tc>
          <w:tcPr>
            <w:tcW w:type="dxa" w:w="2351"/>
            <w:shd w:val="clear" w:color="auto" w:fill="FFFFFF"/>
          </w:tcPr>
          <w:p>
            <w:r>
              <w:rPr>
                <w:sz w:val="18"/>
              </w:rPr>
              <w:t>4</w:t>
            </w:r>
          </w:p>
        </w:tc>
        <w:tc>
          <w:tcPr>
            <w:tcW w:type="dxa" w:w="2351"/>
            <w:shd w:val="clear" w:color="auto" w:fill="FFFFFF"/>
          </w:tcPr>
          <w:p>
            <w:r>
              <w:rPr>
                <w:b/>
                <w:sz w:val="18"/>
              </w:rPr>
              <w:t>Policy transition risk (policy)</w:t>
            </w:r>
          </w:p>
        </w:tc>
        <w:tc>
          <w:tcPr>
            <w:tcW w:type="dxa" w:w="2351"/>
            <w:shd w:val="clear" w:color="auto" w:fill="FFFFFF"/>
          </w:tcPr>
          <w:p>
            <w:r>
              <w:rPr>
                <w:b/>
                <w:sz w:val="18"/>
              </w:rPr>
              <w:t>3</w:t>
            </w:r>
          </w:p>
        </w:tc>
        <w:tc>
          <w:tcPr>
            <w:tcW w:type="dxa" w:w="2351"/>
            <w:shd w:val="clear" w:color="auto" w:fill="FFFFFF"/>
          </w:tcPr>
          <w:p>
            <w:r>
              <w:rPr>
                <w:sz w:val="18"/>
              </w:rPr>
              <w:t>The single-use-ban trajectory is opportunity for recyclers/alternatives but risk for single-use producers; clarity needed</w:t>
            </w:r>
          </w:p>
        </w:tc>
      </w:tr>
      <w:tr>
        <w:tc>
          <w:tcPr>
            <w:tcW w:type="dxa" w:w="2351"/>
            <w:shd w:val="clear" w:color="auto" w:fill="EEF3F9"/>
          </w:tcPr>
          <w:p>
            <w:r>
              <w:rPr>
                <w:sz w:val="18"/>
              </w:rPr>
              <w:t>5</w:t>
            </w:r>
          </w:p>
        </w:tc>
        <w:tc>
          <w:tcPr>
            <w:tcW w:type="dxa" w:w="2351"/>
            <w:shd w:val="clear" w:color="auto" w:fill="EEF3F9"/>
          </w:tcPr>
          <w:p>
            <w:r>
              <w:rPr>
                <w:b/>
                <w:sz w:val="18"/>
              </w:rPr>
              <w:t>Standards &amp; substandard bags (standards)</w:t>
            </w:r>
          </w:p>
        </w:tc>
        <w:tc>
          <w:tcPr>
            <w:tcW w:type="dxa" w:w="2351"/>
            <w:shd w:val="clear" w:color="auto" w:fill="EEF3F9"/>
          </w:tcPr>
          <w:p>
            <w:r>
              <w:rPr>
                <w:b/>
                <w:sz w:val="18"/>
              </w:rPr>
              <w:t>3</w:t>
            </w:r>
          </w:p>
        </w:tc>
        <w:tc>
          <w:tcPr>
            <w:tcW w:type="dxa" w:w="2351"/>
            <w:shd w:val="clear" w:color="auto" w:fill="EEF3F9"/>
          </w:tcPr>
          <w:p>
            <w:r>
              <w:rPr>
                <w:sz w:val="18"/>
              </w:rPr>
              <w:t>UNBS certification (thickness, food-grade) central; sub-standard bags are a quality and environmental problem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2</w:t>
            </w:r>
          </w:p>
        </w:tc>
        <w:tc>
          <w:tcPr>
            <w:tcW w:type="dxa" w:w="2351"/>
            <w:shd w:val="clear" w:color="auto" w:fill="FFFFFF"/>
          </w:tcPr>
          <w:p>
            <w:r>
              <w:rPr>
                <w:sz w:val="18"/>
              </w:rPr>
              <w:t>Imported resin bears the landlocked penalty</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Polymer-processing and recycling skills limited</w:t>
            </w:r>
          </w:p>
        </w:tc>
      </w:tr>
    </w:tbl>
    <w:p/>
    <w:p>
      <w:r>
        <w:t xml:space="preserve">The two binding constraints — </w:t>
      </w:r>
      <w:r>
        <w:rPr>
          <w:b/>
        </w:rPr>
        <w:t>imported resin</w:t>
      </w:r>
      <w:r>
        <w:t xml:space="preserve"> and </w:t>
      </w:r>
      <w:r>
        <w:rPr>
          <w:b/>
        </w:rPr>
        <w:t>weak circularity</w:t>
      </w:r>
      <w:r>
        <w:t xml:space="preserve"> — point to the same solution: </w:t>
      </w:r>
      <w:r>
        <w:rPr>
          <w:b/>
        </w:rPr>
        <w:t>build recycling</w:t>
      </w:r>
      <w:r>
        <w:t xml:space="preserve"> to create domestic feedstock now, and </w:t>
      </w:r>
      <w:r>
        <w:rPr>
          <w:b/>
        </w:rPr>
        <w:t>sequence domestic resin</w:t>
      </w:r>
      <w:r>
        <w:t xml:space="preserve"> to the refinery later.</w:t>
      </w:r>
    </w:p>
    <w:p>
      <w:pPr>
        <w:pStyle w:val="Heading2"/>
      </w:pPr>
      <w:r>
        <w:t>8.E Greening &amp; Sustainability</w:t>
      </w:r>
    </w:p>
    <w:p>
      <w:r>
        <w:t>For plastics, *</w:t>
      </w:r>
      <w:r>
        <w:rPr>
          <w:i/>
        </w:rPr>
        <w:t xml:space="preserve">circularity </w:t>
      </w:r>
      <w:r>
        <w:t>is</w:t>
      </w:r>
      <w:r>
        <w:rPr>
          <w:i/>
        </w:rPr>
        <w:t xml:space="preserve"> the strategy</w:t>
      </w:r>
      <w:r>
        <w:t>* — environmental performance and competitiveness are the same thing here.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High waste, low collection (&lt;40%); single-use bags being phased down</w:t>
            </w:r>
          </w:p>
        </w:tc>
      </w:tr>
      <w:tr>
        <w:tc>
          <w:tcPr>
            <w:tcW w:type="dxa" w:w="4703"/>
            <w:shd w:val="clear" w:color="auto" w:fill="FFFFFF"/>
          </w:tcPr>
          <w:p>
            <w:r>
              <w:rPr>
                <w:b/>
                <w:sz w:val="18"/>
              </w:rPr>
              <w:t>Current solutions</w:t>
            </w:r>
          </w:p>
        </w:tc>
        <w:tc>
          <w:tcPr>
            <w:tcW w:type="dxa" w:w="4703"/>
            <w:shd w:val="clear" w:color="auto" w:fill="FFFFFF"/>
          </w:tcPr>
          <w:p>
            <w:r>
              <w:rPr>
                <w:sz w:val="18"/>
              </w:rPr>
              <w:t>Circularity Strategy 2023–2028; early recyclers (Quality Plastics); UNBS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Plastics recycling (PET/HDPE flake &amp; pellet)</w:t>
            </w:r>
            <w:r>
              <w:rPr>
                <w:sz w:val="18"/>
              </w:rPr>
              <w:t xml:space="preserve"> turning waste into domestic feedstock; (2) </w:t>
            </w:r>
            <w:r>
              <w:rPr>
                <w:b/>
                <w:sz w:val="18"/>
              </w:rPr>
              <w:t>Extended Producer Responsibility (EPR)</w:t>
            </w:r>
            <w:r>
              <w:rPr>
                <w:sz w:val="18"/>
              </w:rPr>
              <w:t xml:space="preserve"> and deposit-return to lift collection; (3) </w:t>
            </w:r>
            <w:r>
              <w:rPr>
                <w:b/>
                <w:sz w:val="18"/>
              </w:rPr>
              <w:t>recycled-content &amp; durable/refillable packaging</w:t>
            </w:r>
            <w:r>
              <w:rPr>
                <w:sz w:val="18"/>
              </w:rPr>
              <w:t xml:space="preserve">; (4) </w:t>
            </w:r>
            <w:r>
              <w:rPr>
                <w:b/>
                <w:sz w:val="18"/>
              </w:rPr>
              <w:t>bio-based/compostable alternatives</w:t>
            </w:r>
            <w:r>
              <w:rPr>
                <w:sz w:val="18"/>
              </w:rPr>
              <w:t xml:space="preserve"> to single-use items</w:t>
            </w:r>
          </w:p>
        </w:tc>
      </w:tr>
    </w:tbl>
    <w:p/>
    <w:p>
      <w:r>
        <w:rPr>
          <w:b/>
        </w:rPr>
        <w:t>Why it pays:</w:t>
      </w:r>
      <w:r>
        <w:t xml:space="preserve"> recycling substitutes imported resin (cost + supply security), EPR funds collection, and recycled-content/compostable products meet the 2025 policy and regional bans — converting an environmental liability into a feedstock industry.</w:t>
      </w:r>
    </w:p>
    <w:p>
      <w:pPr>
        <w:pStyle w:val="Heading2"/>
      </w:pPr>
      <w:r>
        <w:t>8.F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&amp; food/beverage packaging</w:t>
            </w:r>
          </w:p>
        </w:tc>
        <w:tc>
          <w:tcPr>
            <w:tcW w:type="dxa" w:w="1176"/>
            <w:shd w:val="clear" w:color="auto" w:fill="EEF3F9"/>
          </w:tcPr>
          <w:p>
            <w:r>
              <w:rPr>
                <w:sz w:val="18"/>
              </w:rPr>
              <w:t>High (USD 37m+)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Plastics recycling (flake/pellet)</w:t>
            </w:r>
          </w:p>
        </w:tc>
        <w:tc>
          <w:tcPr>
            <w:tcW w:type="dxa" w:w="1176"/>
            <w:shd w:val="clear" w:color="auto" w:fill="FFFFFF"/>
          </w:tcPr>
          <w:p>
            <w:r>
              <w:rPr>
                <w:sz w:val="18"/>
              </w:rPr>
              <w:t>High (circularity)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Agricultural &amp; cement packaging (sacks, films)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Single-use carrier bags</w:t>
            </w:r>
          </w:p>
        </w:tc>
        <w:tc>
          <w:tcPr>
            <w:tcW w:type="dxa" w:w="1176"/>
            <w:shd w:val="clear" w:color="auto" w:fill="FFFFFF"/>
          </w:tcPr>
          <w:p>
            <w:r>
              <w:rPr>
                <w:sz w:val="18"/>
              </w:rPr>
              <w:t>Declining (ban)</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Deprioritize</w:t>
            </w:r>
          </w:p>
        </w:tc>
      </w:tr>
      <w:tr>
        <w:tc>
          <w:tcPr>
            <w:tcW w:type="dxa" w:w="1176"/>
            <w:shd w:val="clear" w:color="auto" w:fill="EEF3F9"/>
          </w:tcPr>
          <w:p>
            <w:r>
              <w:rPr>
                <w:sz w:val="18"/>
              </w:rPr>
              <w:t>Domestic virgin-resin production</w:t>
            </w:r>
          </w:p>
        </w:tc>
        <w:tc>
          <w:tcPr>
            <w:tcW w:type="dxa" w:w="1176"/>
            <w:shd w:val="clear" w:color="auto" w:fill="EEF3F9"/>
          </w:tcPr>
          <w:p>
            <w:r>
              <w:rPr>
                <w:sz w:val="18"/>
              </w:rPr>
              <w:t>High</w:t>
            </w:r>
          </w:p>
        </w:tc>
        <w:tc>
          <w:tcPr>
            <w:tcW w:type="dxa" w:w="1176"/>
            <w:shd w:val="clear" w:color="auto" w:fill="EEF3F9"/>
          </w:tcPr>
          <w:p>
            <w:r>
              <w:rPr>
                <w:sz w:val="18"/>
              </w:rPr>
              <w:t>Low now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Low</w:t>
            </w:r>
          </w:p>
        </w:tc>
        <w:tc>
          <w:tcPr>
            <w:tcW w:type="dxa" w:w="1176"/>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imports with higher-value, standards-compliant domestic packaging for food, beverage and agri-input sectors.</w:t>
      </w:r>
    </w:p>
    <w:p>
      <w:pPr>
        <w:pStyle w:val="ListNumber"/>
      </w:pPr>
      <w:r>
        <w:rPr>
          <w:b/>
        </w:rPr>
        <w:t>Plastics recycling</w:t>
      </w:r>
      <w:r>
        <w:t xml:space="preserve"> — scale recycling to turn the 600 t/day waste stream into domestic feedstock; the strongest alignment with the 2025 circularity policy.</w:t>
      </w:r>
    </w:p>
    <w:p>
      <w:pPr>
        <w:pStyle w:val="ListNumber"/>
      </w:pPr>
      <w:r>
        <w:rPr>
          <w:b/>
        </w:rPr>
        <w:t>Agricultural and cement packaging</w:t>
      </w:r>
      <w:r>
        <w:t xml:space="preserve"> (woven sacks, films) — feasible, job-rich, and linked to Uganda's agriculture and cement sectors.</w:t>
      </w:r>
    </w:p>
    <w:p>
      <w:r>
        <w:rPr>
          <w:b/>
        </w:rPr>
        <w:t>Explicit deprioritization.</w:t>
      </w:r>
      <w:r>
        <w:t xml:space="preserve"> Uganda should </w:t>
      </w:r>
      <w:r>
        <w:rPr>
          <w:b/>
        </w:rPr>
        <w:t>not</w:t>
      </w:r>
      <w:r>
        <w:t xml:space="preserve"> expand </w:t>
      </w:r>
      <w:r>
        <w:rPr>
          <w:b/>
        </w:rPr>
        <w:t>single-use carrier-bag</w:t>
      </w:r>
      <w:r>
        <w:t xml:space="preserve"> capacity (stranded-asset risk under the 2025 policy). Domestic </w:t>
      </w:r>
      <w:r>
        <w:rPr>
          <w:b/>
        </w:rPr>
        <w:t>virgin-resin</w:t>
      </w:r>
      <w:r>
        <w:t xml:space="preserve"> is conditional and must be </w:t>
      </w:r>
      <w:r>
        <w:rPr>
          <w:b/>
        </w:rPr>
        <w:t>sequenced to the petrochemical park</w:t>
      </w:r>
      <w:r>
        <w:t xml:space="preserve"> (Chapter 6).</w:t>
      </w:r>
    </w:p>
    <w:p>
      <w:pPr>
        <w:pStyle w:val="Heading2"/>
      </w:pPr>
      <w:r>
        <w:t>8.G Project Profiles</w:t>
      </w:r>
    </w:p>
    <w:p>
      <w:r>
        <w:rPr>
          <w:b/>
        </w:rPr>
        <w:t>P1 — Plastics recycling capacity (green + strategic anchor).</w:t>
      </w:r>
    </w:p>
    <w:p>
      <w:pPr>
        <w:pStyle w:val="ListBullet"/>
      </w:pPr>
      <w:r>
        <w:rPr>
          <w:i/>
        </w:rPr>
        <w:t>Strategic:</w:t>
      </w:r>
      <w:r>
        <w:t xml:space="preserve"> turns the 600 t/day waste stream into domestic feedstock; cuts resin imports; aligns with circularity policy.</w:t>
      </w:r>
    </w:p>
    <w:p>
      <w:pPr>
        <w:pStyle w:val="ListBullet"/>
      </w:pPr>
      <w:r>
        <w:rPr>
          <w:i/>
        </w:rPr>
        <w:t>Quick-win element:</w:t>
      </w:r>
      <w:r>
        <w:t xml:space="preserve"> build on existing recyclers (Quality Plastics) + EPR collection.</w:t>
      </w:r>
    </w:p>
    <w:p>
      <w:pPr>
        <w:pStyle w:val="ListBullet"/>
      </w:pPr>
      <w:r>
        <w:rPr>
          <w:i/>
        </w:rPr>
        <w:t>Green:</w:t>
      </w:r>
      <w:r>
        <w:t xml:space="preserve"> the flagship circular-economy project.</w:t>
      </w:r>
    </w:p>
    <w:p>
      <w:r>
        <w:rPr>
          <w:b/>
        </w:rPr>
        <w:t>P2 — Modern food/beverage &amp; agri-packaging plant (strategic).</w:t>
      </w:r>
    </w:p>
    <w:p>
      <w:pPr>
        <w:pStyle w:val="ListBullet"/>
      </w:pPr>
      <w:r>
        <w:rPr>
          <w:i/>
        </w:rPr>
        <w:t>Strategic:</w:t>
      </w:r>
      <w:r>
        <w:t xml:space="preserve"> substitutes USD 37m+ packaging imports; serves every other chain.</w:t>
      </w:r>
    </w:p>
    <w:p>
      <w:pPr>
        <w:pStyle w:val="ListBullet"/>
      </w:pPr>
      <w:r>
        <w:rPr>
          <w:i/>
        </w:rPr>
        <w:t>Quick-win element:</w:t>
      </w:r>
      <w:r>
        <w:t xml:space="preserve"> expand certified converters; standards-compliant lines.</w:t>
      </w:r>
    </w:p>
    <w:p>
      <w:pPr>
        <w:pStyle w:val="ListBullet"/>
      </w:pPr>
      <w:r>
        <w:rPr>
          <w:i/>
        </w:rPr>
        <w:t>Green:</w:t>
      </w:r>
      <w:r>
        <w:t xml:space="preserve"> recycled-content packaging.</w:t>
      </w:r>
    </w:p>
    <w:p>
      <w:r>
        <w:rPr>
          <w:b/>
        </w:rPr>
        <w:t>P3 — EPR &amp; collection scheme (green + quick-ish).</w:t>
      </w:r>
    </w:p>
    <w:p>
      <w:pPr>
        <w:pStyle w:val="ListBullet"/>
      </w:pPr>
      <w:r>
        <w:rPr>
          <w:i/>
        </w:rPr>
        <w:t>Strategic:</w:t>
      </w:r>
      <w:r>
        <w:t xml:space="preserve"> lifts collection above 40%, feeding recyclers.</w:t>
      </w:r>
    </w:p>
    <w:p>
      <w:pPr>
        <w:pStyle w:val="ListBullet"/>
      </w:pPr>
      <w:r>
        <w:rPr>
          <w:i/>
        </w:rPr>
        <w:t>Quick-win element:</w:t>
      </w:r>
      <w:r>
        <w:t xml:space="preserve"> policy + producer-funded collection can start near-term.</w:t>
      </w:r>
    </w:p>
    <w:p>
      <w:pPr>
        <w:pStyle w:val="ListBullet"/>
      </w:pPr>
      <w:r>
        <w:rPr>
          <w:i/>
        </w:rPr>
        <w:t>Green:</w:t>
      </w:r>
      <w:r>
        <w:t xml:space="preserve"> directly cuts pollution.</w:t>
      </w:r>
    </w:p>
    <w:p>
      <w:pPr>
        <w:pStyle w:val="Heading2"/>
      </w:pPr>
      <w:r>
        <w:t>8.H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9: Cement &amp; Building Materials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CemNet / Global Cement; IndexBox; UBOS; ITC TradeMap (2024). Full sources are in the consolidated References at the end of this report.</w:t>
      </w:r>
    </w:p>
    <w:p>
      <w:pPr>
        <w:pStyle w:val="Heading2"/>
      </w:pPr>
      <w:r>
        <w:t>9.0 Why Cement &amp; Building Materials Matters for the Tenfold Growth Strategy</w:t>
      </w:r>
    </w:p>
    <w:p>
      <w:r>
        <w:t xml:space="preserve">You cannot build a ten-times-larger economy without cement — it is the literal foundation of the infrastructure, factories, housing and cities that tenfold growth requires. Uganda already has a </w:t>
      </w:r>
      <w:r>
        <w:rPr>
          <w:b/>
        </w:rPr>
        <w:t>strong, regionally-competitive cement-grinding and finished-cement export industry</w:t>
      </w:r>
      <w:r>
        <w:t xml:space="preserve">, but it </w:t>
      </w:r>
      <w:r>
        <w:rPr>
          <w:b/>
        </w:rPr>
        <w:t>imports over half its clinker</w:t>
      </w:r>
      <w:r>
        <w:t xml:space="preserve"> — the highest-value, most capital- and energy-intensive step. Closing that clinker gap captures the value Uganda currently sends abroad, secures the supply that a construction boom needs, and — done with modern, lower-carbon kilns — turns a heavy-emitting industry into a competitiveness asset.</w:t>
      </w:r>
    </w:p>
    <w:p>
      <w:pPr>
        <w:pStyle w:val="Heading2"/>
      </w:pPr>
      <w:r>
        <w:t>9.A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Limestone quarrying</w:t>
            </w:r>
          </w:p>
        </w:tc>
        <w:tc>
          <w:tcPr>
            <w:tcW w:type="dxa" w:w="1881"/>
            <w:shd w:val="clear" w:color="auto" w:fill="EEF3F9"/>
          </w:tcPr>
          <w:p>
            <w:r>
              <w:rPr>
                <w:sz w:val="18"/>
              </w:rPr>
              <w:t>Limestone deposits</w:t>
            </w:r>
          </w:p>
        </w:tc>
        <w:tc>
          <w:tcPr>
            <w:tcW w:type="dxa" w:w="1881"/>
            <w:shd w:val="clear" w:color="auto" w:fill="EEF3F9"/>
          </w:tcPr>
          <w:p>
            <w:r>
              <w:rPr>
                <w:sz w:val="18"/>
              </w:rPr>
              <w:t>Limestone</w:t>
            </w:r>
          </w:p>
        </w:tc>
        <w:tc>
          <w:tcPr>
            <w:tcW w:type="dxa" w:w="1881"/>
            <w:shd w:val="clear" w:color="auto" w:fill="EEF3F9"/>
          </w:tcPr>
          <w:p>
            <w:r>
              <w:rPr>
                <w:b/>
                <w:sz w:val="18"/>
              </w:rPr>
              <w:t>Adequate</w:t>
            </w:r>
            <w:r>
              <w:rPr>
                <w:sz w:val="18"/>
              </w:rPr>
              <w:t xml:space="preserve"> (Dura, Tororo, Karamoja)</w:t>
            </w:r>
          </w:p>
        </w:tc>
      </w:tr>
      <w:tr>
        <w:tc>
          <w:tcPr>
            <w:tcW w:type="dxa" w:w="1881"/>
            <w:shd w:val="clear" w:color="auto" w:fill="FFFFFF"/>
          </w:tcPr>
          <w:p>
            <w:r>
              <w:rPr>
                <w:sz w:val="18"/>
              </w:rPr>
              <w:t>II</w:t>
            </w:r>
          </w:p>
        </w:tc>
        <w:tc>
          <w:tcPr>
            <w:tcW w:type="dxa" w:w="1881"/>
            <w:shd w:val="clear" w:color="auto" w:fill="FFFFFF"/>
          </w:tcPr>
          <w:p>
            <w:r>
              <w:rPr>
                <w:sz w:val="18"/>
              </w:rPr>
              <w:t>Clinker production</w:t>
            </w:r>
          </w:p>
        </w:tc>
        <w:tc>
          <w:tcPr>
            <w:tcW w:type="dxa" w:w="1881"/>
            <w:shd w:val="clear" w:color="auto" w:fill="FFFFFF"/>
          </w:tcPr>
          <w:p>
            <w:r>
              <w:rPr>
                <w:sz w:val="18"/>
              </w:rPr>
              <w:t>Limestone, energy, additives</w:t>
            </w:r>
          </w:p>
        </w:tc>
        <w:tc>
          <w:tcPr>
            <w:tcW w:type="dxa" w:w="1881"/>
            <w:shd w:val="clear" w:color="auto" w:fill="FFFFFF"/>
          </w:tcPr>
          <w:p>
            <w:r>
              <w:rPr>
                <w:sz w:val="18"/>
              </w:rPr>
              <w:t>Clinker</w:t>
            </w:r>
          </w:p>
        </w:tc>
        <w:tc>
          <w:tcPr>
            <w:tcW w:type="dxa" w:w="1881"/>
            <w:shd w:val="clear" w:color="auto" w:fill="FFFFFF"/>
          </w:tcPr>
          <w:p>
            <w:r>
              <w:rPr>
                <w:b/>
                <w:sz w:val="18"/>
              </w:rPr>
              <w:t>Gap</w:t>
            </w:r>
            <w:r>
              <w:rPr>
                <w:sz w:val="18"/>
              </w:rPr>
              <w:t xml:space="preserve"> — &gt;50% imported</w:t>
            </w:r>
          </w:p>
        </w:tc>
      </w:tr>
      <w:tr>
        <w:tc>
          <w:tcPr>
            <w:tcW w:type="dxa" w:w="1881"/>
            <w:shd w:val="clear" w:color="auto" w:fill="EEF3F9"/>
          </w:tcPr>
          <w:p>
            <w:r>
              <w:rPr>
                <w:sz w:val="18"/>
              </w:rPr>
              <w:t>III</w:t>
            </w:r>
          </w:p>
        </w:tc>
        <w:tc>
          <w:tcPr>
            <w:tcW w:type="dxa" w:w="1881"/>
            <w:shd w:val="clear" w:color="auto" w:fill="EEF3F9"/>
          </w:tcPr>
          <w:p>
            <w:r>
              <w:rPr>
                <w:sz w:val="18"/>
              </w:rPr>
              <w:t>Cement grinding</w:t>
            </w:r>
          </w:p>
        </w:tc>
        <w:tc>
          <w:tcPr>
            <w:tcW w:type="dxa" w:w="1881"/>
            <w:shd w:val="clear" w:color="auto" w:fill="EEF3F9"/>
          </w:tcPr>
          <w:p>
            <w:r>
              <w:rPr>
                <w:sz w:val="18"/>
              </w:rPr>
              <w:t>Clinker, gypsum, additives</w:t>
            </w:r>
          </w:p>
        </w:tc>
        <w:tc>
          <w:tcPr>
            <w:tcW w:type="dxa" w:w="1881"/>
            <w:shd w:val="clear" w:color="auto" w:fill="EEF3F9"/>
          </w:tcPr>
          <w:p>
            <w:r>
              <w:rPr>
                <w:sz w:val="18"/>
              </w:rPr>
              <w:t>Cement (OPC, blended)</w:t>
            </w:r>
          </w:p>
        </w:tc>
        <w:tc>
          <w:tcPr>
            <w:tcW w:type="dxa" w:w="1881"/>
            <w:shd w:val="clear" w:color="auto" w:fill="EEF3F9"/>
          </w:tcPr>
          <w:p>
            <w:r>
              <w:rPr>
                <w:b/>
                <w:sz w:val="18"/>
              </w:rPr>
              <w:t>Strong</w:t>
            </w:r>
          </w:p>
        </w:tc>
      </w:tr>
      <w:tr>
        <w:tc>
          <w:tcPr>
            <w:tcW w:type="dxa" w:w="1881"/>
            <w:shd w:val="clear" w:color="auto" w:fill="FFFFFF"/>
          </w:tcPr>
          <w:p>
            <w:r>
              <w:rPr>
                <w:sz w:val="18"/>
              </w:rPr>
              <w:t>IV</w:t>
            </w:r>
          </w:p>
        </w:tc>
        <w:tc>
          <w:tcPr>
            <w:tcW w:type="dxa" w:w="1881"/>
            <w:shd w:val="clear" w:color="auto" w:fill="FFFFFF"/>
          </w:tcPr>
          <w:p>
            <w:r>
              <w:rPr>
                <w:sz w:val="18"/>
              </w:rPr>
              <w:t>Downstream products</w:t>
            </w:r>
          </w:p>
        </w:tc>
        <w:tc>
          <w:tcPr>
            <w:tcW w:type="dxa" w:w="1881"/>
            <w:shd w:val="clear" w:color="auto" w:fill="FFFFFF"/>
          </w:tcPr>
          <w:p>
            <w:r>
              <w:rPr>
                <w:sz w:val="18"/>
              </w:rPr>
              <w:t>Cement, aggregates</w:t>
            </w:r>
          </w:p>
        </w:tc>
        <w:tc>
          <w:tcPr>
            <w:tcW w:type="dxa" w:w="1881"/>
            <w:shd w:val="clear" w:color="auto" w:fill="FFFFFF"/>
          </w:tcPr>
          <w:p>
            <w:r>
              <w:rPr>
                <w:sz w:val="18"/>
              </w:rPr>
              <w:t>Concrete, blocks, tiles, fibre-cement</w:t>
            </w:r>
          </w:p>
        </w:tc>
        <w:tc>
          <w:tcPr>
            <w:tcW w:type="dxa" w:w="1881"/>
            <w:shd w:val="clear" w:color="auto" w:fill="FFFFFF"/>
          </w:tcPr>
          <w:p>
            <w:r>
              <w:rPr>
                <w:b/>
                <w:sz w:val="18"/>
              </w:rPr>
              <w:t>Growing</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Construction</w:t>
            </w:r>
          </w:p>
        </w:tc>
        <w:tc>
          <w:tcPr>
            <w:tcW w:type="dxa" w:w="1881"/>
            <w:shd w:val="clear" w:color="auto" w:fill="EEF3F9"/>
          </w:tcPr>
          <w:p>
            <w:r>
              <w:rPr>
                <w:b/>
                <w:sz w:val="18"/>
              </w:rPr>
              <w:t>Active</w:t>
            </w:r>
            <w:r>
              <w:rPr>
                <w:sz w:val="18"/>
              </w:rPr>
              <w:t>; regional exporter</w:t>
            </w:r>
          </w:p>
        </w:tc>
      </w:tr>
    </w:tbl>
    <w:p/>
    <w:p>
      <w:r>
        <w:rPr>
          <w:b/>
        </w:rPr>
        <w:t>Where value is captured and lost.</w:t>
      </w:r>
      <w:r>
        <w:t xml:space="preserve"> Uganda has substantial grinding capacity but </w:t>
      </w:r>
      <w:r>
        <w:rPr>
          <w:b/>
        </w:rPr>
        <w:t>imports over 50% of its clinker</w:t>
      </w:r>
      <w:r>
        <w:t xml:space="preserve"> — the highest-value step. Cement and clinker (HS 2523) imports were ~</w:t>
      </w:r>
      <w:r>
        <w:rPr>
          <w:b/>
        </w:rPr>
        <w:t>USD 162.2 million in 2024</w:t>
      </w:r>
      <w:r>
        <w:t>, against exports of ~</w:t>
      </w:r>
      <w:r>
        <w:rPr>
          <w:b/>
        </w:rPr>
        <w:t>USD 86.0 million</w:t>
      </w:r>
      <w:r>
        <w:t xml:space="preserve"> (ITC TradeMap): Uganda is both a significant </w:t>
      </w:r>
      <w:r>
        <w:rPr>
          <w:b/>
        </w:rPr>
        <w:t>finished-cement exporter</w:t>
      </w:r>
      <w:r>
        <w:t xml:space="preserve"> to neighbours </w:t>
      </w:r>
      <w:r>
        <w:rPr>
          <w:i/>
        </w:rPr>
        <w:t>and</w:t>
      </w:r>
      <w:r>
        <w:t xml:space="preserve"> a major </w:t>
      </w:r>
      <w:r>
        <w:rPr>
          <w:b/>
        </w:rPr>
        <w:t>clinker importer</w:t>
      </w:r>
      <w:r>
        <w:t xml:space="preserve"> — the classic "missing middle." Closing the clinker gap is the prize.</w:t>
      </w:r>
    </w:p>
    <w:p>
      <w:pPr>
        <w:pStyle w:val="Heading2"/>
      </w:pPr>
      <w:r>
        <w:t>9.B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Cement market</w:t>
            </w:r>
          </w:p>
        </w:tc>
        <w:tc>
          <w:tcPr>
            <w:tcW w:type="dxa" w:w="3135"/>
            <w:shd w:val="clear" w:color="auto" w:fill="EEF3F9"/>
          </w:tcPr>
          <w:p>
            <w:r>
              <w:rPr>
                <w:b/>
                <w:sz w:val="18"/>
              </w:rPr>
              <w:t>~USD 707m (2024), +~12% YoY</w:t>
            </w:r>
          </w:p>
        </w:tc>
        <w:tc>
          <w:tcPr>
            <w:tcW w:type="dxa" w:w="3135"/>
            <w:shd w:val="clear" w:color="auto" w:fill="EEF3F9"/>
          </w:tcPr>
          <w:p>
            <w:r>
              <w:rPr>
                <w:sz w:val="18"/>
              </w:rPr>
              <w:t>IndexBox</w:t>
            </w:r>
          </w:p>
        </w:tc>
      </w:tr>
      <w:tr>
        <w:tc>
          <w:tcPr>
            <w:tcW w:type="dxa" w:w="3135"/>
            <w:shd w:val="clear" w:color="auto" w:fill="FFFFFF"/>
          </w:tcPr>
          <w:p>
            <w:r>
              <w:rPr>
                <w:sz w:val="18"/>
              </w:rPr>
              <w:t>Clinker dependence</w:t>
            </w:r>
          </w:p>
        </w:tc>
        <w:tc>
          <w:tcPr>
            <w:tcW w:type="dxa" w:w="3135"/>
            <w:shd w:val="clear" w:color="auto" w:fill="FFFFFF"/>
          </w:tcPr>
          <w:p>
            <w:r>
              <w:rPr>
                <w:b/>
                <w:sz w:val="18"/>
              </w:rPr>
              <w:t>&gt;50% imported</w:t>
            </w:r>
          </w:p>
        </w:tc>
        <w:tc>
          <w:tcPr>
            <w:tcW w:type="dxa" w:w="3135"/>
            <w:shd w:val="clear" w:color="auto" w:fill="FFFFFF"/>
          </w:tcPr>
          <w:p>
            <w:r>
              <w:rPr>
                <w:sz w:val="18"/>
              </w:rPr>
              <w:t>CemNet; sector</w:t>
            </w:r>
          </w:p>
        </w:tc>
      </w:tr>
      <w:tr>
        <w:tc>
          <w:tcPr>
            <w:tcW w:type="dxa" w:w="3135"/>
            <w:shd w:val="clear" w:color="auto" w:fill="EEF3F9"/>
          </w:tcPr>
          <w:p>
            <w:r>
              <w:rPr>
                <w:sz w:val="18"/>
              </w:rPr>
              <w:t>Cement &amp; clinker (HS 2523)</w:t>
            </w:r>
          </w:p>
        </w:tc>
        <w:tc>
          <w:tcPr>
            <w:tcW w:type="dxa" w:w="3135"/>
            <w:shd w:val="clear" w:color="auto" w:fill="EEF3F9"/>
          </w:tcPr>
          <w:p>
            <w:r>
              <w:rPr>
                <w:sz w:val="18"/>
              </w:rPr>
              <w:t xml:space="preserve">imports </w:t>
            </w:r>
            <w:r>
              <w:rPr>
                <w:b/>
                <w:sz w:val="18"/>
              </w:rPr>
              <w:t>USD 162.2m</w:t>
            </w:r>
            <w:r>
              <w:rPr>
                <w:sz w:val="18"/>
              </w:rPr>
              <w:t xml:space="preserve">; exports </w:t>
            </w:r>
            <w:r>
              <w:rPr>
                <w:b/>
                <w:sz w:val="18"/>
              </w:rPr>
              <w:t>USD 86.0m</w:t>
            </w:r>
          </w:p>
        </w:tc>
        <w:tc>
          <w:tcPr>
            <w:tcW w:type="dxa" w:w="3135"/>
            <w:shd w:val="clear" w:color="auto" w:fill="EEF3F9"/>
          </w:tcPr>
          <w:p>
            <w:r>
              <w:rPr>
                <w:sz w:val="18"/>
              </w:rPr>
              <w:t>ITC TradeMap</w:t>
            </w:r>
          </w:p>
        </w:tc>
      </w:tr>
      <w:tr>
        <w:tc>
          <w:tcPr>
            <w:tcW w:type="dxa" w:w="3135"/>
            <w:shd w:val="clear" w:color="auto" w:fill="FFFFFF"/>
          </w:tcPr>
          <w:p>
            <w:r>
              <w:rPr>
                <w:sz w:val="18"/>
              </w:rPr>
              <w:t>Export destinations</w:t>
            </w:r>
          </w:p>
        </w:tc>
        <w:tc>
          <w:tcPr>
            <w:tcW w:type="dxa" w:w="3135"/>
            <w:shd w:val="clear" w:color="auto" w:fill="FFFFFF"/>
          </w:tcPr>
          <w:p>
            <w:r>
              <w:rPr>
                <w:sz w:val="18"/>
              </w:rPr>
              <w:t>Rwanda, DRC, South Sudan, Kenya</w:t>
            </w:r>
          </w:p>
        </w:tc>
        <w:tc>
          <w:tcPr>
            <w:tcW w:type="dxa" w:w="3135"/>
            <w:shd w:val="clear" w:color="auto" w:fill="FFFFFF"/>
          </w:tcPr>
          <w:p>
            <w:r>
              <w:rPr>
                <w:sz w:val="18"/>
              </w:rPr>
              <w:t>ITC TradeMap</w:t>
            </w:r>
          </w:p>
        </w:tc>
      </w:tr>
      <w:tr>
        <w:tc>
          <w:tcPr>
            <w:tcW w:type="dxa" w:w="3135"/>
            <w:shd w:val="clear" w:color="auto" w:fill="EEF3F9"/>
          </w:tcPr>
          <w:p>
            <w:r>
              <w:rPr>
                <w:sz w:val="18"/>
              </w:rPr>
              <w:t>Tororo Cement</w:t>
            </w:r>
          </w:p>
        </w:tc>
        <w:tc>
          <w:tcPr>
            <w:tcW w:type="dxa" w:w="3135"/>
            <w:shd w:val="clear" w:color="auto" w:fill="EEF3F9"/>
          </w:tcPr>
          <w:p>
            <w:r>
              <w:rPr>
                <w:sz w:val="18"/>
              </w:rPr>
              <w:t>~3.0 Mtpa (largest)</w:t>
            </w:r>
          </w:p>
        </w:tc>
        <w:tc>
          <w:tcPr>
            <w:tcW w:type="dxa" w:w="3135"/>
            <w:shd w:val="clear" w:color="auto" w:fill="EEF3F9"/>
          </w:tcPr>
          <w:p>
            <w:r>
              <w:rPr>
                <w:sz w:val="18"/>
              </w:rPr>
              <w:t>CemNet</w:t>
            </w:r>
          </w:p>
        </w:tc>
      </w:tr>
      <w:tr>
        <w:tc>
          <w:tcPr>
            <w:tcW w:type="dxa" w:w="3135"/>
            <w:shd w:val="clear" w:color="auto" w:fill="FFFFFF"/>
          </w:tcPr>
          <w:p>
            <w:r>
              <w:rPr>
                <w:sz w:val="18"/>
              </w:rPr>
              <w:t>Hima Cement</w:t>
            </w:r>
          </w:p>
        </w:tc>
        <w:tc>
          <w:tcPr>
            <w:tcW w:type="dxa" w:w="3135"/>
            <w:shd w:val="clear" w:color="auto" w:fill="FFFFFF"/>
          </w:tcPr>
          <w:p>
            <w:r>
              <w:rPr>
                <w:sz w:val="18"/>
              </w:rPr>
              <w:t>~2.0 Mtpa; owns Dura quarry (Kamwenge, reserves to ~2036)</w:t>
            </w:r>
          </w:p>
        </w:tc>
        <w:tc>
          <w:tcPr>
            <w:tcW w:type="dxa" w:w="3135"/>
            <w:shd w:val="clear" w:color="auto" w:fill="FFFFFF"/>
          </w:tcPr>
          <w:p>
            <w:r>
              <w:rPr>
                <w:sz w:val="18"/>
              </w:rPr>
              <w:t>CemNet</w:t>
            </w:r>
          </w:p>
        </w:tc>
      </w:tr>
      <w:tr>
        <w:tc>
          <w:tcPr>
            <w:tcW w:type="dxa" w:w="3135"/>
            <w:shd w:val="clear" w:color="auto" w:fill="EEF3F9"/>
          </w:tcPr>
          <w:p>
            <w:r>
              <w:rPr>
                <w:sz w:val="18"/>
              </w:rPr>
              <w:t>Simba; Kampala Cement</w:t>
            </w:r>
          </w:p>
        </w:tc>
        <w:tc>
          <w:tcPr>
            <w:tcW w:type="dxa" w:w="3135"/>
            <w:shd w:val="clear" w:color="auto" w:fill="EEF3F9"/>
          </w:tcPr>
          <w:p>
            <w:r>
              <w:rPr>
                <w:sz w:val="18"/>
              </w:rPr>
              <w:t>~1.0 Mtpa each</w:t>
            </w:r>
          </w:p>
        </w:tc>
        <w:tc>
          <w:tcPr>
            <w:tcW w:type="dxa" w:w="3135"/>
            <w:shd w:val="clear" w:color="auto" w:fill="EEF3F9"/>
          </w:tcPr>
          <w:p>
            <w:r>
              <w:rPr>
                <w:sz w:val="18"/>
              </w:rPr>
              <w:t>CemNet</w:t>
            </w:r>
          </w:p>
        </w:tc>
      </w:tr>
      <w:tr>
        <w:tc>
          <w:tcPr>
            <w:tcW w:type="dxa" w:w="3135"/>
            <w:shd w:val="clear" w:color="auto" w:fill="FFFFFF"/>
          </w:tcPr>
          <w:p>
            <w:r>
              <w:rPr>
                <w:sz w:val="18"/>
              </w:rPr>
              <w:t>New clinker capacity</w:t>
            </w:r>
          </w:p>
        </w:tc>
        <w:tc>
          <w:tcPr>
            <w:tcW w:type="dxa" w:w="3135"/>
            <w:shd w:val="clear" w:color="auto" w:fill="FFFFFF"/>
          </w:tcPr>
          <w:p>
            <w:r>
              <w:rPr>
                <w:sz w:val="18"/>
              </w:rPr>
              <w:t>NE plant (USD 300m, &gt;6,000 t/day); Buikwe (West Int'l, USD 200m, ~4,000 t/day, 2025)</w:t>
            </w:r>
          </w:p>
        </w:tc>
        <w:tc>
          <w:tcPr>
            <w:tcW w:type="dxa" w:w="3135"/>
            <w:shd w:val="clear" w:color="auto" w:fill="FFFFFF"/>
          </w:tcPr>
          <w:p>
            <w:r>
              <w:rPr>
                <w:sz w:val="18"/>
              </w:rPr>
              <w:t>Ecofin; CemNet</w:t>
            </w:r>
          </w:p>
        </w:tc>
      </w:tr>
    </w:tbl>
    <w:p/>
    <w:p>
      <w:r>
        <w:rPr>
          <w:b/>
        </w:rPr>
        <w:t>Market.</w:t>
      </w:r>
      <w:r>
        <w:t xml:space="preserve"> ~</w:t>
      </w:r>
      <w:r>
        <w:rPr>
          <w:b/>
        </w:rPr>
        <w:t>USD 707 million in 2024, up ~12% YoY</w:t>
      </w:r>
      <w:r>
        <w:t xml:space="preserve"> (IndexBox), driven by construction, infrastructure and the oil-and-gas build-out.</w:t>
      </w:r>
    </w:p>
    <w:p>
      <w:r>
        <w:rPr>
          <w:b/>
        </w:rPr>
        <w:t>Capacity and firms.</w:t>
      </w:r>
      <w:r>
        <w:t xml:space="preserve"> Grinding capacity has grown well beyond the ~6.8 Mtpa of 2018: </w:t>
      </w:r>
      <w:r>
        <w:rPr>
          <w:b/>
        </w:rPr>
        <w:t>Tororo Cement</w:t>
      </w:r>
      <w:r>
        <w:t xml:space="preserve"> (~3.0 Mtpa, largest), </w:t>
      </w:r>
      <w:r>
        <w:rPr>
          <w:b/>
        </w:rPr>
        <w:t>Hima Cement</w:t>
      </w:r>
      <w:r>
        <w:t xml:space="preserve"> (~2.0 Mtpa; owns the </w:t>
      </w:r>
      <w:r>
        <w:rPr>
          <w:b/>
        </w:rPr>
        <w:t>Dura limestone quarry</w:t>
      </w:r>
      <w:r>
        <w:t xml:space="preserve">, Kamwenge, reserves to ~2036), </w:t>
      </w:r>
      <w:r>
        <w:rPr>
          <w:b/>
        </w:rPr>
        <w:t>Simba Cement</w:t>
      </w:r>
      <w:r>
        <w:t xml:space="preserve"> (~1.0 Mtpa), </w:t>
      </w:r>
      <w:r>
        <w:rPr>
          <w:b/>
        </w:rPr>
        <w:t>Kampala Cement</w:t>
      </w:r>
      <w:r>
        <w:t xml:space="preserve"> (~1.0 Mtpa). New clinker plants — a </w:t>
      </w:r>
      <w:r>
        <w:rPr>
          <w:b/>
        </w:rPr>
        <w:t>USD 300m plant in north-eastern Uganda</w:t>
      </w:r>
      <w:r>
        <w:t xml:space="preserve"> (&gt;6,000 t clinker/day) and </w:t>
      </w:r>
      <w:r>
        <w:rPr>
          <w:b/>
        </w:rPr>
        <w:t>West International Holding's USD 200m Buikwe plant</w:t>
      </w:r>
      <w:r>
        <w:t xml:space="preserve"> (~4,000 t/day, 2025) — directly target the import gap.</w:t>
      </w:r>
    </w:p>
    <w:p>
      <w:pPr>
        <w:pStyle w:val="Heading2"/>
      </w:pPr>
      <w:r>
        <w:t>9.C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707m (2024), +12%/yr; comfortably supports closing the clinker gap</w:t>
            </w:r>
          </w:p>
        </w:tc>
        <w:tc>
          <w:tcPr>
            <w:tcW w:type="dxa" w:w="3135"/>
            <w:shd w:val="clear" w:color="auto" w:fill="EEF3F9"/>
          </w:tcPr>
          <w:p>
            <w:r>
              <w:rPr>
                <w:sz w:val="18"/>
              </w:rPr>
              <w:t>Construction, infrastructure, oil &amp; gas, housing</w:t>
            </w:r>
          </w:p>
        </w:tc>
      </w:tr>
      <w:tr>
        <w:tc>
          <w:tcPr>
            <w:tcW w:type="dxa" w:w="3135"/>
            <w:shd w:val="clear" w:color="auto" w:fill="FFFFFF"/>
          </w:tcPr>
          <w:p>
            <w:r>
              <w:rPr>
                <w:b/>
                <w:sz w:val="18"/>
              </w:rPr>
              <w:t>Regional (EAC + COMESA)</w:t>
            </w:r>
          </w:p>
        </w:tc>
        <w:tc>
          <w:tcPr>
            <w:tcW w:type="dxa" w:w="3135"/>
            <w:shd w:val="clear" w:color="auto" w:fill="FFFFFF"/>
          </w:tcPr>
          <w:p>
            <w:r>
              <w:rPr>
                <w:sz w:val="18"/>
              </w:rPr>
              <w:t>Competitive finished-cement exporter (USD 86m, 2024) to Rwanda, DRC, S. Sudan, Kenya; proximity favours Uganda</w:t>
            </w:r>
          </w:p>
        </w:tc>
        <w:tc>
          <w:tcPr>
            <w:tcW w:type="dxa" w:w="3135"/>
            <w:shd w:val="clear" w:color="auto" w:fill="FFFFFF"/>
          </w:tcPr>
          <w:p>
            <w:r>
              <w:rPr>
                <w:sz w:val="18"/>
              </w:rPr>
              <w:t>Regional construction; corridor proximity</w:t>
            </w:r>
          </w:p>
        </w:tc>
      </w:tr>
      <w:tr>
        <w:tc>
          <w:tcPr>
            <w:tcW w:type="dxa" w:w="3135"/>
            <w:shd w:val="clear" w:color="auto" w:fill="EEF3F9"/>
          </w:tcPr>
          <w:p>
            <w:r>
              <w:rPr>
                <w:b/>
                <w:sz w:val="18"/>
              </w:rPr>
              <w:t>Continental (Africa)</w:t>
            </w:r>
          </w:p>
        </w:tc>
        <w:tc>
          <w:tcPr>
            <w:tcW w:type="dxa" w:w="3135"/>
            <w:shd w:val="clear" w:color="auto" w:fill="EEF3F9"/>
          </w:tcPr>
          <w:p>
            <w:r>
              <w:rPr>
                <w:sz w:val="18"/>
              </w:rPr>
              <w:t>Cement is regional by economics; AfCFTA matters mainly for neighbouring markets</w:t>
            </w:r>
          </w:p>
        </w:tc>
        <w:tc>
          <w:tcPr>
            <w:tcW w:type="dxa" w:w="3135"/>
            <w:shd w:val="clear" w:color="auto" w:fill="EEF3F9"/>
          </w:tcPr>
          <w:p>
            <w:r>
              <w:rPr>
                <w:sz w:val="18"/>
              </w:rPr>
              <w:t>Regional infrastructure</w:t>
            </w:r>
          </w:p>
        </w:tc>
      </w:tr>
      <w:tr>
        <w:tc>
          <w:tcPr>
            <w:tcW w:type="dxa" w:w="3135"/>
            <w:shd w:val="clear" w:color="auto" w:fill="FFFFFF"/>
          </w:tcPr>
          <w:p>
            <w:r>
              <w:rPr>
                <w:b/>
                <w:sz w:val="18"/>
              </w:rPr>
              <w:t>Global</w:t>
            </w:r>
          </w:p>
        </w:tc>
        <w:tc>
          <w:tcPr>
            <w:tcW w:type="dxa" w:w="3135"/>
            <w:shd w:val="clear" w:color="auto" w:fill="FFFFFF"/>
          </w:tcPr>
          <w:p>
            <w:r>
              <w:rPr>
                <w:sz w:val="18"/>
              </w:rPr>
              <w:t>Not relevant — cement is a regional product</w:t>
            </w:r>
          </w:p>
        </w:tc>
        <w:tc>
          <w:tcPr>
            <w:tcW w:type="dxa" w:w="3135"/>
            <w:shd w:val="clear" w:color="auto" w:fill="FFFFFF"/>
          </w:tcPr>
          <w:p>
            <w:r>
              <w:rPr>
                <w:sz w:val="18"/>
              </w:rPr>
              <w:t>—</w:t>
            </w:r>
          </w:p>
        </w:tc>
      </w:tr>
    </w:tbl>
    <w:p/>
    <w:p>
      <w:pPr>
        <w:pStyle w:val="Heading3"/>
      </w:pPr>
      <w:r>
        <w:t>2040 projection — Tenfold logic</w:t>
      </w:r>
    </w:p>
    <w:p>
      <w:r>
        <w:t xml:space="preserve">A ten-times-larger economy is a construction supercycle. At ~12%/yr the market roughly doubles within ~6 years; sustained infrastructure, urbanisation and housing to 2040 imply a </w:t>
      </w:r>
      <w:r>
        <w:rPr>
          <w:b/>
        </w:rPr>
        <w:t>domestic cement market of several billion USD a year</w:t>
      </w:r>
      <w:r>
        <w:t xml:space="preserve"> — far beyond today's USD 707m. The strategic imperative is to meet that with </w:t>
      </w:r>
      <w:r>
        <w:rPr>
          <w:b/>
        </w:rPr>
        <w:t>domestic clinker</w:t>
      </w:r>
      <w:r>
        <w:t xml:space="preserve"> (not imports) and to </w:t>
      </w:r>
      <w:r>
        <w:rPr>
          <w:b/>
        </w:rPr>
        <w:t>grow regional finished-cement exports</w:t>
      </w:r>
      <w:r>
        <w:t xml:space="preserve">, while moving into </w:t>
      </w:r>
      <w:r>
        <w:rPr>
          <w:b/>
        </w:rPr>
        <w:t>higher-value building materials</w:t>
      </w:r>
      <w:r>
        <w:t xml:space="preserve">. Other markets grow on business-as-usual; Uganda's external play is </w:t>
      </w:r>
      <w:r>
        <w:rPr>
          <w:b/>
        </w:rPr>
        <w:t>regional finished cement</w:t>
      </w:r>
      <w:r>
        <w:t>.</w:t>
      </w:r>
    </w:p>
    <w:p>
      <w:pPr>
        <w:pStyle w:val="Heading2"/>
      </w:pPr>
      <w:r>
        <w:t>9.D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Clinker capacity gap (inputs/technology)</w:t>
            </w:r>
          </w:p>
        </w:tc>
        <w:tc>
          <w:tcPr>
            <w:tcW w:type="dxa" w:w="2351"/>
            <w:shd w:val="clear" w:color="auto" w:fill="EEF3F9"/>
          </w:tcPr>
          <w:p>
            <w:r>
              <w:rPr>
                <w:b/>
                <w:sz w:val="18"/>
              </w:rPr>
              <w:t>5</w:t>
            </w:r>
          </w:p>
        </w:tc>
        <w:tc>
          <w:tcPr>
            <w:tcW w:type="dxa" w:w="2351"/>
            <w:shd w:val="clear" w:color="auto" w:fill="EEF3F9"/>
          </w:tcPr>
          <w:p>
            <w:r>
              <w:rPr>
                <w:sz w:val="18"/>
              </w:rPr>
              <w:t>&gt;50% of clinker imported despite strong grinding — the chain's structural weakness; USD 162m import line</w:t>
            </w:r>
          </w:p>
        </w:tc>
      </w:tr>
      <w:tr>
        <w:tc>
          <w:tcPr>
            <w:tcW w:type="dxa" w:w="2351"/>
            <w:shd w:val="clear" w:color="auto" w:fill="FFFFFF"/>
          </w:tcPr>
          <w:p>
            <w:r>
              <w:rPr>
                <w:sz w:val="18"/>
              </w:rPr>
              <w:t>2</w:t>
            </w:r>
          </w:p>
        </w:tc>
        <w:tc>
          <w:tcPr>
            <w:tcW w:type="dxa" w:w="2351"/>
            <w:shd w:val="clear" w:color="auto" w:fill="FFFFFF"/>
          </w:tcPr>
          <w:p>
            <w:r>
              <w:rPr>
                <w:b/>
                <w:sz w:val="18"/>
              </w:rPr>
              <w:t>Energy cost &amp; reliability (energy)</w:t>
            </w:r>
          </w:p>
        </w:tc>
        <w:tc>
          <w:tcPr>
            <w:tcW w:type="dxa" w:w="2351"/>
            <w:shd w:val="clear" w:color="auto" w:fill="FFFFFF"/>
          </w:tcPr>
          <w:p>
            <w:r>
              <w:rPr>
                <w:b/>
                <w:sz w:val="18"/>
              </w:rPr>
              <w:t>5</w:t>
            </w:r>
          </w:p>
        </w:tc>
        <w:tc>
          <w:tcPr>
            <w:tcW w:type="dxa" w:w="2351"/>
            <w:shd w:val="clear" w:color="auto" w:fill="FFFFFF"/>
          </w:tcPr>
          <w:p>
            <w:r>
              <w:rPr>
                <w:sz w:val="18"/>
              </w:rPr>
              <w:t>Clinker is highly energy-intensive (thermal + power); energy cost/reliability is decisive for competitiveness</w:t>
            </w:r>
          </w:p>
        </w:tc>
      </w:tr>
      <w:tr>
        <w:tc>
          <w:tcPr>
            <w:tcW w:type="dxa" w:w="2351"/>
            <w:shd w:val="clear" w:color="auto" w:fill="EEF3F9"/>
          </w:tcPr>
          <w:p>
            <w:r>
              <w:rPr>
                <w:sz w:val="18"/>
              </w:rPr>
              <w:t>3</w:t>
            </w:r>
          </w:p>
        </w:tc>
        <w:tc>
          <w:tcPr>
            <w:tcW w:type="dxa" w:w="2351"/>
            <w:shd w:val="clear" w:color="auto" w:fill="EEF3F9"/>
          </w:tcPr>
          <w:p>
            <w:r>
              <w:rPr>
                <w:b/>
                <w:sz w:val="18"/>
              </w:rPr>
              <w:t>Capital intensity (finance)</w:t>
            </w:r>
          </w:p>
        </w:tc>
        <w:tc>
          <w:tcPr>
            <w:tcW w:type="dxa" w:w="2351"/>
            <w:shd w:val="clear" w:color="auto" w:fill="EEF3F9"/>
          </w:tcPr>
          <w:p>
            <w:r>
              <w:rPr>
                <w:b/>
                <w:sz w:val="18"/>
              </w:rPr>
              <w:t>4</w:t>
            </w:r>
          </w:p>
        </w:tc>
        <w:tc>
          <w:tcPr>
            <w:tcW w:type="dxa" w:w="2351"/>
            <w:shd w:val="clear" w:color="auto" w:fill="EEF3F9"/>
          </w:tcPr>
          <w:p>
            <w:r>
              <w:rPr>
                <w:sz w:val="18"/>
              </w:rPr>
              <w:t>Clinker kilns are very capital-intensive; recent USD 200–300m investments show appetite but capital is the gate</w:t>
            </w:r>
          </w:p>
        </w:tc>
      </w:tr>
      <w:tr>
        <w:tc>
          <w:tcPr>
            <w:tcW w:type="dxa" w:w="2351"/>
            <w:shd w:val="clear" w:color="auto" w:fill="FFFFFF"/>
          </w:tcPr>
          <w:p>
            <w:r>
              <w:rPr>
                <w:sz w:val="18"/>
              </w:rPr>
              <w:t>4</w:t>
            </w:r>
          </w:p>
        </w:tc>
        <w:tc>
          <w:tcPr>
            <w:tcW w:type="dxa" w:w="2351"/>
            <w:shd w:val="clear" w:color="auto" w:fill="FFFFFF"/>
          </w:tcPr>
          <w:p>
            <w:r>
              <w:rPr>
                <w:b/>
                <w:sz w:val="18"/>
              </w:rPr>
              <w:t>Limestone licensing &amp; land (inputs/policy)</w:t>
            </w:r>
          </w:p>
        </w:tc>
        <w:tc>
          <w:tcPr>
            <w:tcW w:type="dxa" w:w="2351"/>
            <w:shd w:val="clear" w:color="auto" w:fill="FFFFFF"/>
          </w:tcPr>
          <w:p>
            <w:r>
              <w:rPr>
                <w:b/>
                <w:sz w:val="18"/>
              </w:rPr>
              <w:t>3</w:t>
            </w:r>
          </w:p>
        </w:tc>
        <w:tc>
          <w:tcPr>
            <w:tcW w:type="dxa" w:w="2351"/>
            <w:shd w:val="clear" w:color="auto" w:fill="FFFFFF"/>
          </w:tcPr>
          <w:p>
            <w:r>
              <w:rPr>
                <w:sz w:val="18"/>
              </w:rPr>
              <w:t>Reserves exist (Dura, Tororo, Karamoja) but licensing/land access must keep pace with clinker expansion</w:t>
            </w:r>
          </w:p>
        </w:tc>
      </w:tr>
      <w:tr>
        <w:tc>
          <w:tcPr>
            <w:tcW w:type="dxa" w:w="2351"/>
            <w:shd w:val="clear" w:color="auto" w:fill="EEF3F9"/>
          </w:tcPr>
          <w:p>
            <w:r>
              <w:rPr>
                <w:sz w:val="18"/>
              </w:rPr>
              <w:t>5</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Bulk/low-value-density product; landlocked penalty (~18–20%) protects the domestic market but limits distant export — favouring domestic clinker</w:t>
            </w:r>
          </w:p>
        </w:tc>
      </w:tr>
      <w:tr>
        <w:tc>
          <w:tcPr>
            <w:tcW w:type="dxa" w:w="2351"/>
            <w:shd w:val="clear" w:color="auto" w:fill="FFFFFF"/>
          </w:tcPr>
          <w:p>
            <w:r>
              <w:rPr>
                <w:sz w:val="18"/>
              </w:rPr>
              <w:t>6</w:t>
            </w:r>
          </w:p>
        </w:tc>
        <w:tc>
          <w:tcPr>
            <w:tcW w:type="dxa" w:w="2351"/>
            <w:shd w:val="clear" w:color="auto" w:fill="FFFFFF"/>
          </w:tcPr>
          <w:p>
            <w:r>
              <w:rPr>
                <w:b/>
                <w:sz w:val="18"/>
              </w:rPr>
              <w:t>Kiln emissions / dust (waste)</w:t>
            </w:r>
          </w:p>
        </w:tc>
        <w:tc>
          <w:tcPr>
            <w:tcW w:type="dxa" w:w="2351"/>
            <w:shd w:val="clear" w:color="auto" w:fill="FFFFFF"/>
          </w:tcPr>
          <w:p>
            <w:r>
              <w:rPr>
                <w:b/>
                <w:sz w:val="18"/>
              </w:rPr>
              <w:t>3</w:t>
            </w:r>
          </w:p>
        </w:tc>
        <w:tc>
          <w:tcPr>
            <w:tcW w:type="dxa" w:w="2351"/>
            <w:shd w:val="clear" w:color="auto" w:fill="FFFFFF"/>
          </w:tcPr>
          <w:p>
            <w:r>
              <w:rPr>
                <w:sz w:val="18"/>
              </w:rPr>
              <w:t>Cement is carbon- and dust-intensive; NEMA-regulated; also an alternative-fuel opportunity</w:t>
            </w:r>
          </w:p>
        </w:tc>
      </w:tr>
      <w:tr>
        <w:tc>
          <w:tcPr>
            <w:tcW w:type="dxa" w:w="2351"/>
            <w:shd w:val="clear" w:color="auto" w:fill="EEF3F9"/>
          </w:tcPr>
          <w:p>
            <w:r>
              <w:rPr>
                <w:sz w:val="18"/>
              </w:rPr>
              <w:t>7</w:t>
            </w:r>
          </w:p>
        </w:tc>
        <w:tc>
          <w:tcPr>
            <w:tcW w:type="dxa" w:w="2351"/>
            <w:shd w:val="clear" w:color="auto" w:fill="EEF3F9"/>
          </w:tcPr>
          <w:p>
            <w:r>
              <w:rPr>
                <w:b/>
                <w:sz w:val="18"/>
              </w:rPr>
              <w:t>Standards (standards)</w:t>
            </w:r>
          </w:p>
        </w:tc>
        <w:tc>
          <w:tcPr>
            <w:tcW w:type="dxa" w:w="2351"/>
            <w:shd w:val="clear" w:color="auto" w:fill="EEF3F9"/>
          </w:tcPr>
          <w:p>
            <w:r>
              <w:rPr>
                <w:b/>
                <w:sz w:val="18"/>
              </w:rPr>
              <w:t>2</w:t>
            </w:r>
          </w:p>
        </w:tc>
        <w:tc>
          <w:tcPr>
            <w:tcW w:type="dxa" w:w="2351"/>
            <w:shd w:val="clear" w:color="auto" w:fill="EEF3F9"/>
          </w:tcPr>
          <w:p>
            <w:r>
              <w:rPr>
                <w:sz w:val="18"/>
              </w:rPr>
              <w:t>UNBS cement standards; sub-standard cement a safety/market issue</w:t>
            </w:r>
          </w:p>
        </w:tc>
      </w:tr>
    </w:tbl>
    <w:p/>
    <w:p>
      <w:r>
        <w:t xml:space="preserve">The two critical constraints — </w:t>
      </w:r>
      <w:r>
        <w:rPr>
          <w:b/>
        </w:rPr>
        <w:t>clinker capacity</w:t>
      </w:r>
      <w:r>
        <w:t xml:space="preserve"> and </w:t>
      </w:r>
      <w:r>
        <w:rPr>
          <w:b/>
        </w:rPr>
        <w:t>energy</w:t>
      </w:r>
      <w:r>
        <w:t xml:space="preserve"> — are linked: new clinker kilns only pay off if energy is affordable and reliable, so power agreements and alternative fuels must accompany the capacity build-out.</w:t>
      </w:r>
    </w:p>
    <w:p>
      <w:pPr>
        <w:pStyle w:val="Heading2"/>
      </w:pPr>
      <w:r>
        <w:t>9.E Greening &amp; Sustainability</w:t>
      </w:r>
    </w:p>
    <w:p>
      <w:r>
        <w:t xml:space="preserve">Cement is among the most carbon-intensive industries globally (~8% of world CO₂), so greening is both a </w:t>
      </w:r>
      <w:r>
        <w:rPr>
          <w:b/>
        </w:rPr>
        <w:t>cost lever</w:t>
      </w:r>
      <w:r>
        <w:t xml:space="preserve"> (energy is the biggest cost) and a </w:t>
      </w:r>
      <w:r>
        <w:rPr>
          <w:b/>
        </w:rPr>
        <w:t>market-access</w:t>
      </w:r>
      <w:r>
        <w:t xml:space="preserve"> play (green building, carbon border measures).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Energy-intensive kilns; clinker import reliance; kiln dust/emissions managed under NEMA</w:t>
            </w:r>
          </w:p>
        </w:tc>
      </w:tr>
      <w:tr>
        <w:tc>
          <w:tcPr>
            <w:tcW w:type="dxa" w:w="4703"/>
            <w:shd w:val="clear" w:color="auto" w:fill="FFFFFF"/>
          </w:tcPr>
          <w:p>
            <w:r>
              <w:rPr>
                <w:b/>
                <w:sz w:val="18"/>
              </w:rPr>
              <w:t>Current solutions</w:t>
            </w:r>
          </w:p>
        </w:tc>
        <w:tc>
          <w:tcPr>
            <w:tcW w:type="dxa" w:w="4703"/>
            <w:shd w:val="clear" w:color="auto" w:fill="FFFFFF"/>
          </w:tcPr>
          <w:p>
            <w:r>
              <w:rPr>
                <w:sz w:val="18"/>
              </w:rPr>
              <w:t>Blended cements (some clinker substitution); NEMA emissions regulation</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Alternative fuels / co-processing</w:t>
            </w:r>
            <w:r>
              <w:rPr>
                <w:sz w:val="18"/>
              </w:rPr>
              <w:t xml:space="preserve"> of waste and biomass in kilns (cuts energy cost </w:t>
            </w:r>
            <w:r>
              <w:rPr>
                <w:i/>
                <w:sz w:val="18"/>
              </w:rPr>
              <w:t>and</w:t>
            </w:r>
            <w:r>
              <w:rPr>
                <w:sz w:val="18"/>
              </w:rPr>
              <w:t xml:space="preserve"> emissions, links to the Plastics/waste chain); (2) </w:t>
            </w:r>
            <w:r>
              <w:rPr>
                <w:b/>
                <w:sz w:val="18"/>
              </w:rPr>
              <w:t>clinker substitution with supplementary cementitious materials</w:t>
            </w:r>
            <w:r>
              <w:rPr>
                <w:sz w:val="18"/>
              </w:rPr>
              <w:t xml:space="preserve"> — </w:t>
            </w:r>
            <w:r>
              <w:rPr>
                <w:b/>
                <w:sz w:val="18"/>
              </w:rPr>
              <w:t>steel slag (Chapter 4)</w:t>
            </w:r>
            <w:r>
              <w:rPr>
                <w:sz w:val="18"/>
              </w:rPr>
              <w:t xml:space="preserve">, </w:t>
            </w:r>
            <w:r>
              <w:rPr>
                <w:b/>
                <w:sz w:val="18"/>
              </w:rPr>
              <w:t>phosphogypsum (Chapter 6)</w:t>
            </w:r>
            <w:r>
              <w:rPr>
                <w:sz w:val="18"/>
              </w:rPr>
              <w:t xml:space="preserve">, pozzolana — lowering both cost and carbon; (3) </w:t>
            </w:r>
            <w:r>
              <w:rPr>
                <w:b/>
                <w:sz w:val="18"/>
              </w:rPr>
              <w:t>energy efficiency &amp; waste-heat recovery</w:t>
            </w:r>
            <w:r>
              <w:rPr>
                <w:sz w:val="18"/>
              </w:rPr>
              <w:t xml:space="preserve">; (4) </w:t>
            </w:r>
            <w:r>
              <w:rPr>
                <w:b/>
                <w:sz w:val="18"/>
              </w:rPr>
              <w:t>green/blended cement</w:t>
            </w:r>
            <w:r>
              <w:rPr>
                <w:sz w:val="18"/>
              </w:rPr>
              <w:t xml:space="preserve"> product lines</w:t>
            </w:r>
          </w:p>
        </w:tc>
      </w:tr>
    </w:tbl>
    <w:p/>
    <w:p>
      <w:r>
        <w:rPr>
          <w:b/>
        </w:rPr>
        <w:t>Why it pays:</w:t>
      </w:r>
      <w:r>
        <w:t xml:space="preserve"> every tonne of clinker substituted by slag/phosphogypsum/pozzolana cuts the most expensive, most carbon-heavy input — and creates a circular link that consumes by-products from the steel and fertilizer chains. Green cement is cheaper cement here.</w:t>
      </w:r>
    </w:p>
    <w:p>
      <w:pPr>
        <w:pStyle w:val="Heading2"/>
      </w:pPr>
      <w:r>
        <w:t>9.F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Clinker production (close the gap)</w:t>
            </w:r>
          </w:p>
        </w:tc>
        <w:tc>
          <w:tcPr>
            <w:tcW w:type="dxa" w:w="1176"/>
            <w:shd w:val="clear" w:color="auto" w:fill="EEF3F9"/>
          </w:tcPr>
          <w:p>
            <w:r>
              <w:rPr>
                <w:sz w:val="18"/>
              </w:rPr>
              <w:t>High (USD 162m imports)</w:t>
            </w:r>
          </w:p>
        </w:tc>
        <w:tc>
          <w:tcPr>
            <w:tcW w:type="dxa" w:w="1176"/>
            <w:shd w:val="clear" w:color="auto" w:fill="EEF3F9"/>
          </w:tcPr>
          <w:p>
            <w:r>
              <w:rPr>
                <w:sz w:val="18"/>
              </w:rPr>
              <w:t>High (limestone)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 (alt-fuel/SCM)</w:t>
            </w:r>
          </w:p>
        </w:tc>
        <w:tc>
          <w:tcPr>
            <w:tcW w:type="dxa" w:w="1176"/>
            <w:shd w:val="clear" w:color="auto" w:fill="EEF3F9"/>
          </w:tcPr>
          <w:p>
            <w:r>
              <w:rPr>
                <w:b/>
                <w:sz w:val="18"/>
              </w:rPr>
              <w:t>Priority</w:t>
            </w:r>
          </w:p>
        </w:tc>
      </w:tr>
      <w:tr>
        <w:tc>
          <w:tcPr>
            <w:tcW w:type="dxa" w:w="1176"/>
            <w:shd w:val="clear" w:color="auto" w:fill="FFFFFF"/>
          </w:tcPr>
          <w:p>
            <w:r>
              <w:rPr>
                <w:b/>
                <w:sz w:val="18"/>
              </w:rPr>
              <w:t>Finished cement (defend &amp; grow export)</w:t>
            </w:r>
          </w:p>
        </w:tc>
        <w:tc>
          <w:tcPr>
            <w:tcW w:type="dxa" w:w="1176"/>
            <w:shd w:val="clear" w:color="auto" w:fill="FFFFFF"/>
          </w:tcPr>
          <w:p>
            <w:r>
              <w:rPr>
                <w:sz w:val="18"/>
              </w:rPr>
              <w:t>High (USD 86m export)</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Achieved</w:t>
            </w:r>
          </w:p>
        </w:tc>
        <w:tc>
          <w:tcPr>
            <w:tcW w:type="dxa" w:w="1176"/>
            <w:shd w:val="clear" w:color="auto" w:fill="FFFFFF"/>
          </w:tcPr>
          <w:p>
            <w:r>
              <w:rPr>
                <w:sz w:val="18"/>
              </w:rPr>
              <w:t>Medium–High (blended)</w:t>
            </w:r>
          </w:p>
        </w:tc>
        <w:tc>
          <w:tcPr>
            <w:tcW w:type="dxa" w:w="1176"/>
            <w:shd w:val="clear" w:color="auto" w:fill="FFFFFF"/>
          </w:tcPr>
          <w:p>
            <w:r>
              <w:rPr>
                <w:b/>
                <w:sz w:val="18"/>
              </w:rPr>
              <w:t>Priority</w:t>
            </w:r>
          </w:p>
        </w:tc>
      </w:tr>
      <w:tr>
        <w:tc>
          <w:tcPr>
            <w:tcW w:type="dxa" w:w="1176"/>
            <w:shd w:val="clear" w:color="auto" w:fill="EEF3F9"/>
          </w:tcPr>
          <w:p>
            <w:r>
              <w:rPr>
                <w:b/>
                <w:sz w:val="18"/>
              </w:rPr>
              <w:t>Higher-value building materials (fibre-cement, tiles, precast)</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Specialty / white cement</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w:t>
            </w:r>
          </w:p>
        </w:tc>
        <w:tc>
          <w:tcPr>
            <w:tcW w:type="dxa" w:w="1176"/>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highest-value step and the chain's structural gap; support the new USD 200–300m plants to substitute the USD 162m import line and secure feedstock for domestic grinders, with alternative fuels and SCM substitution built in.</w:t>
      </w:r>
    </w:p>
    <w:p>
      <w:pPr>
        <w:pStyle w:val="ListNumber"/>
      </w:pPr>
      <w:r>
        <w:rPr>
          <w:b/>
        </w:rPr>
        <w:t>Finished cement for regional export</w:t>
      </w:r>
      <w:r>
        <w:t xml:space="preserve"> — defend and grow Uganda's competitive USD 86m export position, strengthened by reliable domestic clinker.</w:t>
      </w:r>
    </w:p>
    <w:p>
      <w:pPr>
        <w:pStyle w:val="ListNumber"/>
      </w:pPr>
      <w:r>
        <w:rPr>
          <w:b/>
        </w:rPr>
        <w:t>Higher-value building materials</w:t>
      </w:r>
      <w:r>
        <w:t xml:space="preserve"> — fibre-cement, tiles and precast/concrete products that add value and substitute construction imports.</w:t>
      </w:r>
    </w:p>
    <w:p>
      <w:r>
        <w:rPr>
          <w:b/>
        </w:rPr>
        <w:t>Explicit deprioritization.</w:t>
      </w:r>
      <w:r>
        <w:t xml:space="preserve"> Uganda should </w:t>
      </w:r>
      <w:r>
        <w:rPr>
          <w:b/>
        </w:rPr>
        <w:t>not</w:t>
      </w:r>
      <w:r>
        <w:t xml:space="preserve"> target niche specialty/white cement (small markets, costly specialised capacity). The priority is </w:t>
      </w:r>
      <w:r>
        <w:rPr>
          <w:b/>
        </w:rPr>
        <w:t>mainstream clinker + cement + building materials</w:t>
      </w:r>
      <w:r>
        <w:t xml:space="preserve"> for domestic and regional markets.</w:t>
      </w:r>
    </w:p>
    <w:p>
      <w:pPr>
        <w:pStyle w:val="Heading2"/>
      </w:pPr>
      <w:r>
        <w:t>9.G Project Profiles</w:t>
      </w:r>
    </w:p>
    <w:p>
      <w:r>
        <w:rPr>
          <w:b/>
        </w:rPr>
        <w:t>P1 — Domestic clinker capacity build-out (strategic anchor + green).</w:t>
      </w:r>
    </w:p>
    <w:p>
      <w:pPr>
        <w:pStyle w:val="ListBullet"/>
      </w:pPr>
      <w:r>
        <w:rPr>
          <w:i/>
        </w:rPr>
        <w:t>Strategic:</w:t>
      </w:r>
      <w:r>
        <w:t xml:space="preserve"> closes the &gt;50% clinker gap; secures feedstock for grinders; substitutes USD 162m imports.</w:t>
      </w:r>
    </w:p>
    <w:p>
      <w:pPr>
        <w:pStyle w:val="ListBullet"/>
      </w:pPr>
      <w:r>
        <w:rPr>
          <w:i/>
        </w:rPr>
        <w:t>Quick-win element:</w:t>
      </w:r>
      <w:r>
        <w:t xml:space="preserve"> support commissioning of the NE and Buikwe plants already underway.</w:t>
      </w:r>
    </w:p>
    <w:p>
      <w:pPr>
        <w:pStyle w:val="ListBullet"/>
      </w:pPr>
      <w:r>
        <w:rPr>
          <w:i/>
        </w:rPr>
        <w:t>Green:</w:t>
      </w:r>
      <w:r>
        <w:t xml:space="preserve"> alternative-fuel co-processing; SCM (slag/phosphogypsum) clinker substitution.</w:t>
      </w:r>
    </w:p>
    <w:p>
      <w:r>
        <w:rPr>
          <w:b/>
        </w:rPr>
        <w:t>P2 — Green/blended cement &amp; SCM utilisation (green + strategic).</w:t>
      </w:r>
    </w:p>
    <w:p>
      <w:pPr>
        <w:pStyle w:val="ListBullet"/>
      </w:pPr>
      <w:r>
        <w:rPr>
          <w:i/>
        </w:rPr>
        <w:t>Strategic:</w:t>
      </w:r>
      <w:r>
        <w:t xml:space="preserve"> lowers cost and carbon; circular link to steel slag (Ch.4) and phosphogypsum (Ch.6).</w:t>
      </w:r>
    </w:p>
    <w:p>
      <w:pPr>
        <w:pStyle w:val="ListBullet"/>
      </w:pPr>
      <w:r>
        <w:rPr>
          <w:i/>
        </w:rPr>
        <w:t>Quick-win element:</w:t>
      </w:r>
      <w:r>
        <w:t xml:space="preserve"> blended-cement product lines using existing by-products.</w:t>
      </w:r>
    </w:p>
    <w:p>
      <w:pPr>
        <w:pStyle w:val="ListBullet"/>
      </w:pPr>
      <w:r>
        <w:rPr>
          <w:i/>
        </w:rPr>
        <w:t>Green:</w:t>
      </w:r>
      <w:r>
        <w:t xml:space="preserve"> the flagship low-carbon-cement move.</w:t>
      </w:r>
    </w:p>
    <w:p>
      <w:r>
        <w:rPr>
          <w:b/>
        </w:rPr>
        <w:t>P3 — Higher-value building materials (strategic).</w:t>
      </w:r>
    </w:p>
    <w:p>
      <w:pPr>
        <w:pStyle w:val="ListBullet"/>
      </w:pPr>
      <w:r>
        <w:rPr>
          <w:i/>
        </w:rPr>
        <w:t>Strategic:</w:t>
      </w:r>
      <w:r>
        <w:t xml:space="preserve"> fibre-cement, tiles, precast — substitutes construction imports; job-rich.</w:t>
      </w:r>
    </w:p>
    <w:p>
      <w:pPr>
        <w:pStyle w:val="ListBullet"/>
      </w:pPr>
      <w:r>
        <w:rPr>
          <w:i/>
        </w:rPr>
        <w:t>Quick-win element:</w:t>
      </w:r>
      <w:r>
        <w:t xml:space="preserve"> build on existing cement base.</w:t>
      </w:r>
    </w:p>
    <w:p>
      <w:pPr>
        <w:pStyle w:val="ListBullet"/>
      </w:pPr>
      <w:r>
        <w:rPr>
          <w:i/>
        </w:rPr>
        <w:t>Green:</w:t>
      </w:r>
      <w:r>
        <w:t xml:space="preserve"> uses blended/low-carbon cement.</w:t>
      </w:r>
    </w:p>
    <w:p>
      <w:pPr>
        <w:pStyle w:val="Heading2"/>
      </w:pPr>
      <w:r>
        <w:t>9.H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clinker plants; alternative-fuel / co-processing and SCM-substitution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Green/blended cement + 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value chains — Textiles &amp; Garments, Pharmaceuticals, Petrochemicals &amp; Fertilizers, Sugar &amp; Confectionery, Plastics &amp; Packaging, and Cement &amp; Building Materials —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r>
        <w:rPr>
          <w:b/>
        </w:rPr>
        <w:t>Tenfold framing.</w:t>
      </w:r>
      <w:r>
        <w:t xml:space="preserve"> These cross-cutting actions are how the six chains contribute to the Tenfold Growth Strategy: a ten-times-larger economy must add value to what Uganda already grows and mines (cotton, cane, limestone, phosphate), substitute its largest import bills (medicines, resin, clinker, fertilizer), and do so sustainably. Fixing the shared constraints — value-addition policy, standards, finance, skills, feedstock, and circularity — multiplies the return on every chain-specific action in Chapters 4–9.</w:t>
      </w:r>
    </w:p>
    <w:p>
      <w:pPr>
        <w:pStyle w:val="Heading2"/>
      </w:pPr>
      <w:r>
        <w:t>10.2 The Shared Binding Constraints</w:t>
      </w:r>
    </w:p>
    <w:p>
      <w:r>
        <w:t>Weighted by how critical each is to unlocking the six chains (1 = low, 5 = critical):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Why it binds</w:t>
            </w:r>
          </w:p>
        </w:tc>
      </w:tr>
      <w:tr>
        <w:tc>
          <w:tcPr>
            <w:tcW w:type="dxa" w:w="2351"/>
            <w:shd w:val="clear" w:color="auto" w:fill="EEF3F9"/>
          </w:tcPr>
          <w:p>
            <w:r>
              <w:rPr>
                <w:sz w:val="18"/>
              </w:rPr>
              <w:t>1</w:t>
            </w:r>
          </w:p>
        </w:tc>
        <w:tc>
          <w:tcPr>
            <w:tcW w:type="dxa" w:w="2351"/>
            <w:shd w:val="clear" w:color="auto" w:fill="EEF3F9"/>
          </w:tcPr>
          <w:p>
            <w:r>
              <w:rPr>
                <w:sz w:val="18"/>
              </w:rPr>
              <w:t>Raw-material / feedstock dependence</w:t>
            </w:r>
          </w:p>
        </w:tc>
        <w:tc>
          <w:tcPr>
            <w:tcW w:type="dxa" w:w="2351"/>
            <w:shd w:val="clear" w:color="auto" w:fill="EEF3F9"/>
          </w:tcPr>
          <w:p>
            <w:r>
              <w:rPr>
                <w:b/>
                <w:sz w:val="18"/>
              </w:rPr>
              <w:t>5</w:t>
            </w:r>
          </w:p>
        </w:tc>
        <w:tc>
          <w:tcPr>
            <w:tcW w:type="dxa" w:w="2351"/>
            <w:shd w:val="clear" w:color="auto" w:fill="EEF3F9"/>
          </w:tcPr>
          <w:p>
            <w:r>
              <w:rPr>
                <w:sz w:val="18"/>
              </w:rPr>
              <w:t>Imported APIs, resin, clinker (&gt;50%), under-processed lint, ~50k t vs ~1m t fertilizer need</w:t>
            </w:r>
          </w:p>
        </w:tc>
      </w:tr>
      <w:tr>
        <w:tc>
          <w:tcPr>
            <w:tcW w:type="dxa" w:w="2351"/>
            <w:shd w:val="clear" w:color="auto" w:fill="FFFFFF"/>
          </w:tcPr>
          <w:p>
            <w:r>
              <w:rPr>
                <w:sz w:val="18"/>
              </w:rPr>
              <w:t>2</w:t>
            </w:r>
          </w:p>
        </w:tc>
        <w:tc>
          <w:tcPr>
            <w:tcW w:type="dxa" w:w="2351"/>
            <w:shd w:val="clear" w:color="auto" w:fill="FFFFFF"/>
          </w:tcPr>
          <w:p>
            <w:r>
              <w:rPr>
                <w:sz w:val="18"/>
              </w:rPr>
              <w:t>Standards &amp; quality enforcement</w:t>
            </w:r>
          </w:p>
        </w:tc>
        <w:tc>
          <w:tcPr>
            <w:tcW w:type="dxa" w:w="2351"/>
            <w:shd w:val="clear" w:color="auto" w:fill="FFFFFF"/>
          </w:tcPr>
          <w:p>
            <w:r>
              <w:rPr>
                <w:b/>
                <w:sz w:val="18"/>
              </w:rPr>
              <w:t>5</w:t>
            </w:r>
          </w:p>
        </w:tc>
        <w:tc>
          <w:tcPr>
            <w:tcW w:type="dxa" w:w="2351"/>
            <w:shd w:val="clear" w:color="auto" w:fill="FFFFFF"/>
          </w:tcPr>
          <w:p>
            <w:r>
              <w:rPr>
                <w:sz w:val="18"/>
              </w:rPr>
              <w:t>UNBS/NDA/WHO-GMP gate markets and displace sub-standard imports; enforcement uneven</w:t>
            </w:r>
          </w:p>
        </w:tc>
      </w:tr>
      <w:tr>
        <w:tc>
          <w:tcPr>
            <w:tcW w:type="dxa" w:w="2351"/>
            <w:shd w:val="clear" w:color="auto" w:fill="EEF3F9"/>
          </w:tcPr>
          <w:p>
            <w:r>
              <w:rPr>
                <w:sz w:val="18"/>
              </w:rPr>
              <w:t>3</w:t>
            </w:r>
          </w:p>
        </w:tc>
        <w:tc>
          <w:tcPr>
            <w:tcW w:type="dxa" w:w="2351"/>
            <w:shd w:val="clear" w:color="auto" w:fill="EEF3F9"/>
          </w:tcPr>
          <w:p>
            <w:r>
              <w:rPr>
                <w:sz w:val="18"/>
              </w:rPr>
              <w:t>Access to long-term finance</w:t>
            </w:r>
          </w:p>
        </w:tc>
        <w:tc>
          <w:tcPr>
            <w:tcW w:type="dxa" w:w="2351"/>
            <w:shd w:val="clear" w:color="auto" w:fill="EEF3F9"/>
          </w:tcPr>
          <w:p>
            <w:r>
              <w:rPr>
                <w:b/>
                <w:sz w:val="18"/>
              </w:rPr>
              <w:t>4</w:t>
            </w:r>
          </w:p>
        </w:tc>
        <w:tc>
          <w:tcPr>
            <w:tcW w:type="dxa" w:w="2351"/>
            <w:shd w:val="clear" w:color="auto" w:fill="EEF3F9"/>
          </w:tcPr>
          <w:p>
            <w:r>
              <w:rPr>
                <w:sz w:val="18"/>
              </w:rPr>
              <w:t>GMP, spinning, clinker, recycling, refinery all capital-intensive; 2025 liquidity tightening crowds out credit</w:t>
            </w:r>
          </w:p>
        </w:tc>
      </w:tr>
      <w:tr>
        <w:tc>
          <w:tcPr>
            <w:tcW w:type="dxa" w:w="2351"/>
            <w:shd w:val="clear" w:color="auto" w:fill="FFFFFF"/>
          </w:tcPr>
          <w:p>
            <w:r>
              <w:rPr>
                <w:sz w:val="18"/>
              </w:rPr>
              <w:t>4</w:t>
            </w:r>
          </w:p>
        </w:tc>
        <w:tc>
          <w:tcPr>
            <w:tcW w:type="dxa" w:w="2351"/>
            <w:shd w:val="clear" w:color="auto" w:fill="FFFFFF"/>
          </w:tcPr>
          <w:p>
            <w:r>
              <w:rPr>
                <w:sz w:val="18"/>
              </w:rPr>
              <w:t>Energy cost &amp; reliability</w:t>
            </w:r>
          </w:p>
        </w:tc>
        <w:tc>
          <w:tcPr>
            <w:tcW w:type="dxa" w:w="2351"/>
            <w:shd w:val="clear" w:color="auto" w:fill="FFFFFF"/>
          </w:tcPr>
          <w:p>
            <w:r>
              <w:rPr>
                <w:b/>
                <w:sz w:val="18"/>
              </w:rPr>
              <w:t>4</w:t>
            </w:r>
          </w:p>
        </w:tc>
        <w:tc>
          <w:tcPr>
            <w:tcW w:type="dxa" w:w="2351"/>
            <w:shd w:val="clear" w:color="auto" w:fill="FFFFFF"/>
          </w:tcPr>
          <w:p>
            <w:r>
              <w:rPr>
                <w:sz w:val="18"/>
              </w:rPr>
              <w:t>Cement/clinker, textiles wet-processing, petrochemicals energy-intensive</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Logistics / landlocked penalty</w:t>
            </w:r>
          </w:p>
        </w:tc>
        <w:tc>
          <w:tcPr>
            <w:tcW w:type="dxa" w:w="2351"/>
            <w:shd w:val="clear" w:color="auto" w:fill="FFFFFF"/>
          </w:tcPr>
          <w:p>
            <w:r>
              <w:rPr>
                <w:b/>
                <w:sz w:val="18"/>
              </w:rPr>
              <w:t>3</w:t>
            </w:r>
          </w:p>
        </w:tc>
        <w:tc>
          <w:tcPr>
            <w:tcW w:type="dxa" w:w="2351"/>
            <w:shd w:val="clear" w:color="auto" w:fill="FFFFFF"/>
          </w:tcPr>
          <w:p>
            <w:r>
              <w:rPr>
                <w:sz w:val="18"/>
              </w:rPr>
              <w:t>~USD 827m/yr; ~18–20% of sale price on inputs and exports</w:t>
            </w:r>
          </w:p>
        </w:tc>
      </w:tr>
    </w:tbl>
    <w:p/>
    <w:p>
      <w:r>
        <w:t>Narrative on each:</w:t>
      </w:r>
    </w:p>
    <w:p>
      <w:r>
        <w:rPr>
          <w:b/>
        </w:rPr>
        <w:t>1. Energy cost and reliability.</w:t>
      </w:r>
      <w:r>
        <w:t xml:space="preserve"> Cement (clinker), textiles (spinning/wet-processing), and any future petrochemical processing are energy-intensive. A dedicated extra-large-load tariff (~5.5 US¢/kWh, ERA 2025) helps the largest plants, but the </w:t>
      </w:r>
      <w:r>
        <w:rPr>
          <w:b/>
        </w:rPr>
        <w:t>effective industrial tariff (~8–10 US¢/kWh) is higher than Kenya, Tanzania and Egypt</w:t>
      </w:r>
      <w:r>
        <w:t xml:space="preserve"> (NPA/UDC 2025), and reliability is a top firm-cited issue.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Uganda Industrial Research Institute (UIRI), and Technical and Vocational Education and Training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3"/>
      </w:pPr>
      <w:r>
        <w:t>H. Green industrialisation as a competitiveness strategy</w:t>
      </w:r>
    </w:p>
    <w:p>
      <w:r>
        <w:t xml:space="preserve">Across the six chains, treat sustainability as a market-access and cost advantage: </w:t>
      </w:r>
      <w:r>
        <w:rPr>
          <w:b/>
        </w:rPr>
        <w:t>organic/traceable cotton and clean wet-processing</w:t>
      </w:r>
      <w:r>
        <w:t xml:space="preserve"> (textiles), </w:t>
      </w:r>
      <w:r>
        <w:rPr>
          <w:b/>
        </w:rPr>
        <w:t>green-ammonia fertilizer and phosphogypsum reuse</w:t>
      </w:r>
      <w:r>
        <w:t xml:space="preserve"> (fertilizers), </w:t>
      </w:r>
      <w:r>
        <w:rPr>
          <w:b/>
        </w:rPr>
        <w:t>ethanol and bagasse co-generation</w:t>
      </w:r>
      <w:r>
        <w:t xml:space="preserve"> (sugar), </w:t>
      </w:r>
      <w:r>
        <w:rPr>
          <w:b/>
        </w:rPr>
        <w:t>plastics circularity/EPR</w:t>
      </w:r>
      <w:r>
        <w:t xml:space="preserve"> (packaging), </w:t>
      </w:r>
      <w:r>
        <w:rPr>
          <w:b/>
        </w:rPr>
        <w:t>alternative-fuel kilns and clinker substitution with slag/phosphogypsum</w:t>
      </w:r>
      <w:r>
        <w:t xml:space="preserve"> (cement), and </w:t>
      </w:r>
      <w:r>
        <w:rPr>
          <w:b/>
        </w:rPr>
        <w:t>efficient GMP utilities</w:t>
      </w:r>
      <w:r>
        <w:t xml:space="preserve"> (pharma). Many of these are </w:t>
      </w:r>
      <w:r>
        <w:rPr>
          <w:i/>
        </w:rPr>
        <w:t>cheaper</w:t>
      </w:r>
      <w:r>
        <w:t xml:space="preserve"> as well as cleaner, and they pre-empt carbon-border measures while opening green-procurement and export markets — a cross-chain circular system in which one chain's by-product is another's input.</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pPr>
        <w:pStyle w:val="ListNumber"/>
      </w:pPr>
      <w:r>
        <w:rPr>
          <w:b/>
        </w:rPr>
        <w:t>Pursue green industrialisation as a competitiveness strategy</w:t>
      </w:r>
      <w:r>
        <w:t xml:space="preserve"> (organic cotton, green ammonia, ethanol/co-gen, plastics circularity, low-carbon cement, efficient GMP).</w:t>
      </w:r>
    </w:p>
    <w:p>
      <w:r>
        <w:t>Together these convert Uganda's agricultural base, established sugar/cement industries, proven pharmaceutical capability, and emerging oil sector into a value-adding, import-substituting industrial system.</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value chains — Textiles &amp; Garments, Pharmaceuticals, Petrochemicals &amp; Fertilizers, Sugar &amp; Confectionery, Plastics &amp; Packaging, and Cement &amp; Building Materials. Project profiles cover the </w:t>
      </w:r>
      <w:r>
        <w:rPr>
          <w:b/>
        </w:rPr>
        <w:t>priority products only</w:t>
      </w:r>
      <w:r>
        <w:t>.</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11.2): </w:t>
      </w:r>
      <w:r>
        <w:rPr>
          <w:b/>
        </w:rPr>
        <w:t>(1) strategic alignment to tenfold growth</w:t>
      </w:r>
      <w:r>
        <w:t xml:space="preserve">, </w:t>
      </w:r>
      <w:r>
        <w:rPr>
          <w:b/>
        </w:rPr>
        <w:t>(2) a quick-win element</w:t>
      </w:r>
      <w:r>
        <w:t xml:space="preserve">, and </w:t>
      </w:r>
      <w:r>
        <w:rPr>
          <w:b/>
        </w:rPr>
        <w:t>(3) a green/sustainability dimension</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Spinning/weaving + garments</w:t>
            </w:r>
          </w:p>
        </w:tc>
        <w:tc>
          <w:tcPr>
            <w:tcW w:type="dxa" w:w="1881"/>
            <w:shd w:val="clear" w:color="auto" w:fill="EEF3F9"/>
          </w:tcPr>
          <w:p>
            <w:r>
              <w:rPr>
                <w:sz w:val="18"/>
              </w:rPr>
              <w:t>Agro-industrial flagship; jobs at scale</w:t>
            </w:r>
          </w:p>
        </w:tc>
        <w:tc>
          <w:tcPr>
            <w:tcW w:type="dxa" w:w="1881"/>
            <w:shd w:val="clear" w:color="auto" w:fill="EEF3F9"/>
          </w:tcPr>
          <w:p>
            <w:r>
              <w:rPr>
                <w:sz w:val="18"/>
              </w:rPr>
              <w:t>Expand Nytil/Fine Spinners/Lira; uniform procurement</w:t>
            </w:r>
          </w:p>
        </w:tc>
        <w:tc>
          <w:tcPr>
            <w:tcW w:type="dxa" w:w="1881"/>
            <w:shd w:val="clear" w:color="auto" w:fill="EEF3F9"/>
          </w:tcPr>
          <w:p>
            <w:r>
              <w:rPr>
                <w:sz w:val="18"/>
              </w:rPr>
              <w:t>Organic cotton; closed-loop wet-processing</w:t>
            </w:r>
          </w:p>
        </w:tc>
      </w:tr>
      <w:tr>
        <w:tc>
          <w:tcPr>
            <w:tcW w:type="dxa" w:w="1881"/>
            <w:shd w:val="clear" w:color="auto" w:fill="FFFFFF"/>
          </w:tcPr>
          <w:p>
            <w:r>
              <w:rPr>
                <w:sz w:val="18"/>
              </w:rPr>
              <w:t>2</w:t>
            </w:r>
          </w:p>
        </w:tc>
        <w:tc>
          <w:tcPr>
            <w:tcW w:type="dxa" w:w="1881"/>
            <w:shd w:val="clear" w:color="auto" w:fill="FFFFFF"/>
          </w:tcPr>
          <w:p>
            <w:r>
              <w:rPr>
                <w:sz w:val="18"/>
              </w:rPr>
              <w:t>GMP essential generics</w:t>
            </w:r>
          </w:p>
        </w:tc>
        <w:tc>
          <w:tcPr>
            <w:tcW w:type="dxa" w:w="1881"/>
            <w:shd w:val="clear" w:color="auto" w:fill="FFFFFF"/>
          </w:tcPr>
          <w:p>
            <w:r>
              <w:rPr>
                <w:sz w:val="18"/>
              </w:rPr>
              <w:t>Health security + skilled jobs</w:t>
            </w:r>
          </w:p>
        </w:tc>
        <w:tc>
          <w:tcPr>
            <w:tcW w:type="dxa" w:w="1881"/>
            <w:shd w:val="clear" w:color="auto" w:fill="FFFFFF"/>
          </w:tcPr>
          <w:p>
            <w:r>
              <w:rPr>
                <w:sz w:val="18"/>
              </w:rPr>
              <w:t>Preferential NMS/JMS procurement fills capacity</w:t>
            </w:r>
          </w:p>
        </w:tc>
        <w:tc>
          <w:tcPr>
            <w:tcW w:type="dxa" w:w="1881"/>
            <w:shd w:val="clear" w:color="auto" w:fill="FFFFFF"/>
          </w:tcPr>
          <w:p>
            <w:r>
              <w:rPr>
                <w:sz w:val="18"/>
              </w:rPr>
              <w:t>Solar/efficient GMP utilities</w:t>
            </w:r>
          </w:p>
        </w:tc>
      </w:tr>
      <w:tr>
        <w:tc>
          <w:tcPr>
            <w:tcW w:type="dxa" w:w="1881"/>
            <w:shd w:val="clear" w:color="auto" w:fill="EEF3F9"/>
          </w:tcPr>
          <w:p>
            <w:r>
              <w:rPr>
                <w:sz w:val="18"/>
              </w:rPr>
              <w:t>3</w:t>
            </w:r>
          </w:p>
        </w:tc>
        <w:tc>
          <w:tcPr>
            <w:tcW w:type="dxa" w:w="1881"/>
            <w:shd w:val="clear" w:color="auto" w:fill="EEF3F9"/>
          </w:tcPr>
          <w:p>
            <w:r>
              <w:rPr>
                <w:sz w:val="18"/>
              </w:rPr>
              <w:t>Fertilizer revival/blending</w:t>
            </w:r>
          </w:p>
        </w:tc>
        <w:tc>
          <w:tcPr>
            <w:tcW w:type="dxa" w:w="1881"/>
            <w:shd w:val="clear" w:color="auto" w:fill="EEF3F9"/>
          </w:tcPr>
          <w:p>
            <w:r>
              <w:rPr>
                <w:sz w:val="18"/>
              </w:rPr>
              <w:t>Farm productivity (agro pillar)</w:t>
            </w:r>
          </w:p>
        </w:tc>
        <w:tc>
          <w:tcPr>
            <w:tcW w:type="dxa" w:w="1881"/>
            <w:shd w:val="clear" w:color="auto" w:fill="EEF3F9"/>
          </w:tcPr>
          <w:p>
            <w:r>
              <w:rPr>
                <w:sz w:val="18"/>
              </w:rPr>
              <w:t>Expand blending now; restructure Sukulu</w:t>
            </w:r>
          </w:p>
        </w:tc>
        <w:tc>
          <w:tcPr>
            <w:tcW w:type="dxa" w:w="1881"/>
            <w:shd w:val="clear" w:color="auto" w:fill="EEF3F9"/>
          </w:tcPr>
          <w:p>
            <w:r>
              <w:rPr>
                <w:sz w:val="18"/>
              </w:rPr>
              <w:t>Green-ammonia route; phosphogypsum reuse</w:t>
            </w:r>
          </w:p>
        </w:tc>
      </w:tr>
      <w:tr>
        <w:tc>
          <w:tcPr>
            <w:tcW w:type="dxa" w:w="1881"/>
            <w:shd w:val="clear" w:color="auto" w:fill="FFFFFF"/>
          </w:tcPr>
          <w:p>
            <w:r>
              <w:rPr>
                <w:sz w:val="18"/>
              </w:rPr>
              <w:t>4</w:t>
            </w:r>
          </w:p>
        </w:tc>
        <w:tc>
          <w:tcPr>
            <w:tcW w:type="dxa" w:w="1881"/>
            <w:shd w:val="clear" w:color="auto" w:fill="FFFFFF"/>
          </w:tcPr>
          <w:p>
            <w:r>
              <w:rPr>
                <w:sz w:val="18"/>
              </w:rPr>
              <w:t>Refinery &amp; petrochemical park</w:t>
            </w:r>
          </w:p>
        </w:tc>
        <w:tc>
          <w:tcPr>
            <w:tcW w:type="dxa" w:w="1881"/>
            <w:shd w:val="clear" w:color="auto" w:fill="FFFFFF"/>
          </w:tcPr>
          <w:p>
            <w:r>
              <w:rPr>
                <w:sz w:val="18"/>
              </w:rPr>
              <w:t>Minerals/energy pillar; feedstock anchor</w:t>
            </w:r>
          </w:p>
        </w:tc>
        <w:tc>
          <w:tcPr>
            <w:tcW w:type="dxa" w:w="1881"/>
            <w:shd w:val="clear" w:color="auto" w:fill="FFFFFF"/>
          </w:tcPr>
          <w:p>
            <w:r>
              <w:rPr>
                <w:sz w:val="18"/>
              </w:rPr>
              <w:t>Park readiness pre-2029</w:t>
            </w:r>
          </w:p>
        </w:tc>
        <w:tc>
          <w:tcPr>
            <w:tcW w:type="dxa" w:w="1881"/>
            <w:shd w:val="clear" w:color="auto" w:fill="FFFFFF"/>
          </w:tcPr>
          <w:p>
            <w:r>
              <w:rPr>
                <w:sz w:val="18"/>
              </w:rPr>
              <w:t>Gas capture; emissions control</w:t>
            </w:r>
          </w:p>
        </w:tc>
      </w:tr>
      <w:tr>
        <w:tc>
          <w:tcPr>
            <w:tcW w:type="dxa" w:w="1881"/>
            <w:shd w:val="clear" w:color="auto" w:fill="EEF3F9"/>
          </w:tcPr>
          <w:p>
            <w:r>
              <w:rPr>
                <w:sz w:val="18"/>
              </w:rPr>
              <w:t>5</w:t>
            </w:r>
          </w:p>
        </w:tc>
        <w:tc>
          <w:tcPr>
            <w:tcW w:type="dxa" w:w="1881"/>
            <w:shd w:val="clear" w:color="auto" w:fill="EEF3F9"/>
          </w:tcPr>
          <w:p>
            <w:r>
              <w:rPr>
                <w:sz w:val="18"/>
              </w:rPr>
              <w:t>Industrial sugar + ethanol + co-gen</w:t>
            </w:r>
          </w:p>
        </w:tc>
        <w:tc>
          <w:tcPr>
            <w:tcW w:type="dxa" w:w="1881"/>
            <w:shd w:val="clear" w:color="auto" w:fill="EEF3F9"/>
          </w:tcPr>
          <w:p>
            <w:r>
              <w:rPr>
                <w:sz w:val="18"/>
              </w:rPr>
              <w:t>Surplus → higher value</w:t>
            </w:r>
          </w:p>
        </w:tc>
        <w:tc>
          <w:tcPr>
            <w:tcW w:type="dxa" w:w="1881"/>
            <w:shd w:val="clear" w:color="auto" w:fill="EEF3F9"/>
          </w:tcPr>
          <w:p>
            <w:r>
              <w:rPr>
                <w:sz w:val="18"/>
              </w:rPr>
              <w:t>Ethanol mandate; build on existing mills</w:t>
            </w:r>
          </w:p>
        </w:tc>
        <w:tc>
          <w:tcPr>
            <w:tcW w:type="dxa" w:w="1881"/>
            <w:shd w:val="clear" w:color="auto" w:fill="EEF3F9"/>
          </w:tcPr>
          <w:p>
            <w:r>
              <w:rPr>
                <w:sz w:val="18"/>
              </w:rPr>
              <w:t>Biofuel; bagasse renewable power; vinasse biogas</w:t>
            </w:r>
          </w:p>
        </w:tc>
      </w:tr>
      <w:tr>
        <w:tc>
          <w:tcPr>
            <w:tcW w:type="dxa" w:w="1881"/>
            <w:shd w:val="clear" w:color="auto" w:fill="FFFFFF"/>
          </w:tcPr>
          <w:p>
            <w:r>
              <w:rPr>
                <w:sz w:val="18"/>
              </w:rPr>
              <w:t>6</w:t>
            </w:r>
          </w:p>
        </w:tc>
        <w:tc>
          <w:tcPr>
            <w:tcW w:type="dxa" w:w="1881"/>
            <w:shd w:val="clear" w:color="auto" w:fill="FFFFFF"/>
          </w:tcPr>
          <w:p>
            <w:r>
              <w:rPr>
                <w:sz w:val="18"/>
              </w:rPr>
              <w:t>Plastics recycling + packaging</w:t>
            </w:r>
          </w:p>
        </w:tc>
        <w:tc>
          <w:tcPr>
            <w:tcW w:type="dxa" w:w="1881"/>
            <w:shd w:val="clear" w:color="auto" w:fill="FFFFFF"/>
          </w:tcPr>
          <w:p>
            <w:r>
              <w:rPr>
                <w:sz w:val="18"/>
              </w:rPr>
              <w:t>Circular feedstock; enables all chains</w:t>
            </w:r>
          </w:p>
        </w:tc>
        <w:tc>
          <w:tcPr>
            <w:tcW w:type="dxa" w:w="1881"/>
            <w:shd w:val="clear" w:color="auto" w:fill="FFFFFF"/>
          </w:tcPr>
          <w:p>
            <w:r>
              <w:rPr>
                <w:sz w:val="18"/>
              </w:rPr>
              <w:t>Build on existing recyclers + EPR</w:t>
            </w:r>
          </w:p>
        </w:tc>
        <w:tc>
          <w:tcPr>
            <w:tcW w:type="dxa" w:w="1881"/>
            <w:shd w:val="clear" w:color="auto" w:fill="FFFFFF"/>
          </w:tcPr>
          <w:p>
            <w:r>
              <w:rPr>
                <w:sz w:val="18"/>
              </w:rPr>
              <w:t>Recycling is the green flagship</w:t>
            </w:r>
          </w:p>
        </w:tc>
      </w:tr>
      <w:tr>
        <w:tc>
          <w:tcPr>
            <w:tcW w:type="dxa" w:w="1881"/>
            <w:shd w:val="clear" w:color="auto" w:fill="EEF3F9"/>
          </w:tcPr>
          <w:p>
            <w:r>
              <w:rPr>
                <w:sz w:val="18"/>
              </w:rPr>
              <w:t>7</w:t>
            </w:r>
          </w:p>
        </w:tc>
        <w:tc>
          <w:tcPr>
            <w:tcW w:type="dxa" w:w="1881"/>
            <w:shd w:val="clear" w:color="auto" w:fill="EEF3F9"/>
          </w:tcPr>
          <w:p>
            <w:r>
              <w:rPr>
                <w:sz w:val="18"/>
              </w:rPr>
              <w:t>Clinker capacity</w:t>
            </w:r>
          </w:p>
        </w:tc>
        <w:tc>
          <w:tcPr>
            <w:tcW w:type="dxa" w:w="1881"/>
            <w:shd w:val="clear" w:color="auto" w:fill="EEF3F9"/>
          </w:tcPr>
          <w:p>
            <w:r>
              <w:rPr>
                <w:sz w:val="18"/>
              </w:rPr>
              <w:t>Closes &gt;50% import gap</w:t>
            </w:r>
          </w:p>
        </w:tc>
        <w:tc>
          <w:tcPr>
            <w:tcW w:type="dxa" w:w="1881"/>
            <w:shd w:val="clear" w:color="auto" w:fill="EEF3F9"/>
          </w:tcPr>
          <w:p>
            <w:r>
              <w:rPr>
                <w:sz w:val="18"/>
              </w:rPr>
              <w:t>Support NE/Buikwe plants underway</w:t>
            </w:r>
          </w:p>
        </w:tc>
        <w:tc>
          <w:tcPr>
            <w:tcW w:type="dxa" w:w="1881"/>
            <w:shd w:val="clear" w:color="auto" w:fill="EEF3F9"/>
          </w:tcPr>
          <w:p>
            <w:r>
              <w:rPr>
                <w:sz w:val="18"/>
              </w:rPr>
              <w:t>Alt-fuel kilns; slag/phosphogypsum SCMs</w:t>
            </w:r>
          </w:p>
        </w:tc>
      </w:tr>
      <w:tr>
        <w:tc>
          <w:tcPr>
            <w:tcW w:type="dxa" w:w="1881"/>
            <w:shd w:val="clear" w:color="auto" w:fill="FFFFFF"/>
          </w:tcPr>
          <w:p>
            <w:r>
              <w:rPr>
                <w:sz w:val="18"/>
              </w:rPr>
              <w:t>8</w:t>
            </w:r>
          </w:p>
        </w:tc>
        <w:tc>
          <w:tcPr>
            <w:tcW w:type="dxa" w:w="1881"/>
            <w:shd w:val="clear" w:color="auto" w:fill="FFFFFF"/>
          </w:tcPr>
          <w:p>
            <w:r>
              <w:rPr>
                <w:sz w:val="18"/>
              </w:rPr>
              <w:t>Higher-value building materials</w:t>
            </w:r>
          </w:p>
        </w:tc>
        <w:tc>
          <w:tcPr>
            <w:tcW w:type="dxa" w:w="1881"/>
            <w:shd w:val="clear" w:color="auto" w:fill="FFFFFF"/>
          </w:tcPr>
          <w:p>
            <w:r>
              <w:rPr>
                <w:sz w:val="18"/>
              </w:rPr>
              <w:t>Construction value-add</w:t>
            </w:r>
          </w:p>
        </w:tc>
        <w:tc>
          <w:tcPr>
            <w:tcW w:type="dxa" w:w="1881"/>
            <w:shd w:val="clear" w:color="auto" w:fill="FFFFFF"/>
          </w:tcPr>
          <w:p>
            <w:r>
              <w:rPr>
                <w:sz w:val="18"/>
              </w:rPr>
              <w:t>Build on existing cement base</w:t>
            </w:r>
          </w:p>
        </w:tc>
        <w:tc>
          <w:tcPr>
            <w:tcW w:type="dxa" w:w="1881"/>
            <w:shd w:val="clear" w:color="auto" w:fill="FFFFFF"/>
          </w:tcPr>
          <w:p>
            <w:r>
              <w:rPr>
                <w:sz w:val="18"/>
              </w:rPr>
              <w:t>Blended/low-carbon cement inputs</w:t>
            </w:r>
          </w:p>
        </w:tc>
      </w:tr>
    </w:tbl>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National Medical Stores (NMS)/JMS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(4–9) and the consolidated References.</w:t>
      </w:r>
    </w:p>
    <w:p>
      <w:pPr>
        <w:pStyle w:val="Heading2"/>
      </w:pPr>
      <w:r>
        <w:t>A.1 Textiles &amp; Garments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Cotton output</w:t>
            </w:r>
          </w:p>
        </w:tc>
        <w:tc>
          <w:tcPr>
            <w:tcW w:type="dxa" w:w="4703"/>
            <w:shd w:val="clear" w:color="auto" w:fill="EEF3F9"/>
          </w:tcPr>
          <w:p>
            <w:r>
              <w:rPr>
                <w:sz w:val="18"/>
              </w:rPr>
              <w:t>~116,000 bales (2023); up to ~250,000 potential</w:t>
            </w:r>
          </w:p>
        </w:tc>
      </w:tr>
      <w:tr>
        <w:tc>
          <w:tcPr>
            <w:tcW w:type="dxa" w:w="4703"/>
            <w:shd w:val="clear" w:color="auto" w:fill="FFFFFF"/>
          </w:tcPr>
          <w:p>
            <w:r>
              <w:rPr>
                <w:sz w:val="18"/>
              </w:rPr>
              <w:t>Ginneries</w:t>
            </w:r>
          </w:p>
        </w:tc>
        <w:tc>
          <w:tcPr>
            <w:tcW w:type="dxa" w:w="4703"/>
            <w:shd w:val="clear" w:color="auto" w:fill="FFFFFF"/>
          </w:tcPr>
          <w:p>
            <w:r>
              <w:rPr>
                <w:b/>
                <w:sz w:val="18"/>
              </w:rPr>
              <w:t>39, ~1m bales/yr capacity — at ~10%</w:t>
            </w:r>
          </w:p>
        </w:tc>
      </w:tr>
      <w:tr>
        <w:tc>
          <w:tcPr>
            <w:tcW w:type="dxa" w:w="4703"/>
            <w:shd w:val="clear" w:color="auto" w:fill="EEF3F9"/>
          </w:tcPr>
          <w:p>
            <w:r>
              <w:rPr>
                <w:sz w:val="18"/>
              </w:rPr>
              <w:t>Integrated mills</w:t>
            </w:r>
          </w:p>
        </w:tc>
        <w:tc>
          <w:tcPr>
            <w:tcW w:type="dxa" w:w="4703"/>
            <w:shd w:val="clear" w:color="auto" w:fill="EEF3F9"/>
          </w:tcPr>
          <w:p>
            <w:r>
              <w:rPr>
                <w:sz w:val="18"/>
              </w:rPr>
              <w:t>2 (Nytil; Fine Spinners) — ~10% of lint; ~USD 50m turnover</w:t>
            </w:r>
          </w:p>
        </w:tc>
      </w:tr>
      <w:tr>
        <w:tc>
          <w:tcPr>
            <w:tcW w:type="dxa" w:w="4703"/>
            <w:shd w:val="clear" w:color="auto" w:fill="FFFFFF"/>
          </w:tcPr>
          <w:p>
            <w:r>
              <w:rPr>
                <w:sz w:val="18"/>
              </w:rPr>
              <w:t>Lint exports (raw)</w:t>
            </w:r>
          </w:p>
        </w:tc>
        <w:tc>
          <w:tcPr>
            <w:tcW w:type="dxa" w:w="4703"/>
            <w:shd w:val="clear" w:color="auto" w:fill="FFFFFF"/>
          </w:tcPr>
          <w:p>
            <w:r>
              <w:rPr>
                <w:sz w:val="18"/>
              </w:rPr>
              <w:t>~USD 11.3m (HS 5201); ~90% exported raw</w:t>
            </w:r>
          </w:p>
        </w:tc>
      </w:tr>
      <w:tr>
        <w:tc>
          <w:tcPr>
            <w:tcW w:type="dxa" w:w="4703"/>
            <w:shd w:val="clear" w:color="auto" w:fill="EEF3F9"/>
          </w:tcPr>
          <w:p>
            <w:r>
              <w:rPr>
                <w:sz w:val="18"/>
              </w:rPr>
              <w:t>Employment (Fine Spinners + outgrowers)</w:t>
            </w:r>
          </w:p>
        </w:tc>
        <w:tc>
          <w:tcPr>
            <w:tcW w:type="dxa" w:w="4703"/>
            <w:shd w:val="clear" w:color="auto" w:fill="EEF3F9"/>
          </w:tcPr>
          <w:p>
            <w:r>
              <w:rPr>
                <w:sz w:val="18"/>
              </w:rPr>
              <w:t>~18,000</w:t>
            </w:r>
          </w:p>
        </w:tc>
      </w:tr>
    </w:tbl>
    <w:p/>
    <w:p>
      <w:pPr>
        <w:pStyle w:val="ListBullet"/>
      </w:pPr>
      <w:r>
        <w:rPr>
          <w:b/>
        </w:rPr>
        <w:t>Position:</w:t>
      </w:r>
      <w:r>
        <w:t xml:space="preserve"> strong at raw end (growing, ginning); weak midstream (spinning, </w:t>
      </w:r>
      <w:r>
        <w:rPr>
          <w:b/>
        </w:rPr>
        <w:t>wet-processing gap</w:t>
      </w:r>
      <w:r>
        <w:t>); limited garments.</w:t>
      </w:r>
    </w:p>
    <w:p>
      <w:pPr>
        <w:pStyle w:val="ListBullet"/>
      </w:pPr>
      <w:r>
        <w:rPr>
          <w:b/>
        </w:rPr>
        <w:t>Top constraints (weighted):</w:t>
      </w:r>
      <w:r>
        <w:t xml:space="preserve"> wet-processing/finishing gap (5); used-clothing competition (4); cotton output volatility (4); capital (4).</w:t>
      </w:r>
    </w:p>
    <w:p>
      <w:pPr>
        <w:pStyle w:val="ListBullet"/>
      </w:pPr>
      <w:r>
        <w:rPr>
          <w:b/>
        </w:rPr>
        <w:t>Priorities:</w:t>
      </w:r>
      <w:r>
        <w:t xml:space="preserve"> ① Garments &amp; apparel ② Yarn &amp; fabric (+finishing) ③ Cottonseed oil &amp; cake.</w:t>
      </w:r>
    </w:p>
    <w:p>
      <w:pPr>
        <w:pStyle w:val="ListBullet"/>
      </w:pPr>
      <w:r>
        <w:rPr>
          <w:b/>
        </w:rPr>
        <w:t>2040 (tenfold):</w:t>
      </w:r>
      <w:r>
        <w:t xml:space="preserve"> multi-fold apparel demand; process domestic lint → major employer.</w:t>
      </w:r>
    </w:p>
    <w:p>
      <w:pPr>
        <w:pStyle w:val="ListBullet"/>
      </w:pPr>
      <w:r>
        <w:rPr>
          <w:b/>
        </w:rPr>
        <w:t>Green edge:</w:t>
      </w:r>
      <w:r>
        <w:t xml:space="preserve"> organic/traceable cotton; closed-loop wet-processing; solar mills.</w:t>
      </w:r>
    </w:p>
    <w:p>
      <w:pPr>
        <w:pStyle w:val="Heading2"/>
      </w:pPr>
      <w:r>
        <w:t>A.2 Pharmaceuticals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Domestic market</w:t>
            </w:r>
          </w:p>
        </w:tc>
        <w:tc>
          <w:tcPr>
            <w:tcW w:type="dxa" w:w="4703"/>
            <w:shd w:val="clear" w:color="auto" w:fill="EEF3F9"/>
          </w:tcPr>
          <w:p>
            <w:r>
              <w:rPr>
                <w:sz w:val="18"/>
              </w:rPr>
              <w:t>~USD 221m (2023), +9.4%/yr</w:t>
            </w:r>
          </w:p>
        </w:tc>
      </w:tr>
      <w:tr>
        <w:tc>
          <w:tcPr>
            <w:tcW w:type="dxa" w:w="4703"/>
            <w:shd w:val="clear" w:color="auto" w:fill="FFFFFF"/>
          </w:tcPr>
          <w:p>
            <w:r>
              <w:rPr>
                <w:sz w:val="18"/>
              </w:rPr>
              <w:t>Import dependence</w:t>
            </w:r>
          </w:p>
        </w:tc>
        <w:tc>
          <w:tcPr>
            <w:tcW w:type="dxa" w:w="4703"/>
            <w:shd w:val="clear" w:color="auto" w:fill="FFFFFF"/>
          </w:tcPr>
          <w:p>
            <w:r>
              <w:rPr>
                <w:b/>
                <w:sz w:val="18"/>
              </w:rPr>
              <w:t>~90% of medicines</w:t>
            </w:r>
            <w:r>
              <w:rPr>
                <w:sz w:val="18"/>
              </w:rPr>
              <w:t xml:space="preserve"> (was 96% in 2016)</w:t>
            </w:r>
          </w:p>
        </w:tc>
      </w:tr>
      <w:tr>
        <w:tc>
          <w:tcPr>
            <w:tcW w:type="dxa" w:w="4703"/>
            <w:shd w:val="clear" w:color="auto" w:fill="EEF3F9"/>
          </w:tcPr>
          <w:p>
            <w:r>
              <w:rPr>
                <w:sz w:val="18"/>
              </w:rPr>
              <w:t>Medicaments imports (HS 3004)</w:t>
            </w:r>
          </w:p>
        </w:tc>
        <w:tc>
          <w:tcPr>
            <w:tcW w:type="dxa" w:w="4703"/>
            <w:shd w:val="clear" w:color="auto" w:fill="EEF3F9"/>
          </w:tcPr>
          <w:p>
            <w:r>
              <w:rPr>
                <w:b/>
                <w:sz w:val="18"/>
              </w:rPr>
              <w:t>USD 263.4m</w:t>
            </w:r>
            <w:r>
              <w:rPr>
                <w:sz w:val="18"/>
              </w:rPr>
              <w:t xml:space="preserve"> (2024)</w:t>
            </w:r>
          </w:p>
        </w:tc>
      </w:tr>
      <w:tr>
        <w:tc>
          <w:tcPr>
            <w:tcW w:type="dxa" w:w="4703"/>
            <w:shd w:val="clear" w:color="auto" w:fill="FFFFFF"/>
          </w:tcPr>
          <w:p>
            <w:r>
              <w:rPr>
                <w:sz w:val="18"/>
              </w:rPr>
              <w:t>WHO-GMP manufacturers</w:t>
            </w:r>
          </w:p>
        </w:tc>
        <w:tc>
          <w:tcPr>
            <w:tcW w:type="dxa" w:w="4703"/>
            <w:shd w:val="clear" w:color="auto" w:fill="FFFFFF"/>
          </w:tcPr>
          <w:p>
            <w:r>
              <w:rPr>
                <w:sz w:val="18"/>
              </w:rPr>
              <w:t>6 (flagship: Cipla QCIL ~1.2bn tablets/yr)</w:t>
            </w:r>
          </w:p>
        </w:tc>
      </w:tr>
    </w:tbl>
    <w:p/>
    <w:p>
      <w:pPr>
        <w:pStyle w:val="ListBullet"/>
      </w:pPr>
      <w:r>
        <w:rPr>
          <w:b/>
        </w:rPr>
        <w:t>Position:</w:t>
      </w:r>
      <w:r>
        <w:t xml:space="preserve"> established formulation/packaging on imported APIs; rare regional strength (QCIL, globally prequalified).</w:t>
      </w:r>
    </w:p>
    <w:p>
      <w:pPr>
        <w:pStyle w:val="ListBullet"/>
      </w:pPr>
      <w:r>
        <w:rPr>
          <w:b/>
        </w:rPr>
        <w:t>Top constraints (weighted):</w:t>
      </w:r>
      <w:r>
        <w:t xml:space="preserve"> API import dependence (5); WHO-GMP depth (5); capital + regulatory lead time (4); procurement access (4).</w:t>
      </w:r>
    </w:p>
    <w:p>
      <w:pPr>
        <w:pStyle w:val="ListBullet"/>
      </w:pPr>
      <w:r>
        <w:rPr>
          <w:b/>
        </w:rPr>
        <w:t>Priorities:</w:t>
      </w:r>
      <w:r>
        <w:t xml:space="preserve"> ① Essential generics (ARVs, antimalarials, anti-TB, NCD) ② Medical consumables ③ Selective local API.</w:t>
      </w:r>
    </w:p>
    <w:p>
      <w:pPr>
        <w:pStyle w:val="ListBullet"/>
      </w:pPr>
      <w:r>
        <w:rPr>
          <w:b/>
        </w:rPr>
        <w:t>2040 (tenfold):</w:t>
      </w:r>
      <w:r>
        <w:t xml:space="preserve"> market ~4× to </w:t>
      </w:r>
      <w:r>
        <w:rPr>
          <w:b/>
        </w:rPr>
        <w:t>~USD 1bn</w:t>
      </w:r>
      <w:r>
        <w:t>; shift from ~90% imported to substantial local share.</w:t>
      </w:r>
    </w:p>
    <w:p>
      <w:pPr>
        <w:pStyle w:val="ListBullet"/>
      </w:pPr>
      <w:r>
        <w:rPr>
          <w:b/>
        </w:rPr>
        <w:t>Green edge:</w:t>
      </w:r>
      <w:r>
        <w:t xml:space="preserve"> solar/efficient GMP utilities; pharma-water recycling; green chemistry.</w:t>
      </w:r>
    </w:p>
    <w:p>
      <w:pPr>
        <w:pStyle w:val="Heading2"/>
      </w:pPr>
      <w:r>
        <w:t>A.3 Petrochemicals &amp; Fertilizers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Refinery</w:t>
            </w:r>
          </w:p>
        </w:tc>
        <w:tc>
          <w:tcPr>
            <w:tcW w:type="dxa" w:w="4703"/>
            <w:shd w:val="clear" w:color="auto" w:fill="EEF3F9"/>
          </w:tcPr>
          <w:p>
            <w:r>
              <w:rPr>
                <w:sz w:val="18"/>
              </w:rPr>
              <w:t xml:space="preserve">Kabaale 60,000 bpd; </w:t>
            </w:r>
            <w:r>
              <w:rPr>
                <w:b/>
                <w:sz w:val="18"/>
              </w:rPr>
              <w:t>Alpha MBM agreement Mar 2025</w:t>
            </w:r>
            <w:r>
              <w:rPr>
                <w:sz w:val="18"/>
              </w:rPr>
              <w:t xml:space="preserve"> (~USD 4bn; ops ~2029–30)</w:t>
            </w:r>
          </w:p>
        </w:tc>
      </w:tr>
      <w:tr>
        <w:tc>
          <w:tcPr>
            <w:tcW w:type="dxa" w:w="4703"/>
            <w:shd w:val="clear" w:color="auto" w:fill="FFFFFF"/>
          </w:tcPr>
          <w:p>
            <w:r>
              <w:rPr>
                <w:sz w:val="18"/>
              </w:rPr>
              <w:t>Phosphate plant</w:t>
            </w:r>
          </w:p>
        </w:tc>
        <w:tc>
          <w:tcPr>
            <w:tcW w:type="dxa" w:w="4703"/>
            <w:shd w:val="clear" w:color="auto" w:fill="FFFFFF"/>
          </w:tcPr>
          <w:p>
            <w:r>
              <w:rPr>
                <w:sz w:val="18"/>
              </w:rPr>
              <w:t xml:space="preserve">Sukulu ~100,000 t/yr — </w:t>
            </w:r>
            <w:r>
              <w:rPr>
                <w:b/>
                <w:sz w:val="18"/>
              </w:rPr>
              <w:t>shut 2021, halted again</w:t>
            </w:r>
          </w:p>
        </w:tc>
      </w:tr>
      <w:tr>
        <w:tc>
          <w:tcPr>
            <w:tcW w:type="dxa" w:w="4703"/>
            <w:shd w:val="clear" w:color="auto" w:fill="EEF3F9"/>
          </w:tcPr>
          <w:p>
            <w:r>
              <w:rPr>
                <w:sz w:val="18"/>
              </w:rPr>
              <w:t>Fertilizer use vs need</w:t>
            </w:r>
          </w:p>
        </w:tc>
        <w:tc>
          <w:tcPr>
            <w:tcW w:type="dxa" w:w="4703"/>
            <w:shd w:val="clear" w:color="auto" w:fill="EEF3F9"/>
          </w:tcPr>
          <w:p>
            <w:r>
              <w:rPr>
                <w:b/>
                <w:sz w:val="18"/>
              </w:rPr>
              <w:t>~50,000 t vs ~1,000,000 t</w:t>
            </w:r>
          </w:p>
        </w:tc>
      </w:tr>
      <w:tr>
        <w:tc>
          <w:tcPr>
            <w:tcW w:type="dxa" w:w="4703"/>
            <w:shd w:val="clear" w:color="auto" w:fill="FFFFFF"/>
          </w:tcPr>
          <w:p>
            <w:r>
              <w:rPr>
                <w:sz w:val="18"/>
              </w:rPr>
              <w:t>Fertilizer imports (HS 3105)</w:t>
            </w:r>
          </w:p>
        </w:tc>
        <w:tc>
          <w:tcPr>
            <w:tcW w:type="dxa" w:w="4703"/>
            <w:shd w:val="clear" w:color="auto" w:fill="FFFFFF"/>
          </w:tcPr>
          <w:p>
            <w:r>
              <w:rPr>
                <w:sz w:val="18"/>
              </w:rPr>
              <w:t>~USD 32.1m (2024)</w:t>
            </w:r>
          </w:p>
        </w:tc>
      </w:tr>
    </w:tbl>
    <w:p/>
    <w:p>
      <w:pPr>
        <w:pStyle w:val="ListBullet"/>
      </w:pPr>
      <w:r>
        <w:rPr>
          <w:b/>
        </w:rPr>
        <w:t>Position:</w:t>
      </w:r>
      <w:r>
        <w:t xml:space="preserve"> pre-production petrochemicals; stalled domestic fertilizer; import-dependent.</w:t>
      </w:r>
    </w:p>
    <w:p>
      <w:pPr>
        <w:pStyle w:val="ListBullet"/>
      </w:pPr>
      <w:r>
        <w:rPr>
          <w:b/>
        </w:rPr>
        <w:t>Top constraints (weighted):</w:t>
      </w:r>
      <w:r>
        <w:t xml:space="preserve"> stalled phosphate/fertilizer supply (5); capital &amp; financing fragility (5); feedstock timing pre-2029 (4); quality &amp; distribution (4).</w:t>
      </w:r>
    </w:p>
    <w:p>
      <w:pPr>
        <w:pStyle w:val="ListBullet"/>
      </w:pPr>
      <w:r>
        <w:rPr>
          <w:b/>
        </w:rPr>
        <w:t>Priorities:</w:t>
      </w:r>
      <w:r>
        <w:t xml:space="preserve"> ① Fertilizer (blending + phosphate revival) ② Sulphuric acid/industrial chemicals ③ Petrochemicals/polymers (sequenced to refinery).</w:t>
      </w:r>
    </w:p>
    <w:p>
      <w:pPr>
        <w:pStyle w:val="ListBullet"/>
      </w:pPr>
      <w:r>
        <w:rPr>
          <w:b/>
        </w:rPr>
        <w:t>2040 (tenfold):</w:t>
      </w:r>
      <w:r>
        <w:t xml:space="preserve"> fertilizer demand → </w:t>
      </w:r>
      <w:r>
        <w:rPr>
          <w:b/>
        </w:rPr>
        <w:t>~1.5–2 Mt/yr</w:t>
      </w:r>
      <w:r>
        <w:t>; localised fuels/polymers post-refinery.</w:t>
      </w:r>
    </w:p>
    <w:p>
      <w:pPr>
        <w:pStyle w:val="ListBullet"/>
      </w:pPr>
      <w:r>
        <w:rPr>
          <w:b/>
        </w:rPr>
        <w:t>Green edge:</w:t>
      </w:r>
      <w:r>
        <w:t xml:space="preserve"> green-ammonia fertilizer (hydro electrolysis); gas capture; phosphogypsum reuse.</w:t>
      </w:r>
    </w:p>
    <w:p>
      <w:pPr>
        <w:pStyle w:val="Heading2"/>
      </w:pPr>
      <w:r>
        <w:t>A.4 Sugar &amp; Confectionery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National output</w:t>
            </w:r>
          </w:p>
        </w:tc>
        <w:tc>
          <w:tcPr>
            <w:tcW w:type="dxa" w:w="4703"/>
            <w:shd w:val="clear" w:color="auto" w:fill="EEF3F9"/>
          </w:tcPr>
          <w:p>
            <w:r>
              <w:rPr>
                <w:sz w:val="18"/>
              </w:rPr>
              <w:t>~822,000 t (2022)</w:t>
            </w:r>
          </w:p>
        </w:tc>
      </w:tr>
      <w:tr>
        <w:tc>
          <w:tcPr>
            <w:tcW w:type="dxa" w:w="4703"/>
            <w:shd w:val="clear" w:color="auto" w:fill="FFFFFF"/>
          </w:tcPr>
          <w:p>
            <w:r>
              <w:rPr>
                <w:sz w:val="18"/>
              </w:rPr>
              <w:t>Consumption / surplus</w:t>
            </w:r>
          </w:p>
        </w:tc>
        <w:tc>
          <w:tcPr>
            <w:tcW w:type="dxa" w:w="4703"/>
            <w:shd w:val="clear" w:color="auto" w:fill="FFFFFF"/>
          </w:tcPr>
          <w:p>
            <w:r>
              <w:rPr>
                <w:sz w:val="18"/>
              </w:rPr>
              <w:t xml:space="preserve">~370,000 t / </w:t>
            </w:r>
            <w:r>
              <w:rPr>
                <w:b/>
                <w:sz w:val="18"/>
              </w:rPr>
              <w:t>180,000+ t surplus</w:t>
            </w:r>
          </w:p>
        </w:tc>
      </w:tr>
      <w:tr>
        <w:tc>
          <w:tcPr>
            <w:tcW w:type="dxa" w:w="4703"/>
            <w:shd w:val="clear" w:color="auto" w:fill="EEF3F9"/>
          </w:tcPr>
          <w:p>
            <w:r>
              <w:rPr>
                <w:sz w:val="18"/>
              </w:rPr>
              <w:t>Industrial-sugar imports (HS 1701)</w:t>
            </w:r>
          </w:p>
        </w:tc>
        <w:tc>
          <w:tcPr>
            <w:tcW w:type="dxa" w:w="4703"/>
            <w:shd w:val="clear" w:color="auto" w:fill="EEF3F9"/>
          </w:tcPr>
          <w:p>
            <w:r>
              <w:rPr>
                <w:sz w:val="18"/>
              </w:rPr>
              <w:t>~USD 38.1m</w:t>
            </w:r>
          </w:p>
        </w:tc>
      </w:tr>
      <w:tr>
        <w:tc>
          <w:tcPr>
            <w:tcW w:type="dxa" w:w="4703"/>
            <w:shd w:val="clear" w:color="auto" w:fill="FFFFFF"/>
          </w:tcPr>
          <w:p>
            <w:r>
              <w:rPr>
                <w:sz w:val="18"/>
              </w:rPr>
              <w:t>Largest miller</w:t>
            </w:r>
          </w:p>
        </w:tc>
        <w:tc>
          <w:tcPr>
            <w:tcW w:type="dxa" w:w="4703"/>
            <w:shd w:val="clear" w:color="auto" w:fill="FFFFFF"/>
          </w:tcPr>
          <w:p>
            <w:r>
              <w:rPr>
                <w:sz w:val="18"/>
              </w:rPr>
              <w:t>Kakira (~half; &gt;2m t cane/yr); Kinyara, SCOUL, Mayuge</w:t>
            </w:r>
          </w:p>
        </w:tc>
      </w:tr>
    </w:tbl>
    <w:p/>
    <w:p>
      <w:pPr>
        <w:pStyle w:val="ListBullet"/>
      </w:pPr>
      <w:r>
        <w:rPr>
          <w:b/>
        </w:rPr>
        <w:t>Position:</w:t>
      </w:r>
      <w:r>
        <w:t xml:space="preserve"> mature, competitive milling </w:t>
      </w:r>
      <w:r>
        <w:rPr>
          <w:b/>
        </w:rPr>
        <w:t>in surplus</w:t>
      </w:r>
      <w:r>
        <w:t>; under-exploited downstream.</w:t>
      </w:r>
    </w:p>
    <w:p>
      <w:pPr>
        <w:pStyle w:val="ListBullet"/>
      </w:pPr>
      <w:r>
        <w:rPr>
          <w:b/>
        </w:rPr>
        <w:t>Top constraints (weighted):</w:t>
      </w:r>
      <w:r>
        <w:t xml:space="preserve"> over-supply / over-licensing of raw sugar (5); downstream capital/technology (4); industrial-sugar standards (3); co-gen feed-in (3).</w:t>
      </w:r>
    </w:p>
    <w:p>
      <w:pPr>
        <w:pStyle w:val="ListBullet"/>
      </w:pPr>
      <w:r>
        <w:rPr>
          <w:b/>
        </w:rPr>
        <w:t>Priorities:</w:t>
      </w:r>
      <w:r>
        <w:t xml:space="preserve"> ① Industrial/refined sugar ② Ethanol ③ Bagasse co-generation.</w:t>
      </w:r>
    </w:p>
    <w:p>
      <w:pPr>
        <w:pStyle w:val="ListBullet"/>
      </w:pPr>
      <w:r>
        <w:rPr>
          <w:b/>
        </w:rPr>
        <w:t>2040 (tenfold):</w:t>
      </w:r>
      <w:r>
        <w:t xml:space="preserve"> value shifts from raw sugar to industrial sugar, ethanol, power, confectionery.</w:t>
      </w:r>
    </w:p>
    <w:p>
      <w:pPr>
        <w:pStyle w:val="ListBullet"/>
      </w:pPr>
      <w:r>
        <w:rPr>
          <w:b/>
        </w:rPr>
        <w:t>Green edge:</w:t>
      </w:r>
      <w:r>
        <w:t xml:space="preserve"> ethanol biofuel; bagasse renewable power; vinasse-to-biogas (greenest chain).</w:t>
      </w:r>
    </w:p>
    <w:p>
      <w:pPr>
        <w:pStyle w:val="Heading2"/>
      </w:pPr>
      <w:r>
        <w:t>A.5 Plastics &amp; Packaging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Plastics imported</w:t>
            </w:r>
          </w:p>
        </w:tc>
        <w:tc>
          <w:tcPr>
            <w:tcW w:type="dxa" w:w="4703"/>
            <w:shd w:val="clear" w:color="auto" w:fill="EEF3F9"/>
          </w:tcPr>
          <w:p>
            <w:r>
              <w:rPr>
                <w:sz w:val="18"/>
              </w:rPr>
              <w:t>~150,000 t/yr (all virgin resin imported)</w:t>
            </w:r>
          </w:p>
        </w:tc>
      </w:tr>
      <w:tr>
        <w:tc>
          <w:tcPr>
            <w:tcW w:type="dxa" w:w="4703"/>
            <w:shd w:val="clear" w:color="auto" w:fill="FFFFFF"/>
          </w:tcPr>
          <w:p>
            <w:r>
              <w:rPr>
                <w:sz w:val="18"/>
              </w:rPr>
              <w:t>Packaging imports (HS 3923)</w:t>
            </w:r>
          </w:p>
        </w:tc>
        <w:tc>
          <w:tcPr>
            <w:tcW w:type="dxa" w:w="4703"/>
            <w:shd w:val="clear" w:color="auto" w:fill="FFFFFF"/>
          </w:tcPr>
          <w:p>
            <w:r>
              <w:rPr>
                <w:sz w:val="18"/>
              </w:rPr>
              <w:t>~USD 37.1m (2024)</w:t>
            </w:r>
          </w:p>
        </w:tc>
      </w:tr>
      <w:tr>
        <w:tc>
          <w:tcPr>
            <w:tcW w:type="dxa" w:w="4703"/>
            <w:shd w:val="clear" w:color="auto" w:fill="EEF3F9"/>
          </w:tcPr>
          <w:p>
            <w:r>
              <w:rPr>
                <w:sz w:val="18"/>
              </w:rPr>
              <w:t>Certified bag makers</w:t>
            </w:r>
          </w:p>
        </w:tc>
        <w:tc>
          <w:tcPr>
            <w:tcW w:type="dxa" w:w="4703"/>
            <w:shd w:val="clear" w:color="auto" w:fill="EEF3F9"/>
          </w:tcPr>
          <w:p>
            <w:r>
              <w:rPr>
                <w:sz w:val="18"/>
              </w:rPr>
              <w:t>41 firms / 67 UNBS permits</w:t>
            </w:r>
          </w:p>
        </w:tc>
      </w:tr>
      <w:tr>
        <w:tc>
          <w:tcPr>
            <w:tcW w:type="dxa" w:w="4703"/>
            <w:shd w:val="clear" w:color="auto" w:fill="FFFFFF"/>
          </w:tcPr>
          <w:p>
            <w:r>
              <w:rPr>
                <w:sz w:val="18"/>
              </w:rPr>
              <w:t>Plastic waste</w:t>
            </w:r>
          </w:p>
        </w:tc>
        <w:tc>
          <w:tcPr>
            <w:tcW w:type="dxa" w:w="4703"/>
            <w:shd w:val="clear" w:color="auto" w:fill="FFFFFF"/>
          </w:tcPr>
          <w:p>
            <w:r>
              <w:rPr>
                <w:b/>
                <w:sz w:val="18"/>
              </w:rPr>
              <w:t>~600 t/day, &lt;40% collected</w:t>
            </w:r>
          </w:p>
        </w:tc>
      </w:tr>
      <w:tr>
        <w:tc>
          <w:tcPr>
            <w:tcW w:type="dxa" w:w="4703"/>
            <w:shd w:val="clear" w:color="auto" w:fill="EEF3F9"/>
          </w:tcPr>
          <w:p>
            <w:r>
              <w:rPr>
                <w:sz w:val="18"/>
              </w:rPr>
              <w:t>Policy</w:t>
            </w:r>
          </w:p>
        </w:tc>
        <w:tc>
          <w:tcPr>
            <w:tcW w:type="dxa" w:w="4703"/>
            <w:shd w:val="clear" w:color="auto" w:fill="EEF3F9"/>
          </w:tcPr>
          <w:p>
            <w:r>
              <w:rPr>
                <w:sz w:val="18"/>
              </w:rPr>
              <w:t xml:space="preserve">Circularity Strategy 2023–28; </w:t>
            </w:r>
            <w:r>
              <w:rPr>
                <w:b/>
                <w:sz w:val="18"/>
              </w:rPr>
              <w:t>2025 single-use-bag ban move</w:t>
            </w:r>
          </w:p>
        </w:tc>
      </w:tr>
    </w:tbl>
    <w:p/>
    <w:p>
      <w:pPr>
        <w:pStyle w:val="ListBullet"/>
      </w:pPr>
      <w:r>
        <w:rPr>
          <w:b/>
        </w:rPr>
        <w:t>Position:</w:t>
      </w:r>
      <w:r>
        <w:t xml:space="preserve"> established conversion; 100% imported resin; under-scaled recycling; enabling industry for all chains.</w:t>
      </w:r>
    </w:p>
    <w:p>
      <w:pPr>
        <w:pStyle w:val="ListBullet"/>
      </w:pPr>
      <w:r>
        <w:rPr>
          <w:b/>
        </w:rPr>
        <w:t>Top constraints (weighted):</w:t>
      </w:r>
      <w:r>
        <w:t xml:space="preserve"> imported virgin resin (5); weak circularity/collection (4); capital &amp; fragmentation (3); policy-transition risk (3).</w:t>
      </w:r>
    </w:p>
    <w:p>
      <w:pPr>
        <w:pStyle w:val="ListBullet"/>
      </w:pPr>
      <w:r>
        <w:rPr>
          <w:b/>
        </w:rPr>
        <w:t>Priorities:</w:t>
      </w:r>
      <w:r>
        <w:t xml:space="preserve"> ① Industrial/food-beverage packaging ② Plastics recycling ③ Agri &amp; cement packaging.</w:t>
      </w:r>
    </w:p>
    <w:p>
      <w:pPr>
        <w:pStyle w:val="ListBullet"/>
      </w:pPr>
      <w:r>
        <w:rPr>
          <w:b/>
        </w:rPr>
        <w:t>2040 (tenfold):</w:t>
      </w:r>
      <w:r>
        <w:t xml:space="preserve"> packaging scales with all manufacturing — meet via conversion + recycled content + (later) domestic resin.</w:t>
      </w:r>
    </w:p>
    <w:p>
      <w:pPr>
        <w:pStyle w:val="ListBullet"/>
      </w:pPr>
      <w:r>
        <w:rPr>
          <w:b/>
        </w:rPr>
        <w:t>Green edge:</w:t>
      </w:r>
      <w:r>
        <w:t xml:space="preserve"> recycling/EPR (the circular flagship); recycled-content &amp; compostable alternatives.</w:t>
      </w:r>
    </w:p>
    <w:p>
      <w:pPr>
        <w:pStyle w:val="Heading2"/>
      </w:pPr>
      <w:r>
        <w:t>A.6 Cement &amp; Building Materials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Market</w:t>
            </w:r>
          </w:p>
        </w:tc>
        <w:tc>
          <w:tcPr>
            <w:tcW w:type="dxa" w:w="4703"/>
            <w:shd w:val="clear" w:color="auto" w:fill="EEF3F9"/>
          </w:tcPr>
          <w:p>
            <w:r>
              <w:rPr>
                <w:sz w:val="18"/>
              </w:rPr>
              <w:t>~USD 707m (2024), +~12% YoY</w:t>
            </w:r>
          </w:p>
        </w:tc>
      </w:tr>
      <w:tr>
        <w:tc>
          <w:tcPr>
            <w:tcW w:type="dxa" w:w="4703"/>
            <w:shd w:val="clear" w:color="auto" w:fill="FFFFFF"/>
          </w:tcPr>
          <w:p>
            <w:r>
              <w:rPr>
                <w:sz w:val="18"/>
              </w:rPr>
              <w:t>Clinker dependence</w:t>
            </w:r>
          </w:p>
        </w:tc>
        <w:tc>
          <w:tcPr>
            <w:tcW w:type="dxa" w:w="4703"/>
            <w:shd w:val="clear" w:color="auto" w:fill="FFFFFF"/>
          </w:tcPr>
          <w:p>
            <w:r>
              <w:rPr>
                <w:b/>
                <w:sz w:val="18"/>
              </w:rPr>
              <w:t>&gt;50% imported</w:t>
            </w:r>
          </w:p>
        </w:tc>
      </w:tr>
      <w:tr>
        <w:tc>
          <w:tcPr>
            <w:tcW w:type="dxa" w:w="4703"/>
            <w:shd w:val="clear" w:color="auto" w:fill="EEF3F9"/>
          </w:tcPr>
          <w:p>
            <w:r>
              <w:rPr>
                <w:sz w:val="18"/>
              </w:rPr>
              <w:t>Cement &amp; clinker (HS 2523)</w:t>
            </w:r>
          </w:p>
        </w:tc>
        <w:tc>
          <w:tcPr>
            <w:tcW w:type="dxa" w:w="4703"/>
            <w:shd w:val="clear" w:color="auto" w:fill="EEF3F9"/>
          </w:tcPr>
          <w:p>
            <w:r>
              <w:rPr>
                <w:sz w:val="18"/>
              </w:rPr>
              <w:t>imports USD 162.2m; exports USD 86.0m</w:t>
            </w:r>
          </w:p>
        </w:tc>
      </w:tr>
      <w:tr>
        <w:tc>
          <w:tcPr>
            <w:tcW w:type="dxa" w:w="4703"/>
            <w:shd w:val="clear" w:color="auto" w:fill="FFFFFF"/>
          </w:tcPr>
          <w:p>
            <w:r>
              <w:rPr>
                <w:sz w:val="18"/>
              </w:rPr>
              <w:t>Producers</w:t>
            </w:r>
          </w:p>
        </w:tc>
        <w:tc>
          <w:tcPr>
            <w:tcW w:type="dxa" w:w="4703"/>
            <w:shd w:val="clear" w:color="auto" w:fill="FFFFFF"/>
          </w:tcPr>
          <w:p>
            <w:r>
              <w:rPr>
                <w:sz w:val="18"/>
              </w:rPr>
              <w:t>Tororo ~3.0 Mtpa; Hima ~2.0; Simba ~1.0; Kampala ~1.0</w:t>
            </w:r>
          </w:p>
        </w:tc>
      </w:tr>
      <w:tr>
        <w:tc>
          <w:tcPr>
            <w:tcW w:type="dxa" w:w="4703"/>
            <w:shd w:val="clear" w:color="auto" w:fill="EEF3F9"/>
          </w:tcPr>
          <w:p>
            <w:r>
              <w:rPr>
                <w:sz w:val="18"/>
              </w:rPr>
              <w:t>New clinker</w:t>
            </w:r>
          </w:p>
        </w:tc>
        <w:tc>
          <w:tcPr>
            <w:tcW w:type="dxa" w:w="4703"/>
            <w:shd w:val="clear" w:color="auto" w:fill="EEF3F9"/>
          </w:tcPr>
          <w:p>
            <w:r>
              <w:rPr>
                <w:sz w:val="18"/>
              </w:rPr>
              <w:t>NE plant (USD 300m); Buikwe (USD 200m, 2025)</w:t>
            </w:r>
          </w:p>
        </w:tc>
      </w:tr>
    </w:tbl>
    <w:p/>
    <w:p>
      <w:pPr>
        <w:pStyle w:val="ListBullet"/>
      </w:pPr>
      <w:r>
        <w:rPr>
          <w:b/>
        </w:rPr>
        <w:t>Position:</w:t>
      </w:r>
      <w:r>
        <w:t xml:space="preserve"> strong grinding &amp; regional finished-cement exporter; </w:t>
      </w:r>
      <w:r>
        <w:rPr>
          <w:b/>
        </w:rPr>
        <w:t>critical clinker gap</w:t>
      </w:r>
      <w:r>
        <w:t xml:space="preserve"> (highest-value step imported).</w:t>
      </w:r>
    </w:p>
    <w:p>
      <w:pPr>
        <w:pStyle w:val="ListBullet"/>
      </w:pPr>
      <w:r>
        <w:rPr>
          <w:b/>
        </w:rPr>
        <w:t>Top constraints (weighted):</w:t>
      </w:r>
      <w:r>
        <w:t xml:space="preserve"> clinker capacity gap (5); energy cost &amp; reliability (5); capital intensity (4); limestone licensing (3).</w:t>
      </w:r>
    </w:p>
    <w:p>
      <w:pPr>
        <w:pStyle w:val="ListBullet"/>
      </w:pPr>
      <w:r>
        <w:rPr>
          <w:b/>
        </w:rPr>
        <w:t>Priorities:</w:t>
      </w:r>
      <w:r>
        <w:t xml:space="preserve"> ① Clinker production (close the gap) ② Finished cement (defend &amp; grow export) ③ Higher-value building materials.</w:t>
      </w:r>
    </w:p>
    <w:p>
      <w:pPr>
        <w:pStyle w:val="ListBullet"/>
      </w:pPr>
      <w:r>
        <w:rPr>
          <w:b/>
        </w:rPr>
        <w:t>2040 (tenfold):</w:t>
      </w:r>
      <w:r>
        <w:t xml:space="preserve"> construction supercycle → market several-fold to </w:t>
      </w:r>
      <w:r>
        <w:rPr>
          <w:b/>
        </w:rPr>
        <w:t>multi-billion USD/yr</w:t>
      </w:r>
      <w:r>
        <w:t>.</w:t>
      </w:r>
    </w:p>
    <w:p>
      <w:pPr>
        <w:pStyle w:val="ListBullet"/>
      </w:pPr>
      <w:r>
        <w:rPr>
          <w:b/>
        </w:rPr>
        <w:t>Green edge:</w:t>
      </w:r>
      <w:r>
        <w:t xml:space="preserve"> alternative-fuel kilns; clinker substitution with steel slag (Ch.4) &amp; phosphogypsum (Ch.6).</w:t>
      </w:r>
    </w:p>
    <w:p>
      <w:r>
        <w:rPr>
          <w:i/>
        </w:rPr>
        <w:t>Full analysis: Chapters 4–9. Sources: consolidated References.</w:t>
      </w:r>
    </w:p>
    <w:p>
      <w:r>
        <w:br w:type="page"/>
      </w:r>
    </w:p>
    <w:p>
      <w:pPr>
        <w:pStyle w:val="Heading1"/>
      </w:pPr>
      <w:r>
        <w:t>References</w:t>
      </w:r>
    </w:p>
    <w:p>
      <w:r>
        <w:t>Consolidated sources for Report 2.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w:t>
      </w:r>
      <w:r>
        <w:t>. https://data.worldbank.org/indicator/NV.IND.MANF.ZS?locations=UG</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