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2B5B"/>
          <w:sz w:val="52"/>
        </w:rPr>
        <w:t>Industrial Diagnostic Study — Report 2</w:t>
      </w:r>
    </w:p>
    <w:p>
      <w:pPr>
        <w:jc w:val="center"/>
      </w:pPr>
      <w:r>
        <w:rPr>
          <w:color w:val="005CA8"/>
          <w:sz w:val="26"/>
        </w:rPr>
        <w:t>Textiles &amp; Garments · Pharmaceuticals · Petrochemicals &amp; Fertilizers · Sugar &amp; Confectionery · Plastics &amp; Packaging · Cement &amp; Building Materials</w:t>
      </w:r>
    </w:p>
    <w:p/>
    <w:p>
      <w:pPr>
        <w:jc w:val="center"/>
      </w:pPr>
      <w:r>
        <w:rPr>
          <w:color w:val="555555"/>
          <w:sz w:val="22"/>
        </w:rPr>
        <w:t>Ministry of Trade, Industry and Cooperatives (MTIC), Uganda</w:t>
      </w:r>
    </w:p>
    <w:p>
      <w:pPr>
        <w:jc w:val="center"/>
      </w:pPr>
      <w:r>
        <w:rPr>
          <w:color w:val="555555"/>
          <w:sz w:val="22"/>
        </w:rPr>
        <w:t>Uganda–UNIDO Programme for Country Partnership (PCP) for Inclusive and Sustainable Industrial Development (ISID)</w:t>
      </w:r>
    </w:p>
    <w:p>
      <w:pPr>
        <w:jc w:val="center"/>
      </w:pPr>
      <w:r>
        <w:rPr>
          <w:i/>
          <w:sz w:val="22"/>
        </w:rPr>
        <w:t>Draft for validation</w:t>
      </w:r>
    </w:p>
    <w:p>
      <w:pPr>
        <w:jc w:val="center"/>
      </w:pPr>
      <w:r>
        <w:rPr>
          <w:color w:val="555555"/>
          <w:sz w:val="19"/>
        </w:rPr>
        <w:t>Sources and citations are provided inline and in per-chapter reference lists for verification.</w:t>
      </w:r>
    </w:p>
    <w:p>
      <w:r>
        <w:br w:type="page"/>
      </w:r>
    </w:p>
    <w:p>
      <w:pPr>
        <w:pStyle w:val="Heading1"/>
      </w:pPr>
      <w:r>
        <w:t>Table of Contents</w:t>
      </w:r>
    </w:p>
    <w:p>
      <w:r>
        <w:fldChar w:fldCharType="begin"/>
        <w:instrText xml:space="preserve">TOC \o "1-2" \h \z \u</w:instrText>
        <w:fldChar w:fldCharType="separate"/>
        <w:t>Right-click and choose “Update Field” to build the contents.</w:t>
        <w:fldChar w:fldCharType="end"/>
      </w:r>
    </w:p>
    <w:p>
      <w:r>
        <w:br w:type="page"/>
      </w:r>
    </w:p>
    <w:p>
      <w:pPr>
        <w:pStyle w:val="Heading1"/>
      </w:pPr>
      <w:r>
        <w:t>List of Abbreviations</w:t>
      </w:r>
    </w:p>
    <w:p>
      <w:r>
        <w:t>The following abbreviations are used throughout Report 2. Each is also spelled out in full at its first use in the text.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Abbreviation</w:t>
            </w:r>
          </w:p>
        </w:tc>
        <w:tc>
          <w:tcPr>
            <w:tcW w:type="dxa" w:w="4703"/>
            <w:shd w:val="clear" w:color="auto" w:fill="002B5B"/>
          </w:tcPr>
          <w:p>
            <w:r>
              <w:rPr>
                <w:b/>
                <w:color w:val="FFFFFF"/>
                <w:sz w:val="18"/>
              </w:rPr>
              <w:t>Full form</w:t>
            </w:r>
          </w:p>
        </w:tc>
      </w:tr>
      <w:tr>
        <w:tc>
          <w:tcPr>
            <w:tcW w:type="dxa" w:w="4703"/>
            <w:shd w:val="clear" w:color="auto" w:fill="EEF3F9"/>
          </w:tcPr>
          <w:p>
            <w:r>
              <w:rPr>
                <w:sz w:val="18"/>
              </w:rPr>
              <w:t>AGOA</w:t>
            </w:r>
          </w:p>
        </w:tc>
        <w:tc>
          <w:tcPr>
            <w:tcW w:type="dxa" w:w="4703"/>
            <w:shd w:val="clear" w:color="auto" w:fill="EEF3F9"/>
          </w:tcPr>
          <w:p>
            <w:r>
              <w:rPr>
                <w:sz w:val="18"/>
              </w:rPr>
              <w:t>African Growth and Opportunity Act</w:t>
            </w:r>
          </w:p>
        </w:tc>
      </w:tr>
      <w:tr>
        <w:tc>
          <w:tcPr>
            <w:tcW w:type="dxa" w:w="4703"/>
            <w:shd w:val="clear" w:color="auto" w:fill="FFFFFF"/>
          </w:tcPr>
          <w:p>
            <w:r>
              <w:rPr>
                <w:sz w:val="18"/>
              </w:rPr>
              <w:t>API</w:t>
            </w:r>
          </w:p>
        </w:tc>
        <w:tc>
          <w:tcPr>
            <w:tcW w:type="dxa" w:w="4703"/>
            <w:shd w:val="clear" w:color="auto" w:fill="FFFFFF"/>
          </w:tcPr>
          <w:p>
            <w:r>
              <w:rPr>
                <w:sz w:val="18"/>
              </w:rPr>
              <w:t>Active Pharmaceutical Ingredient</w:t>
            </w:r>
          </w:p>
        </w:tc>
      </w:tr>
      <w:tr>
        <w:tc>
          <w:tcPr>
            <w:tcW w:type="dxa" w:w="4703"/>
            <w:shd w:val="clear" w:color="auto" w:fill="EEF3F9"/>
          </w:tcPr>
          <w:p>
            <w:r>
              <w:rPr>
                <w:sz w:val="18"/>
              </w:rPr>
              <w:t>ARVs</w:t>
            </w:r>
          </w:p>
        </w:tc>
        <w:tc>
          <w:tcPr>
            <w:tcW w:type="dxa" w:w="4703"/>
            <w:shd w:val="clear" w:color="auto" w:fill="EEF3F9"/>
          </w:tcPr>
          <w:p>
            <w:r>
              <w:rPr>
                <w:sz w:val="18"/>
              </w:rPr>
              <w:t>Antiretrovirals</w:t>
            </w:r>
          </w:p>
        </w:tc>
      </w:tr>
      <w:tr>
        <w:tc>
          <w:tcPr>
            <w:tcW w:type="dxa" w:w="4703"/>
            <w:shd w:val="clear" w:color="auto" w:fill="FFFFFF"/>
          </w:tcPr>
          <w:p>
            <w:r>
              <w:rPr>
                <w:sz w:val="18"/>
              </w:rPr>
              <w:t>ATMs</w:t>
            </w:r>
          </w:p>
        </w:tc>
        <w:tc>
          <w:tcPr>
            <w:tcW w:type="dxa" w:w="4703"/>
            <w:shd w:val="clear" w:color="auto" w:fill="FFFFFF"/>
          </w:tcPr>
          <w:p>
            <w:r>
              <w:rPr>
                <w:sz w:val="18"/>
              </w:rPr>
              <w:t>Agro-industrialization, Tourism, Minerals, and Science, Technology &amp; Innovation (Tenfold Growth Strategy pillars)</w:t>
            </w:r>
          </w:p>
        </w:tc>
      </w:tr>
      <w:tr>
        <w:tc>
          <w:tcPr>
            <w:tcW w:type="dxa" w:w="4703"/>
            <w:shd w:val="clear" w:color="auto" w:fill="EEF3F9"/>
          </w:tcPr>
          <w:p>
            <w:r>
              <w:rPr>
                <w:sz w:val="18"/>
              </w:rPr>
              <w:t>CAPEX</w:t>
            </w:r>
          </w:p>
        </w:tc>
        <w:tc>
          <w:tcPr>
            <w:tcW w:type="dxa" w:w="4703"/>
            <w:shd w:val="clear" w:color="auto" w:fill="EEF3F9"/>
          </w:tcPr>
          <w:p>
            <w:r>
              <w:rPr>
                <w:sz w:val="18"/>
              </w:rPr>
              <w:t>Capital expenditure</w:t>
            </w:r>
          </w:p>
        </w:tc>
      </w:tr>
      <w:tr>
        <w:tc>
          <w:tcPr>
            <w:tcW w:type="dxa" w:w="4703"/>
            <w:shd w:val="clear" w:color="auto" w:fill="FFFFFF"/>
          </w:tcPr>
          <w:p>
            <w:r>
              <w:rPr>
                <w:sz w:val="18"/>
              </w:rPr>
              <w:t>CDO</w:t>
            </w:r>
          </w:p>
        </w:tc>
        <w:tc>
          <w:tcPr>
            <w:tcW w:type="dxa" w:w="4703"/>
            <w:shd w:val="clear" w:color="auto" w:fill="FFFFFF"/>
          </w:tcPr>
          <w:p>
            <w:r>
              <w:rPr>
                <w:sz w:val="18"/>
              </w:rPr>
              <w:t>Cotton Development Organisation</w:t>
            </w:r>
          </w:p>
        </w:tc>
      </w:tr>
      <w:tr>
        <w:tc>
          <w:tcPr>
            <w:tcW w:type="dxa" w:w="4703"/>
            <w:shd w:val="clear" w:color="auto" w:fill="EEF3F9"/>
          </w:tcPr>
          <w:p>
            <w:r>
              <w:rPr>
                <w:sz w:val="18"/>
              </w:rPr>
              <w:t>CET</w:t>
            </w:r>
          </w:p>
        </w:tc>
        <w:tc>
          <w:tcPr>
            <w:tcW w:type="dxa" w:w="4703"/>
            <w:shd w:val="clear" w:color="auto" w:fill="EEF3F9"/>
          </w:tcPr>
          <w:p>
            <w:r>
              <w:rPr>
                <w:sz w:val="18"/>
              </w:rPr>
              <w:t>Common External Tariff</w:t>
            </w:r>
          </w:p>
        </w:tc>
      </w:tr>
      <w:tr>
        <w:tc>
          <w:tcPr>
            <w:tcW w:type="dxa" w:w="4703"/>
            <w:shd w:val="clear" w:color="auto" w:fill="FFFFFF"/>
          </w:tcPr>
          <w:p>
            <w:r>
              <w:rPr>
                <w:sz w:val="18"/>
              </w:rPr>
              <w:t>COMESA</w:t>
            </w:r>
          </w:p>
        </w:tc>
        <w:tc>
          <w:tcPr>
            <w:tcW w:type="dxa" w:w="4703"/>
            <w:shd w:val="clear" w:color="auto" w:fill="FFFFFF"/>
          </w:tcPr>
          <w:p>
            <w:r>
              <w:rPr>
                <w:sz w:val="18"/>
              </w:rPr>
              <w:t>Common Market for Eastern and Southern Africa</w:t>
            </w:r>
          </w:p>
        </w:tc>
      </w:tr>
      <w:tr>
        <w:tc>
          <w:tcPr>
            <w:tcW w:type="dxa" w:w="4703"/>
            <w:shd w:val="clear" w:color="auto" w:fill="EEF3F9"/>
          </w:tcPr>
          <w:p>
            <w:r>
              <w:rPr>
                <w:sz w:val="18"/>
              </w:rPr>
              <w:t>DGSM</w:t>
            </w:r>
          </w:p>
        </w:tc>
        <w:tc>
          <w:tcPr>
            <w:tcW w:type="dxa" w:w="4703"/>
            <w:shd w:val="clear" w:color="auto" w:fill="EEF3F9"/>
          </w:tcPr>
          <w:p>
            <w:r>
              <w:rPr>
                <w:sz w:val="18"/>
              </w:rPr>
              <w:t>Directorate of Geological Survey and Mines</w:t>
            </w:r>
          </w:p>
        </w:tc>
      </w:tr>
      <w:tr>
        <w:tc>
          <w:tcPr>
            <w:tcW w:type="dxa" w:w="4703"/>
            <w:shd w:val="clear" w:color="auto" w:fill="FFFFFF"/>
          </w:tcPr>
          <w:p>
            <w:r>
              <w:rPr>
                <w:sz w:val="18"/>
              </w:rPr>
              <w:t>DRC</w:t>
            </w:r>
          </w:p>
        </w:tc>
        <w:tc>
          <w:tcPr>
            <w:tcW w:type="dxa" w:w="4703"/>
            <w:shd w:val="clear" w:color="auto" w:fill="FFFFFF"/>
          </w:tcPr>
          <w:p>
            <w:r>
              <w:rPr>
                <w:sz w:val="18"/>
              </w:rPr>
              <w:t>Democratic Republic of Congo</w:t>
            </w:r>
          </w:p>
        </w:tc>
      </w:tr>
      <w:tr>
        <w:tc>
          <w:tcPr>
            <w:tcW w:type="dxa" w:w="4703"/>
            <w:shd w:val="clear" w:color="auto" w:fill="EEF3F9"/>
          </w:tcPr>
          <w:p>
            <w:r>
              <w:rPr>
                <w:sz w:val="18"/>
              </w:rPr>
              <w:t>EAC</w:t>
            </w:r>
          </w:p>
        </w:tc>
        <w:tc>
          <w:tcPr>
            <w:tcW w:type="dxa" w:w="4703"/>
            <w:shd w:val="clear" w:color="auto" w:fill="EEF3F9"/>
          </w:tcPr>
          <w:p>
            <w:r>
              <w:rPr>
                <w:sz w:val="18"/>
              </w:rPr>
              <w:t>East African Community</w:t>
            </w:r>
          </w:p>
        </w:tc>
      </w:tr>
      <w:tr>
        <w:tc>
          <w:tcPr>
            <w:tcW w:type="dxa" w:w="4703"/>
            <w:shd w:val="clear" w:color="auto" w:fill="FFFFFF"/>
          </w:tcPr>
          <w:p>
            <w:r>
              <w:rPr>
                <w:sz w:val="18"/>
              </w:rPr>
              <w:t>EPR</w:t>
            </w:r>
          </w:p>
        </w:tc>
        <w:tc>
          <w:tcPr>
            <w:tcW w:type="dxa" w:w="4703"/>
            <w:shd w:val="clear" w:color="auto" w:fill="FFFFFF"/>
          </w:tcPr>
          <w:p>
            <w:r>
              <w:rPr>
                <w:sz w:val="18"/>
              </w:rPr>
              <w:t>Extended Producer Responsibility</w:t>
            </w:r>
          </w:p>
        </w:tc>
      </w:tr>
      <w:tr>
        <w:tc>
          <w:tcPr>
            <w:tcW w:type="dxa" w:w="4703"/>
            <w:shd w:val="clear" w:color="auto" w:fill="EEF3F9"/>
          </w:tcPr>
          <w:p>
            <w:r>
              <w:rPr>
                <w:sz w:val="18"/>
              </w:rPr>
              <w:t>EPRC</w:t>
            </w:r>
          </w:p>
        </w:tc>
        <w:tc>
          <w:tcPr>
            <w:tcW w:type="dxa" w:w="4703"/>
            <w:shd w:val="clear" w:color="auto" w:fill="EEF3F9"/>
          </w:tcPr>
          <w:p>
            <w:r>
              <w:rPr>
                <w:sz w:val="18"/>
              </w:rPr>
              <w:t>Economic Policy Research Centre</w:t>
            </w:r>
          </w:p>
        </w:tc>
      </w:tr>
      <w:tr>
        <w:tc>
          <w:tcPr>
            <w:tcW w:type="dxa" w:w="4703"/>
            <w:shd w:val="clear" w:color="auto" w:fill="FFFFFF"/>
          </w:tcPr>
          <w:p>
            <w:r>
              <w:rPr>
                <w:sz w:val="18"/>
              </w:rPr>
              <w:t>ERA</w:t>
            </w:r>
          </w:p>
        </w:tc>
        <w:tc>
          <w:tcPr>
            <w:tcW w:type="dxa" w:w="4703"/>
            <w:shd w:val="clear" w:color="auto" w:fill="FFFFFF"/>
          </w:tcPr>
          <w:p>
            <w:r>
              <w:rPr>
                <w:sz w:val="18"/>
              </w:rPr>
              <w:t>Electricity Regulatory Authority</w:t>
            </w:r>
          </w:p>
        </w:tc>
      </w:tr>
      <w:tr>
        <w:tc>
          <w:tcPr>
            <w:tcW w:type="dxa" w:w="4703"/>
            <w:shd w:val="clear" w:color="auto" w:fill="EEF3F9"/>
          </w:tcPr>
          <w:p>
            <w:r>
              <w:rPr>
                <w:sz w:val="18"/>
              </w:rPr>
              <w:t>EU</w:t>
            </w:r>
          </w:p>
        </w:tc>
        <w:tc>
          <w:tcPr>
            <w:tcW w:type="dxa" w:w="4703"/>
            <w:shd w:val="clear" w:color="auto" w:fill="EEF3F9"/>
          </w:tcPr>
          <w:p>
            <w:r>
              <w:rPr>
                <w:sz w:val="18"/>
              </w:rPr>
              <w:t>European Union</w:t>
            </w:r>
          </w:p>
        </w:tc>
      </w:tr>
      <w:tr>
        <w:tc>
          <w:tcPr>
            <w:tcW w:type="dxa" w:w="4703"/>
            <w:shd w:val="clear" w:color="auto" w:fill="FFFFFF"/>
          </w:tcPr>
          <w:p>
            <w:r>
              <w:rPr>
                <w:sz w:val="18"/>
              </w:rPr>
              <w:t>FY</w:t>
            </w:r>
          </w:p>
        </w:tc>
        <w:tc>
          <w:tcPr>
            <w:tcW w:type="dxa" w:w="4703"/>
            <w:shd w:val="clear" w:color="auto" w:fill="FFFFFF"/>
          </w:tcPr>
          <w:p>
            <w:r>
              <w:rPr>
                <w:sz w:val="18"/>
              </w:rPr>
              <w:t>Financial Year</w:t>
            </w:r>
          </w:p>
        </w:tc>
      </w:tr>
      <w:tr>
        <w:tc>
          <w:tcPr>
            <w:tcW w:type="dxa" w:w="4703"/>
            <w:shd w:val="clear" w:color="auto" w:fill="EEF3F9"/>
          </w:tcPr>
          <w:p>
            <w:r>
              <w:rPr>
                <w:sz w:val="18"/>
              </w:rPr>
              <w:t>GDP</w:t>
            </w:r>
          </w:p>
        </w:tc>
        <w:tc>
          <w:tcPr>
            <w:tcW w:type="dxa" w:w="4703"/>
            <w:shd w:val="clear" w:color="auto" w:fill="EEF3F9"/>
          </w:tcPr>
          <w:p>
            <w:r>
              <w:rPr>
                <w:sz w:val="18"/>
              </w:rPr>
              <w:t>Gross Domestic Product</w:t>
            </w:r>
          </w:p>
        </w:tc>
      </w:tr>
      <w:tr>
        <w:tc>
          <w:tcPr>
            <w:tcW w:type="dxa" w:w="4703"/>
            <w:shd w:val="clear" w:color="auto" w:fill="FFFFFF"/>
          </w:tcPr>
          <w:p>
            <w:r>
              <w:rPr>
                <w:sz w:val="18"/>
              </w:rPr>
              <w:t>GMP</w:t>
            </w:r>
          </w:p>
        </w:tc>
        <w:tc>
          <w:tcPr>
            <w:tcW w:type="dxa" w:w="4703"/>
            <w:shd w:val="clear" w:color="auto" w:fill="FFFFFF"/>
          </w:tcPr>
          <w:p>
            <w:r>
              <w:rPr>
                <w:sz w:val="18"/>
              </w:rPr>
              <w:t>Good Manufacturing Practice</w:t>
            </w:r>
          </w:p>
        </w:tc>
      </w:tr>
      <w:tr>
        <w:tc>
          <w:tcPr>
            <w:tcW w:type="dxa" w:w="4703"/>
            <w:shd w:val="clear" w:color="auto" w:fill="EEF3F9"/>
          </w:tcPr>
          <w:p>
            <w:r>
              <w:rPr>
                <w:sz w:val="18"/>
              </w:rPr>
              <w:t>HDPE</w:t>
            </w:r>
          </w:p>
        </w:tc>
        <w:tc>
          <w:tcPr>
            <w:tcW w:type="dxa" w:w="4703"/>
            <w:shd w:val="clear" w:color="auto" w:fill="EEF3F9"/>
          </w:tcPr>
          <w:p>
            <w:r>
              <w:rPr>
                <w:sz w:val="18"/>
              </w:rPr>
              <w:t>High-Density Polyethylene</w:t>
            </w:r>
          </w:p>
        </w:tc>
      </w:tr>
      <w:tr>
        <w:tc>
          <w:tcPr>
            <w:tcW w:type="dxa" w:w="4703"/>
            <w:shd w:val="clear" w:color="auto" w:fill="FFFFFF"/>
          </w:tcPr>
          <w:p>
            <w:r>
              <w:rPr>
                <w:sz w:val="18"/>
              </w:rPr>
              <w:t>HIV</w:t>
            </w:r>
          </w:p>
        </w:tc>
        <w:tc>
          <w:tcPr>
            <w:tcW w:type="dxa" w:w="4703"/>
            <w:shd w:val="clear" w:color="auto" w:fill="FFFFFF"/>
          </w:tcPr>
          <w:p>
            <w:r>
              <w:rPr>
                <w:sz w:val="18"/>
              </w:rPr>
              <w:t>Human Immunodeficiency Virus</w:t>
            </w:r>
          </w:p>
        </w:tc>
      </w:tr>
      <w:tr>
        <w:tc>
          <w:tcPr>
            <w:tcW w:type="dxa" w:w="4703"/>
            <w:shd w:val="clear" w:color="auto" w:fill="EEF3F9"/>
          </w:tcPr>
          <w:p>
            <w:r>
              <w:rPr>
                <w:sz w:val="18"/>
              </w:rPr>
              <w:t>HS</w:t>
            </w:r>
          </w:p>
        </w:tc>
        <w:tc>
          <w:tcPr>
            <w:tcW w:type="dxa" w:w="4703"/>
            <w:shd w:val="clear" w:color="auto" w:fill="EEF3F9"/>
          </w:tcPr>
          <w:p>
            <w:r>
              <w:rPr>
                <w:sz w:val="18"/>
              </w:rPr>
              <w:t>Harmonized System (trade classification code)</w:t>
            </w:r>
          </w:p>
        </w:tc>
      </w:tr>
      <w:tr>
        <w:tc>
          <w:tcPr>
            <w:tcW w:type="dxa" w:w="4703"/>
            <w:shd w:val="clear" w:color="auto" w:fill="FFFFFF"/>
          </w:tcPr>
          <w:p>
            <w:r>
              <w:rPr>
                <w:sz w:val="18"/>
              </w:rPr>
              <w:t>IFA</w:t>
            </w:r>
          </w:p>
        </w:tc>
        <w:tc>
          <w:tcPr>
            <w:tcW w:type="dxa" w:w="4703"/>
            <w:shd w:val="clear" w:color="auto" w:fill="FFFFFF"/>
          </w:tcPr>
          <w:p>
            <w:r>
              <w:rPr>
                <w:sz w:val="18"/>
              </w:rPr>
              <w:t>International Fertilizer Association</w:t>
            </w:r>
          </w:p>
        </w:tc>
      </w:tr>
      <w:tr>
        <w:tc>
          <w:tcPr>
            <w:tcW w:type="dxa" w:w="4703"/>
            <w:shd w:val="clear" w:color="auto" w:fill="EEF3F9"/>
          </w:tcPr>
          <w:p>
            <w:r>
              <w:rPr>
                <w:sz w:val="18"/>
              </w:rPr>
              <w:t>ISID</w:t>
            </w:r>
          </w:p>
        </w:tc>
        <w:tc>
          <w:tcPr>
            <w:tcW w:type="dxa" w:w="4703"/>
            <w:shd w:val="clear" w:color="auto" w:fill="EEF3F9"/>
          </w:tcPr>
          <w:p>
            <w:r>
              <w:rPr>
                <w:sz w:val="18"/>
              </w:rPr>
              <w:t>Inclusive and Sustainable Industrial Development</w:t>
            </w:r>
          </w:p>
        </w:tc>
      </w:tr>
      <w:tr>
        <w:tc>
          <w:tcPr>
            <w:tcW w:type="dxa" w:w="4703"/>
            <w:shd w:val="clear" w:color="auto" w:fill="FFFFFF"/>
          </w:tcPr>
          <w:p>
            <w:r>
              <w:rPr>
                <w:sz w:val="18"/>
              </w:rPr>
              <w:t>ITC</w:t>
            </w:r>
          </w:p>
        </w:tc>
        <w:tc>
          <w:tcPr>
            <w:tcW w:type="dxa" w:w="4703"/>
            <w:shd w:val="clear" w:color="auto" w:fill="FFFFFF"/>
          </w:tcPr>
          <w:p>
            <w:r>
              <w:rPr>
                <w:sz w:val="18"/>
              </w:rPr>
              <w:t>International Trade Centre</w:t>
            </w:r>
          </w:p>
        </w:tc>
      </w:tr>
      <w:tr>
        <w:tc>
          <w:tcPr>
            <w:tcW w:type="dxa" w:w="4703"/>
            <w:shd w:val="clear" w:color="auto" w:fill="EEF3F9"/>
          </w:tcPr>
          <w:p>
            <w:r>
              <w:rPr>
                <w:sz w:val="18"/>
              </w:rPr>
              <w:t>JMS</w:t>
            </w:r>
          </w:p>
        </w:tc>
        <w:tc>
          <w:tcPr>
            <w:tcW w:type="dxa" w:w="4703"/>
            <w:shd w:val="clear" w:color="auto" w:fill="EEF3F9"/>
          </w:tcPr>
          <w:p>
            <w:r>
              <w:rPr>
                <w:sz w:val="18"/>
              </w:rPr>
              <w:t>Joint Medical Store</w:t>
            </w:r>
          </w:p>
        </w:tc>
      </w:tr>
      <w:tr>
        <w:tc>
          <w:tcPr>
            <w:tcW w:type="dxa" w:w="4703"/>
            <w:shd w:val="clear" w:color="auto" w:fill="FFFFFF"/>
          </w:tcPr>
          <w:p>
            <w:r>
              <w:rPr>
                <w:sz w:val="18"/>
              </w:rPr>
              <w:t>KII</w:t>
            </w:r>
          </w:p>
        </w:tc>
        <w:tc>
          <w:tcPr>
            <w:tcW w:type="dxa" w:w="4703"/>
            <w:shd w:val="clear" w:color="auto" w:fill="FFFFFF"/>
          </w:tcPr>
          <w:p>
            <w:r>
              <w:rPr>
                <w:sz w:val="18"/>
              </w:rPr>
              <w:t>Key Informant Interview</w:t>
            </w:r>
          </w:p>
        </w:tc>
      </w:tr>
      <w:tr>
        <w:tc>
          <w:tcPr>
            <w:tcW w:type="dxa" w:w="4703"/>
            <w:shd w:val="clear" w:color="auto" w:fill="EEF3F9"/>
          </w:tcPr>
          <w:p>
            <w:r>
              <w:rPr>
                <w:sz w:val="18"/>
              </w:rPr>
              <w:t>KPI</w:t>
            </w:r>
          </w:p>
        </w:tc>
        <w:tc>
          <w:tcPr>
            <w:tcW w:type="dxa" w:w="4703"/>
            <w:shd w:val="clear" w:color="auto" w:fill="EEF3F9"/>
          </w:tcPr>
          <w:p>
            <w:r>
              <w:rPr>
                <w:sz w:val="18"/>
              </w:rPr>
              <w:t>Key Performance Indicator</w:t>
            </w:r>
          </w:p>
        </w:tc>
      </w:tr>
      <w:tr>
        <w:tc>
          <w:tcPr>
            <w:tcW w:type="dxa" w:w="4703"/>
            <w:shd w:val="clear" w:color="auto" w:fill="FFFFFF"/>
          </w:tcPr>
          <w:p>
            <w:r>
              <w:rPr>
                <w:sz w:val="18"/>
              </w:rPr>
              <w:t>LPG</w:t>
            </w:r>
          </w:p>
        </w:tc>
        <w:tc>
          <w:tcPr>
            <w:tcW w:type="dxa" w:w="4703"/>
            <w:shd w:val="clear" w:color="auto" w:fill="FFFFFF"/>
          </w:tcPr>
          <w:p>
            <w:r>
              <w:rPr>
                <w:sz w:val="18"/>
              </w:rPr>
              <w:t>Liquefied Petroleum Gas</w:t>
            </w:r>
          </w:p>
        </w:tc>
      </w:tr>
      <w:tr>
        <w:tc>
          <w:tcPr>
            <w:tcW w:type="dxa" w:w="4703"/>
            <w:shd w:val="clear" w:color="auto" w:fill="EEF3F9"/>
          </w:tcPr>
          <w:p>
            <w:r>
              <w:rPr>
                <w:sz w:val="18"/>
              </w:rPr>
              <w:t>MAAIF</w:t>
            </w:r>
          </w:p>
        </w:tc>
        <w:tc>
          <w:tcPr>
            <w:tcW w:type="dxa" w:w="4703"/>
            <w:shd w:val="clear" w:color="auto" w:fill="EEF3F9"/>
          </w:tcPr>
          <w:p>
            <w:r>
              <w:rPr>
                <w:sz w:val="18"/>
              </w:rPr>
              <w:t>Ministry of Agriculture, Animal Industry and Fisheries</w:t>
            </w:r>
          </w:p>
        </w:tc>
      </w:tr>
      <w:tr>
        <w:tc>
          <w:tcPr>
            <w:tcW w:type="dxa" w:w="4703"/>
            <w:shd w:val="clear" w:color="auto" w:fill="FFFFFF"/>
          </w:tcPr>
          <w:p>
            <w:r>
              <w:rPr>
                <w:sz w:val="18"/>
              </w:rPr>
              <w:t>MDAs</w:t>
            </w:r>
          </w:p>
        </w:tc>
        <w:tc>
          <w:tcPr>
            <w:tcW w:type="dxa" w:w="4703"/>
            <w:shd w:val="clear" w:color="auto" w:fill="FFFFFF"/>
          </w:tcPr>
          <w:p>
            <w:r>
              <w:rPr>
                <w:sz w:val="18"/>
              </w:rPr>
              <w:t>Ministries, Departments and Agencies</w:t>
            </w:r>
          </w:p>
        </w:tc>
      </w:tr>
      <w:tr>
        <w:tc>
          <w:tcPr>
            <w:tcW w:type="dxa" w:w="4703"/>
            <w:shd w:val="clear" w:color="auto" w:fill="EEF3F9"/>
          </w:tcPr>
          <w:p>
            <w:r>
              <w:rPr>
                <w:sz w:val="18"/>
              </w:rPr>
              <w:t>MEMD</w:t>
            </w:r>
          </w:p>
        </w:tc>
        <w:tc>
          <w:tcPr>
            <w:tcW w:type="dxa" w:w="4703"/>
            <w:shd w:val="clear" w:color="auto" w:fill="EEF3F9"/>
          </w:tcPr>
          <w:p>
            <w:r>
              <w:rPr>
                <w:sz w:val="18"/>
              </w:rPr>
              <w:t>Ministry of Energy and Mineral Development</w:t>
            </w:r>
          </w:p>
        </w:tc>
      </w:tr>
      <w:tr>
        <w:tc>
          <w:tcPr>
            <w:tcW w:type="dxa" w:w="4703"/>
            <w:shd w:val="clear" w:color="auto" w:fill="FFFFFF"/>
          </w:tcPr>
          <w:p>
            <w:r>
              <w:rPr>
                <w:sz w:val="18"/>
              </w:rPr>
              <w:t>MoES</w:t>
            </w:r>
          </w:p>
        </w:tc>
        <w:tc>
          <w:tcPr>
            <w:tcW w:type="dxa" w:w="4703"/>
            <w:shd w:val="clear" w:color="auto" w:fill="FFFFFF"/>
          </w:tcPr>
          <w:p>
            <w:r>
              <w:rPr>
                <w:sz w:val="18"/>
              </w:rPr>
              <w:t>Ministry of Education and Sports</w:t>
            </w:r>
          </w:p>
        </w:tc>
      </w:tr>
      <w:tr>
        <w:tc>
          <w:tcPr>
            <w:tcW w:type="dxa" w:w="4703"/>
            <w:shd w:val="clear" w:color="auto" w:fill="EEF3F9"/>
          </w:tcPr>
          <w:p>
            <w:r>
              <w:rPr>
                <w:sz w:val="18"/>
              </w:rPr>
              <w:t>MoFPED</w:t>
            </w:r>
          </w:p>
        </w:tc>
        <w:tc>
          <w:tcPr>
            <w:tcW w:type="dxa" w:w="4703"/>
            <w:shd w:val="clear" w:color="auto" w:fill="EEF3F9"/>
          </w:tcPr>
          <w:p>
            <w:r>
              <w:rPr>
                <w:sz w:val="18"/>
              </w:rPr>
              <w:t>Ministry of Finance, Planning and Economic Development</w:t>
            </w:r>
          </w:p>
        </w:tc>
      </w:tr>
      <w:tr>
        <w:tc>
          <w:tcPr>
            <w:tcW w:type="dxa" w:w="4703"/>
            <w:shd w:val="clear" w:color="auto" w:fill="FFFFFF"/>
          </w:tcPr>
          <w:p>
            <w:r>
              <w:rPr>
                <w:sz w:val="18"/>
              </w:rPr>
              <w:t>MoH</w:t>
            </w:r>
          </w:p>
        </w:tc>
        <w:tc>
          <w:tcPr>
            <w:tcW w:type="dxa" w:w="4703"/>
            <w:shd w:val="clear" w:color="auto" w:fill="FFFFFF"/>
          </w:tcPr>
          <w:p>
            <w:r>
              <w:rPr>
                <w:sz w:val="18"/>
              </w:rPr>
              <w:t>Ministry of Health</w:t>
            </w:r>
          </w:p>
        </w:tc>
      </w:tr>
      <w:tr>
        <w:tc>
          <w:tcPr>
            <w:tcW w:type="dxa" w:w="4703"/>
            <w:shd w:val="clear" w:color="auto" w:fill="EEF3F9"/>
          </w:tcPr>
          <w:p>
            <w:r>
              <w:rPr>
                <w:sz w:val="18"/>
              </w:rPr>
              <w:t>MTIC</w:t>
            </w:r>
          </w:p>
        </w:tc>
        <w:tc>
          <w:tcPr>
            <w:tcW w:type="dxa" w:w="4703"/>
            <w:shd w:val="clear" w:color="auto" w:fill="EEF3F9"/>
          </w:tcPr>
          <w:p>
            <w:r>
              <w:rPr>
                <w:sz w:val="18"/>
              </w:rPr>
              <w:t>Ministry of Trade, Industry and Cooperatives</w:t>
            </w:r>
          </w:p>
        </w:tc>
      </w:tr>
      <w:tr>
        <w:tc>
          <w:tcPr>
            <w:tcW w:type="dxa" w:w="4703"/>
            <w:shd w:val="clear" w:color="auto" w:fill="FFFFFF"/>
          </w:tcPr>
          <w:p>
            <w:r>
              <w:rPr>
                <w:sz w:val="18"/>
              </w:rPr>
              <w:t>NCD</w:t>
            </w:r>
          </w:p>
        </w:tc>
        <w:tc>
          <w:tcPr>
            <w:tcW w:type="dxa" w:w="4703"/>
            <w:shd w:val="clear" w:color="auto" w:fill="FFFFFF"/>
          </w:tcPr>
          <w:p>
            <w:r>
              <w:rPr>
                <w:sz w:val="18"/>
              </w:rPr>
              <w:t>Non-Communicable Disease</w:t>
            </w:r>
          </w:p>
        </w:tc>
      </w:tr>
      <w:tr>
        <w:tc>
          <w:tcPr>
            <w:tcW w:type="dxa" w:w="4703"/>
            <w:shd w:val="clear" w:color="auto" w:fill="EEF3F9"/>
          </w:tcPr>
          <w:p>
            <w:r>
              <w:rPr>
                <w:sz w:val="18"/>
              </w:rPr>
              <w:t>NDA</w:t>
            </w:r>
          </w:p>
        </w:tc>
        <w:tc>
          <w:tcPr>
            <w:tcW w:type="dxa" w:w="4703"/>
            <w:shd w:val="clear" w:color="auto" w:fill="EEF3F9"/>
          </w:tcPr>
          <w:p>
            <w:r>
              <w:rPr>
                <w:sz w:val="18"/>
              </w:rPr>
              <w:t>National Drug Authority</w:t>
            </w:r>
          </w:p>
        </w:tc>
      </w:tr>
      <w:tr>
        <w:tc>
          <w:tcPr>
            <w:tcW w:type="dxa" w:w="4703"/>
            <w:shd w:val="clear" w:color="auto" w:fill="FFFFFF"/>
          </w:tcPr>
          <w:p>
            <w:r>
              <w:rPr>
                <w:sz w:val="18"/>
              </w:rPr>
              <w:t>NDP IV</w:t>
            </w:r>
          </w:p>
        </w:tc>
        <w:tc>
          <w:tcPr>
            <w:tcW w:type="dxa" w:w="4703"/>
            <w:shd w:val="clear" w:color="auto" w:fill="FFFFFF"/>
          </w:tcPr>
          <w:p>
            <w:r>
              <w:rPr>
                <w:sz w:val="18"/>
              </w:rPr>
              <w:t>Fourth National Development Plan</w:t>
            </w:r>
          </w:p>
        </w:tc>
      </w:tr>
      <w:tr>
        <w:tc>
          <w:tcPr>
            <w:tcW w:type="dxa" w:w="4703"/>
            <w:shd w:val="clear" w:color="auto" w:fill="EEF3F9"/>
          </w:tcPr>
          <w:p>
            <w:r>
              <w:rPr>
                <w:sz w:val="18"/>
              </w:rPr>
              <w:t>NEMA</w:t>
            </w:r>
          </w:p>
        </w:tc>
        <w:tc>
          <w:tcPr>
            <w:tcW w:type="dxa" w:w="4703"/>
            <w:shd w:val="clear" w:color="auto" w:fill="EEF3F9"/>
          </w:tcPr>
          <w:p>
            <w:r>
              <w:rPr>
                <w:sz w:val="18"/>
              </w:rPr>
              <w:t>National Environment Management Authority</w:t>
            </w:r>
          </w:p>
        </w:tc>
      </w:tr>
      <w:tr>
        <w:tc>
          <w:tcPr>
            <w:tcW w:type="dxa" w:w="4703"/>
            <w:shd w:val="clear" w:color="auto" w:fill="FFFFFF"/>
          </w:tcPr>
          <w:p>
            <w:r>
              <w:rPr>
                <w:sz w:val="18"/>
              </w:rPr>
              <w:t>NIP</w:t>
            </w:r>
          </w:p>
        </w:tc>
        <w:tc>
          <w:tcPr>
            <w:tcW w:type="dxa" w:w="4703"/>
            <w:shd w:val="clear" w:color="auto" w:fill="FFFFFF"/>
          </w:tcPr>
          <w:p>
            <w:r>
              <w:rPr>
                <w:sz w:val="18"/>
              </w:rPr>
              <w:t>National Industrial Policy (2020)</w:t>
            </w:r>
          </w:p>
        </w:tc>
      </w:tr>
      <w:tr>
        <w:tc>
          <w:tcPr>
            <w:tcW w:type="dxa" w:w="4703"/>
            <w:shd w:val="clear" w:color="auto" w:fill="EEF3F9"/>
          </w:tcPr>
          <w:p>
            <w:r>
              <w:rPr>
                <w:sz w:val="18"/>
              </w:rPr>
              <w:t>NMS</w:t>
            </w:r>
          </w:p>
        </w:tc>
        <w:tc>
          <w:tcPr>
            <w:tcW w:type="dxa" w:w="4703"/>
            <w:shd w:val="clear" w:color="auto" w:fill="EEF3F9"/>
          </w:tcPr>
          <w:p>
            <w:r>
              <w:rPr>
                <w:sz w:val="18"/>
              </w:rPr>
              <w:t>National Medical Stores</w:t>
            </w:r>
          </w:p>
        </w:tc>
      </w:tr>
      <w:tr>
        <w:tc>
          <w:tcPr>
            <w:tcW w:type="dxa" w:w="4703"/>
            <w:shd w:val="clear" w:color="auto" w:fill="FFFFFF"/>
          </w:tcPr>
          <w:p>
            <w:r>
              <w:rPr>
                <w:sz w:val="18"/>
              </w:rPr>
              <w:t>NPK</w:t>
            </w:r>
          </w:p>
        </w:tc>
        <w:tc>
          <w:tcPr>
            <w:tcW w:type="dxa" w:w="4703"/>
            <w:shd w:val="clear" w:color="auto" w:fill="FFFFFF"/>
          </w:tcPr>
          <w:p>
            <w:r>
              <w:rPr>
                <w:sz w:val="18"/>
              </w:rPr>
              <w:t>Nitrogen, Phosphorus, Potassium (compound fertilizer)</w:t>
            </w:r>
          </w:p>
        </w:tc>
      </w:tr>
      <w:tr>
        <w:tc>
          <w:tcPr>
            <w:tcW w:type="dxa" w:w="4703"/>
            <w:shd w:val="clear" w:color="auto" w:fill="EEF3F9"/>
          </w:tcPr>
          <w:p>
            <w:r>
              <w:rPr>
                <w:sz w:val="18"/>
              </w:rPr>
              <w:t>NWSC</w:t>
            </w:r>
          </w:p>
        </w:tc>
        <w:tc>
          <w:tcPr>
            <w:tcW w:type="dxa" w:w="4703"/>
            <w:shd w:val="clear" w:color="auto" w:fill="EEF3F9"/>
          </w:tcPr>
          <w:p>
            <w:r>
              <w:rPr>
                <w:sz w:val="18"/>
              </w:rPr>
              <w:t>National Water and Sewerage Corporation</w:t>
            </w:r>
          </w:p>
        </w:tc>
      </w:tr>
      <w:tr>
        <w:tc>
          <w:tcPr>
            <w:tcW w:type="dxa" w:w="4703"/>
            <w:shd w:val="clear" w:color="auto" w:fill="FFFFFF"/>
          </w:tcPr>
          <w:p>
            <w:r>
              <w:rPr>
                <w:sz w:val="18"/>
              </w:rPr>
              <w:t>OPC</w:t>
            </w:r>
          </w:p>
        </w:tc>
        <w:tc>
          <w:tcPr>
            <w:tcW w:type="dxa" w:w="4703"/>
            <w:shd w:val="clear" w:color="auto" w:fill="FFFFFF"/>
          </w:tcPr>
          <w:p>
            <w:r>
              <w:rPr>
                <w:sz w:val="18"/>
              </w:rPr>
              <w:t>Ordinary Portland Cement</w:t>
            </w:r>
          </w:p>
        </w:tc>
      </w:tr>
      <w:tr>
        <w:tc>
          <w:tcPr>
            <w:tcW w:type="dxa" w:w="4703"/>
            <w:shd w:val="clear" w:color="auto" w:fill="EEF3F9"/>
          </w:tcPr>
          <w:p>
            <w:r>
              <w:rPr>
                <w:sz w:val="18"/>
              </w:rPr>
              <w:t>OPEX</w:t>
            </w:r>
          </w:p>
        </w:tc>
        <w:tc>
          <w:tcPr>
            <w:tcW w:type="dxa" w:w="4703"/>
            <w:shd w:val="clear" w:color="auto" w:fill="EEF3F9"/>
          </w:tcPr>
          <w:p>
            <w:r>
              <w:rPr>
                <w:sz w:val="18"/>
              </w:rPr>
              <w:t>Operating expenditure</w:t>
            </w:r>
          </w:p>
        </w:tc>
      </w:tr>
      <w:tr>
        <w:tc>
          <w:tcPr>
            <w:tcW w:type="dxa" w:w="4703"/>
            <w:shd w:val="clear" w:color="auto" w:fill="FFFFFF"/>
          </w:tcPr>
          <w:p>
            <w:r>
              <w:rPr>
                <w:sz w:val="18"/>
              </w:rPr>
              <w:t>PAU</w:t>
            </w:r>
          </w:p>
        </w:tc>
        <w:tc>
          <w:tcPr>
            <w:tcW w:type="dxa" w:w="4703"/>
            <w:shd w:val="clear" w:color="auto" w:fill="FFFFFF"/>
          </w:tcPr>
          <w:p>
            <w:r>
              <w:rPr>
                <w:sz w:val="18"/>
              </w:rPr>
              <w:t>Petroleum Authority of Uganda</w:t>
            </w:r>
          </w:p>
        </w:tc>
      </w:tr>
      <w:tr>
        <w:tc>
          <w:tcPr>
            <w:tcW w:type="dxa" w:w="4703"/>
            <w:shd w:val="clear" w:color="auto" w:fill="EEF3F9"/>
          </w:tcPr>
          <w:p>
            <w:r>
              <w:rPr>
                <w:sz w:val="18"/>
              </w:rPr>
              <w:t>PCP</w:t>
            </w:r>
          </w:p>
        </w:tc>
        <w:tc>
          <w:tcPr>
            <w:tcW w:type="dxa" w:w="4703"/>
            <w:shd w:val="clear" w:color="auto" w:fill="EEF3F9"/>
          </w:tcPr>
          <w:p>
            <w:r>
              <w:rPr>
                <w:sz w:val="18"/>
              </w:rPr>
              <w:t>Programme for Country Partnership</w:t>
            </w:r>
          </w:p>
        </w:tc>
      </w:tr>
      <w:tr>
        <w:tc>
          <w:tcPr>
            <w:tcW w:type="dxa" w:w="4703"/>
            <w:shd w:val="clear" w:color="auto" w:fill="FFFFFF"/>
          </w:tcPr>
          <w:p>
            <w:r>
              <w:rPr>
                <w:sz w:val="18"/>
              </w:rPr>
              <w:t>PE</w:t>
            </w:r>
          </w:p>
        </w:tc>
        <w:tc>
          <w:tcPr>
            <w:tcW w:type="dxa" w:w="4703"/>
            <w:shd w:val="clear" w:color="auto" w:fill="FFFFFF"/>
          </w:tcPr>
          <w:p>
            <w:r>
              <w:rPr>
                <w:sz w:val="18"/>
              </w:rPr>
              <w:t>Polyethylene</w:t>
            </w:r>
          </w:p>
        </w:tc>
      </w:tr>
      <w:tr>
        <w:tc>
          <w:tcPr>
            <w:tcW w:type="dxa" w:w="4703"/>
            <w:shd w:val="clear" w:color="auto" w:fill="EEF3F9"/>
          </w:tcPr>
          <w:p>
            <w:r>
              <w:rPr>
                <w:sz w:val="18"/>
              </w:rPr>
              <w:t>PET</w:t>
            </w:r>
          </w:p>
        </w:tc>
        <w:tc>
          <w:tcPr>
            <w:tcW w:type="dxa" w:w="4703"/>
            <w:shd w:val="clear" w:color="auto" w:fill="EEF3F9"/>
          </w:tcPr>
          <w:p>
            <w:r>
              <w:rPr>
                <w:sz w:val="18"/>
              </w:rPr>
              <w:t>Polyethylene Terephthalate</w:t>
            </w:r>
          </w:p>
        </w:tc>
      </w:tr>
      <w:tr>
        <w:tc>
          <w:tcPr>
            <w:tcW w:type="dxa" w:w="4703"/>
            <w:shd w:val="clear" w:color="auto" w:fill="FFFFFF"/>
          </w:tcPr>
          <w:p>
            <w:r>
              <w:rPr>
                <w:sz w:val="18"/>
              </w:rPr>
              <w:t>PP</w:t>
            </w:r>
          </w:p>
        </w:tc>
        <w:tc>
          <w:tcPr>
            <w:tcW w:type="dxa" w:w="4703"/>
            <w:shd w:val="clear" w:color="auto" w:fill="FFFFFF"/>
          </w:tcPr>
          <w:p>
            <w:r>
              <w:rPr>
                <w:sz w:val="18"/>
              </w:rPr>
              <w:t>Polypropylene</w:t>
            </w:r>
          </w:p>
        </w:tc>
      </w:tr>
      <w:tr>
        <w:tc>
          <w:tcPr>
            <w:tcW w:type="dxa" w:w="4703"/>
            <w:shd w:val="clear" w:color="auto" w:fill="EEF3F9"/>
          </w:tcPr>
          <w:p>
            <w:r>
              <w:rPr>
                <w:sz w:val="18"/>
              </w:rPr>
              <w:t>PPP</w:t>
            </w:r>
          </w:p>
        </w:tc>
        <w:tc>
          <w:tcPr>
            <w:tcW w:type="dxa" w:w="4703"/>
            <w:shd w:val="clear" w:color="auto" w:fill="EEF3F9"/>
          </w:tcPr>
          <w:p>
            <w:r>
              <w:rPr>
                <w:sz w:val="18"/>
              </w:rPr>
              <w:t>Public-Private Partnership</w:t>
            </w:r>
          </w:p>
        </w:tc>
      </w:tr>
      <w:tr>
        <w:tc>
          <w:tcPr>
            <w:tcW w:type="dxa" w:w="4703"/>
            <w:shd w:val="clear" w:color="auto" w:fill="FFFFFF"/>
          </w:tcPr>
          <w:p>
            <w:r>
              <w:rPr>
                <w:sz w:val="18"/>
              </w:rPr>
              <w:t>PVC</w:t>
            </w:r>
          </w:p>
        </w:tc>
        <w:tc>
          <w:tcPr>
            <w:tcW w:type="dxa" w:w="4703"/>
            <w:shd w:val="clear" w:color="auto" w:fill="FFFFFF"/>
          </w:tcPr>
          <w:p>
            <w:r>
              <w:rPr>
                <w:sz w:val="18"/>
              </w:rPr>
              <w:t>Polyvinyl Chloride</w:t>
            </w:r>
          </w:p>
        </w:tc>
      </w:tr>
      <w:tr>
        <w:tc>
          <w:tcPr>
            <w:tcW w:type="dxa" w:w="4703"/>
            <w:shd w:val="clear" w:color="auto" w:fill="EEF3F9"/>
          </w:tcPr>
          <w:p>
            <w:r>
              <w:rPr>
                <w:sz w:val="18"/>
              </w:rPr>
              <w:t>QA</w:t>
            </w:r>
          </w:p>
        </w:tc>
        <w:tc>
          <w:tcPr>
            <w:tcW w:type="dxa" w:w="4703"/>
            <w:shd w:val="clear" w:color="auto" w:fill="EEF3F9"/>
          </w:tcPr>
          <w:p>
            <w:r>
              <w:rPr>
                <w:sz w:val="18"/>
              </w:rPr>
              <w:t>Quality Assurance</w:t>
            </w:r>
          </w:p>
        </w:tc>
      </w:tr>
      <w:tr>
        <w:tc>
          <w:tcPr>
            <w:tcW w:type="dxa" w:w="4703"/>
            <w:shd w:val="clear" w:color="auto" w:fill="FFFFFF"/>
          </w:tcPr>
          <w:p>
            <w:r>
              <w:rPr>
                <w:sz w:val="18"/>
              </w:rPr>
              <w:t>QC</w:t>
            </w:r>
          </w:p>
        </w:tc>
        <w:tc>
          <w:tcPr>
            <w:tcW w:type="dxa" w:w="4703"/>
            <w:shd w:val="clear" w:color="auto" w:fill="FFFFFF"/>
          </w:tcPr>
          <w:p>
            <w:r>
              <w:rPr>
                <w:sz w:val="18"/>
              </w:rPr>
              <w:t>Quality Control</w:t>
            </w:r>
          </w:p>
        </w:tc>
      </w:tr>
      <w:tr>
        <w:tc>
          <w:tcPr>
            <w:tcW w:type="dxa" w:w="4703"/>
            <w:shd w:val="clear" w:color="auto" w:fill="EEF3F9"/>
          </w:tcPr>
          <w:p>
            <w:r>
              <w:rPr>
                <w:sz w:val="18"/>
              </w:rPr>
              <w:t>QCIL</w:t>
            </w:r>
          </w:p>
        </w:tc>
        <w:tc>
          <w:tcPr>
            <w:tcW w:type="dxa" w:w="4703"/>
            <w:shd w:val="clear" w:color="auto" w:fill="EEF3F9"/>
          </w:tcPr>
          <w:p>
            <w:r>
              <w:rPr>
                <w:sz w:val="18"/>
              </w:rPr>
              <w:t>Quality Chemical Industries Limited</w:t>
            </w:r>
          </w:p>
        </w:tc>
      </w:tr>
      <w:tr>
        <w:tc>
          <w:tcPr>
            <w:tcW w:type="dxa" w:w="4703"/>
            <w:shd w:val="clear" w:color="auto" w:fill="FFFFFF"/>
          </w:tcPr>
          <w:p>
            <w:r>
              <w:rPr>
                <w:sz w:val="18"/>
              </w:rPr>
              <w:t>SCOUL</w:t>
            </w:r>
          </w:p>
        </w:tc>
        <w:tc>
          <w:tcPr>
            <w:tcW w:type="dxa" w:w="4703"/>
            <w:shd w:val="clear" w:color="auto" w:fill="FFFFFF"/>
          </w:tcPr>
          <w:p>
            <w:r>
              <w:rPr>
                <w:sz w:val="18"/>
              </w:rPr>
              <w:t>Sugar Corporation of Uganda Limited</w:t>
            </w:r>
          </w:p>
        </w:tc>
      </w:tr>
      <w:tr>
        <w:tc>
          <w:tcPr>
            <w:tcW w:type="dxa" w:w="4703"/>
            <w:shd w:val="clear" w:color="auto" w:fill="EEF3F9"/>
          </w:tcPr>
          <w:p>
            <w:r>
              <w:rPr>
                <w:sz w:val="18"/>
              </w:rPr>
              <w:t>STI</w:t>
            </w:r>
          </w:p>
        </w:tc>
        <w:tc>
          <w:tcPr>
            <w:tcW w:type="dxa" w:w="4703"/>
            <w:shd w:val="clear" w:color="auto" w:fill="EEF3F9"/>
          </w:tcPr>
          <w:p>
            <w:r>
              <w:rPr>
                <w:sz w:val="18"/>
              </w:rPr>
              <w:t>Science, Technology and Innovation</w:t>
            </w:r>
          </w:p>
        </w:tc>
      </w:tr>
      <w:tr>
        <w:tc>
          <w:tcPr>
            <w:tcW w:type="dxa" w:w="4703"/>
            <w:shd w:val="clear" w:color="auto" w:fill="FFFFFF"/>
          </w:tcPr>
          <w:p>
            <w:r>
              <w:rPr>
                <w:sz w:val="18"/>
              </w:rPr>
              <w:t>TB</w:t>
            </w:r>
          </w:p>
        </w:tc>
        <w:tc>
          <w:tcPr>
            <w:tcW w:type="dxa" w:w="4703"/>
            <w:shd w:val="clear" w:color="auto" w:fill="FFFFFF"/>
          </w:tcPr>
          <w:p>
            <w:r>
              <w:rPr>
                <w:sz w:val="18"/>
              </w:rPr>
              <w:t>Tuberculosis</w:t>
            </w:r>
          </w:p>
        </w:tc>
      </w:tr>
      <w:tr>
        <w:tc>
          <w:tcPr>
            <w:tcW w:type="dxa" w:w="4703"/>
            <w:shd w:val="clear" w:color="auto" w:fill="EEF3F9"/>
          </w:tcPr>
          <w:p>
            <w:r>
              <w:rPr>
                <w:sz w:val="18"/>
              </w:rPr>
              <w:t>ToR</w:t>
            </w:r>
          </w:p>
        </w:tc>
        <w:tc>
          <w:tcPr>
            <w:tcW w:type="dxa" w:w="4703"/>
            <w:shd w:val="clear" w:color="auto" w:fill="EEF3F9"/>
          </w:tcPr>
          <w:p>
            <w:r>
              <w:rPr>
                <w:sz w:val="18"/>
              </w:rPr>
              <w:t>Terms of Reference</w:t>
            </w:r>
          </w:p>
        </w:tc>
      </w:tr>
      <w:tr>
        <w:tc>
          <w:tcPr>
            <w:tcW w:type="dxa" w:w="4703"/>
            <w:shd w:val="clear" w:color="auto" w:fill="FFFFFF"/>
          </w:tcPr>
          <w:p>
            <w:r>
              <w:rPr>
                <w:sz w:val="18"/>
              </w:rPr>
              <w:t>TVET</w:t>
            </w:r>
          </w:p>
        </w:tc>
        <w:tc>
          <w:tcPr>
            <w:tcW w:type="dxa" w:w="4703"/>
            <w:shd w:val="clear" w:color="auto" w:fill="FFFFFF"/>
          </w:tcPr>
          <w:p>
            <w:r>
              <w:rPr>
                <w:sz w:val="18"/>
              </w:rPr>
              <w:t>Technical and Vocational Education and Training</w:t>
            </w:r>
          </w:p>
        </w:tc>
      </w:tr>
      <w:tr>
        <w:tc>
          <w:tcPr>
            <w:tcW w:type="dxa" w:w="4703"/>
            <w:shd w:val="clear" w:color="auto" w:fill="EEF3F9"/>
          </w:tcPr>
          <w:p>
            <w:r>
              <w:rPr>
                <w:sz w:val="18"/>
              </w:rPr>
              <w:t>TWG</w:t>
            </w:r>
          </w:p>
        </w:tc>
        <w:tc>
          <w:tcPr>
            <w:tcW w:type="dxa" w:w="4703"/>
            <w:shd w:val="clear" w:color="auto" w:fill="EEF3F9"/>
          </w:tcPr>
          <w:p>
            <w:r>
              <w:rPr>
                <w:sz w:val="18"/>
              </w:rPr>
              <w:t>Technical Working Group</w:t>
            </w:r>
          </w:p>
        </w:tc>
      </w:tr>
      <w:tr>
        <w:tc>
          <w:tcPr>
            <w:tcW w:type="dxa" w:w="4703"/>
            <w:shd w:val="clear" w:color="auto" w:fill="FFFFFF"/>
          </w:tcPr>
          <w:p>
            <w:r>
              <w:rPr>
                <w:sz w:val="18"/>
              </w:rPr>
              <w:t>UBOS</w:t>
            </w:r>
          </w:p>
        </w:tc>
        <w:tc>
          <w:tcPr>
            <w:tcW w:type="dxa" w:w="4703"/>
            <w:shd w:val="clear" w:color="auto" w:fill="FFFFFF"/>
          </w:tcPr>
          <w:p>
            <w:r>
              <w:rPr>
                <w:sz w:val="18"/>
              </w:rPr>
              <w:t>Uganda Bureau of Statistics</w:t>
            </w:r>
          </w:p>
        </w:tc>
      </w:tr>
      <w:tr>
        <w:tc>
          <w:tcPr>
            <w:tcW w:type="dxa" w:w="4703"/>
            <w:shd w:val="clear" w:color="auto" w:fill="EEF3F9"/>
          </w:tcPr>
          <w:p>
            <w:r>
              <w:rPr>
                <w:sz w:val="18"/>
              </w:rPr>
              <w:t>UDB</w:t>
            </w:r>
          </w:p>
        </w:tc>
        <w:tc>
          <w:tcPr>
            <w:tcW w:type="dxa" w:w="4703"/>
            <w:shd w:val="clear" w:color="auto" w:fill="EEF3F9"/>
          </w:tcPr>
          <w:p>
            <w:r>
              <w:rPr>
                <w:sz w:val="18"/>
              </w:rPr>
              <w:t>Uganda Development Bank</w:t>
            </w:r>
          </w:p>
        </w:tc>
      </w:tr>
      <w:tr>
        <w:tc>
          <w:tcPr>
            <w:tcW w:type="dxa" w:w="4703"/>
            <w:shd w:val="clear" w:color="auto" w:fill="FFFFFF"/>
          </w:tcPr>
          <w:p>
            <w:r>
              <w:rPr>
                <w:sz w:val="18"/>
              </w:rPr>
              <w:t>UEPB</w:t>
            </w:r>
          </w:p>
        </w:tc>
        <w:tc>
          <w:tcPr>
            <w:tcW w:type="dxa" w:w="4703"/>
            <w:shd w:val="clear" w:color="auto" w:fill="FFFFFF"/>
          </w:tcPr>
          <w:p>
            <w:r>
              <w:rPr>
                <w:sz w:val="18"/>
              </w:rPr>
              <w:t>Uganda Export Promotion Board</w:t>
            </w:r>
          </w:p>
        </w:tc>
      </w:tr>
      <w:tr>
        <w:tc>
          <w:tcPr>
            <w:tcW w:type="dxa" w:w="4703"/>
            <w:shd w:val="clear" w:color="auto" w:fill="EEF3F9"/>
          </w:tcPr>
          <w:p>
            <w:r>
              <w:rPr>
                <w:sz w:val="18"/>
              </w:rPr>
              <w:t>UGX</w:t>
            </w:r>
          </w:p>
        </w:tc>
        <w:tc>
          <w:tcPr>
            <w:tcW w:type="dxa" w:w="4703"/>
            <w:shd w:val="clear" w:color="auto" w:fill="EEF3F9"/>
          </w:tcPr>
          <w:p>
            <w:r>
              <w:rPr>
                <w:sz w:val="18"/>
              </w:rPr>
              <w:t>Uganda Shilling</w:t>
            </w:r>
          </w:p>
        </w:tc>
      </w:tr>
      <w:tr>
        <w:tc>
          <w:tcPr>
            <w:tcW w:type="dxa" w:w="4703"/>
            <w:shd w:val="clear" w:color="auto" w:fill="FFFFFF"/>
          </w:tcPr>
          <w:p>
            <w:r>
              <w:rPr>
                <w:sz w:val="18"/>
              </w:rPr>
              <w:t>UIA</w:t>
            </w:r>
          </w:p>
        </w:tc>
        <w:tc>
          <w:tcPr>
            <w:tcW w:type="dxa" w:w="4703"/>
            <w:shd w:val="clear" w:color="auto" w:fill="FFFFFF"/>
          </w:tcPr>
          <w:p>
            <w:r>
              <w:rPr>
                <w:sz w:val="18"/>
              </w:rPr>
              <w:t>Uganda Investment Authority</w:t>
            </w:r>
          </w:p>
        </w:tc>
      </w:tr>
      <w:tr>
        <w:tc>
          <w:tcPr>
            <w:tcW w:type="dxa" w:w="4703"/>
            <w:shd w:val="clear" w:color="auto" w:fill="EEF3F9"/>
          </w:tcPr>
          <w:p>
            <w:r>
              <w:rPr>
                <w:sz w:val="18"/>
              </w:rPr>
              <w:t>UIRI</w:t>
            </w:r>
          </w:p>
        </w:tc>
        <w:tc>
          <w:tcPr>
            <w:tcW w:type="dxa" w:w="4703"/>
            <w:shd w:val="clear" w:color="auto" w:fill="EEF3F9"/>
          </w:tcPr>
          <w:p>
            <w:r>
              <w:rPr>
                <w:sz w:val="18"/>
              </w:rPr>
              <w:t>Uganda Industrial Research Institute</w:t>
            </w:r>
          </w:p>
        </w:tc>
      </w:tr>
      <w:tr>
        <w:tc>
          <w:tcPr>
            <w:tcW w:type="dxa" w:w="4703"/>
            <w:shd w:val="clear" w:color="auto" w:fill="FFFFFF"/>
          </w:tcPr>
          <w:p>
            <w:r>
              <w:rPr>
                <w:sz w:val="18"/>
              </w:rPr>
              <w:t>UMA</w:t>
            </w:r>
          </w:p>
        </w:tc>
        <w:tc>
          <w:tcPr>
            <w:tcW w:type="dxa" w:w="4703"/>
            <w:shd w:val="clear" w:color="auto" w:fill="FFFFFF"/>
          </w:tcPr>
          <w:p>
            <w:r>
              <w:rPr>
                <w:sz w:val="18"/>
              </w:rPr>
              <w:t>Uganda Manufacturers Association</w:t>
            </w:r>
          </w:p>
        </w:tc>
      </w:tr>
      <w:tr>
        <w:tc>
          <w:tcPr>
            <w:tcW w:type="dxa" w:w="4703"/>
            <w:shd w:val="clear" w:color="auto" w:fill="EEF3F9"/>
          </w:tcPr>
          <w:p>
            <w:r>
              <w:rPr>
                <w:sz w:val="18"/>
              </w:rPr>
              <w:t>UNBS</w:t>
            </w:r>
          </w:p>
        </w:tc>
        <w:tc>
          <w:tcPr>
            <w:tcW w:type="dxa" w:w="4703"/>
            <w:shd w:val="clear" w:color="auto" w:fill="EEF3F9"/>
          </w:tcPr>
          <w:p>
            <w:r>
              <w:rPr>
                <w:sz w:val="18"/>
              </w:rPr>
              <w:t>Uganda National Bureau of Standards</w:t>
            </w:r>
          </w:p>
        </w:tc>
      </w:tr>
      <w:tr>
        <w:tc>
          <w:tcPr>
            <w:tcW w:type="dxa" w:w="4703"/>
            <w:shd w:val="clear" w:color="auto" w:fill="FFFFFF"/>
          </w:tcPr>
          <w:p>
            <w:r>
              <w:rPr>
                <w:sz w:val="18"/>
              </w:rPr>
              <w:t>UNIDO</w:t>
            </w:r>
          </w:p>
        </w:tc>
        <w:tc>
          <w:tcPr>
            <w:tcW w:type="dxa" w:w="4703"/>
            <w:shd w:val="clear" w:color="auto" w:fill="FFFFFF"/>
          </w:tcPr>
          <w:p>
            <w:r>
              <w:rPr>
                <w:sz w:val="18"/>
              </w:rPr>
              <w:t>United Nations Industrial Development Organization</w:t>
            </w:r>
          </w:p>
        </w:tc>
      </w:tr>
      <w:tr>
        <w:tc>
          <w:tcPr>
            <w:tcW w:type="dxa" w:w="4703"/>
            <w:shd w:val="clear" w:color="auto" w:fill="EEF3F9"/>
          </w:tcPr>
          <w:p>
            <w:r>
              <w:rPr>
                <w:sz w:val="18"/>
              </w:rPr>
              <w:t>UNOC</w:t>
            </w:r>
          </w:p>
        </w:tc>
        <w:tc>
          <w:tcPr>
            <w:tcW w:type="dxa" w:w="4703"/>
            <w:shd w:val="clear" w:color="auto" w:fill="EEF3F9"/>
          </w:tcPr>
          <w:p>
            <w:r>
              <w:rPr>
                <w:sz w:val="18"/>
              </w:rPr>
              <w:t>Uganda National Oil Company</w:t>
            </w:r>
          </w:p>
        </w:tc>
      </w:tr>
      <w:tr>
        <w:tc>
          <w:tcPr>
            <w:tcW w:type="dxa" w:w="4703"/>
            <w:shd w:val="clear" w:color="auto" w:fill="FFFFFF"/>
          </w:tcPr>
          <w:p>
            <w:r>
              <w:rPr>
                <w:sz w:val="18"/>
              </w:rPr>
              <w:t>URA</w:t>
            </w:r>
          </w:p>
        </w:tc>
        <w:tc>
          <w:tcPr>
            <w:tcW w:type="dxa" w:w="4703"/>
            <w:shd w:val="clear" w:color="auto" w:fill="FFFFFF"/>
          </w:tcPr>
          <w:p>
            <w:r>
              <w:rPr>
                <w:sz w:val="18"/>
              </w:rPr>
              <w:t>Uganda Revenue Authority</w:t>
            </w:r>
          </w:p>
        </w:tc>
      </w:tr>
      <w:tr>
        <w:tc>
          <w:tcPr>
            <w:tcW w:type="dxa" w:w="4703"/>
            <w:shd w:val="clear" w:color="auto" w:fill="EEF3F9"/>
          </w:tcPr>
          <w:p>
            <w:r>
              <w:rPr>
                <w:sz w:val="18"/>
              </w:rPr>
              <w:t>USD</w:t>
            </w:r>
          </w:p>
        </w:tc>
        <w:tc>
          <w:tcPr>
            <w:tcW w:type="dxa" w:w="4703"/>
            <w:shd w:val="clear" w:color="auto" w:fill="EEF3F9"/>
          </w:tcPr>
          <w:p>
            <w:r>
              <w:rPr>
                <w:sz w:val="18"/>
              </w:rPr>
              <w:t>United States Dollar</w:t>
            </w:r>
          </w:p>
        </w:tc>
      </w:tr>
      <w:tr>
        <w:tc>
          <w:tcPr>
            <w:tcW w:type="dxa" w:w="4703"/>
            <w:shd w:val="clear" w:color="auto" w:fill="FFFFFF"/>
          </w:tcPr>
          <w:p>
            <w:r>
              <w:rPr>
                <w:sz w:val="18"/>
              </w:rPr>
              <w:t>USMA</w:t>
            </w:r>
          </w:p>
        </w:tc>
        <w:tc>
          <w:tcPr>
            <w:tcW w:type="dxa" w:w="4703"/>
            <w:shd w:val="clear" w:color="auto" w:fill="FFFFFF"/>
          </w:tcPr>
          <w:p>
            <w:r>
              <w:rPr>
                <w:sz w:val="18"/>
              </w:rPr>
              <w:t>Uganda Sugar Manufacturers' Association</w:t>
            </w:r>
          </w:p>
        </w:tc>
      </w:tr>
      <w:tr>
        <w:tc>
          <w:tcPr>
            <w:tcW w:type="dxa" w:w="4703"/>
            <w:shd w:val="clear" w:color="auto" w:fill="EEF3F9"/>
          </w:tcPr>
          <w:p>
            <w:r>
              <w:rPr>
                <w:sz w:val="18"/>
              </w:rPr>
              <w:t>WDI</w:t>
            </w:r>
          </w:p>
        </w:tc>
        <w:tc>
          <w:tcPr>
            <w:tcW w:type="dxa" w:w="4703"/>
            <w:shd w:val="clear" w:color="auto" w:fill="EEF3F9"/>
          </w:tcPr>
          <w:p>
            <w:r>
              <w:rPr>
                <w:sz w:val="18"/>
              </w:rPr>
              <w:t>World Development Indicators (World Bank)</w:t>
            </w:r>
          </w:p>
        </w:tc>
      </w:tr>
      <w:tr>
        <w:tc>
          <w:tcPr>
            <w:tcW w:type="dxa" w:w="4703"/>
            <w:shd w:val="clear" w:color="auto" w:fill="FFFFFF"/>
          </w:tcPr>
          <w:p>
            <w:r>
              <w:rPr>
                <w:sz w:val="18"/>
              </w:rPr>
              <w:t>WHO</w:t>
            </w:r>
          </w:p>
        </w:tc>
        <w:tc>
          <w:tcPr>
            <w:tcW w:type="dxa" w:w="4703"/>
            <w:shd w:val="clear" w:color="auto" w:fill="FFFFFF"/>
          </w:tcPr>
          <w:p>
            <w:r>
              <w:rPr>
                <w:sz w:val="18"/>
              </w:rPr>
              <w:t>World Health Organization</w:t>
            </w:r>
          </w:p>
        </w:tc>
      </w:tr>
    </w:tbl>
    <w:p/>
    <w:p>
      <w:r>
        <w:br w:type="page"/>
      </w:r>
    </w:p>
    <w:p>
      <w:pPr>
        <w:pStyle w:val="Heading1"/>
      </w:pPr>
      <w:r>
        <w:t>Chapter 1: Executive Summary</w:t>
      </w:r>
    </w:p>
    <w:p>
      <w:r>
        <w:rPr>
          <w:b/>
        </w:rPr>
        <w:t>Report:</w:t>
      </w:r>
      <w:r>
        <w:t xml:space="preserve"> Report 2 — Textiles &amp; Garments, Pharmaceuticals, Petrochemicals &amp; Fertilizers, Sugar &amp; Confectionery, Plastics &amp; Packaging, and Cement &amp; Building Materials Value Chains</w:t>
      </w:r>
    </w:p>
    <w:p>
      <w:r>
        <w:rPr>
          <w:b/>
        </w:rPr>
        <w:t>Client:</w:t>
      </w:r>
      <w:r>
        <w:t xml:space="preserve"> Ministry of Trade, Industry and Cooperatives (MTIC), Uganda</w:t>
      </w:r>
    </w:p>
    <w:p>
      <w:r>
        <w:rPr>
          <w:b/>
        </w:rPr>
        <w:t>Programme:</w:t>
      </w:r>
      <w:r>
        <w:t xml:space="preserve"> Uganda–UNIDO Programme for Country Partnership (PCP) for ISID</w:t>
      </w:r>
    </w:p>
    <w:p>
      <w:r>
        <w:rPr>
          <w:b/>
        </w:rPr>
        <w:t>Status:</w:t>
      </w:r>
      <w:r>
        <w:t xml:space="preserve"> Draft for validation</w:t>
      </w:r>
    </w:p>
    <w:p>
      <w:pPr>
        <w:pStyle w:val="Heading2"/>
      </w:pPr>
      <w:r>
        <w:t>The purpose of this report</w:t>
      </w:r>
    </w:p>
    <w:p>
      <w:r>
        <w:t xml:space="preserve">This diagnostic examines six of Uganda's NDP IV priority manufacturing value chains — </w:t>
      </w:r>
      <w:r>
        <w:rPr>
          <w:b/>
        </w:rPr>
        <w:t>Textiles &amp; Garments, Pharmaceuticals, Petrochemicals &amp; Fertilizers, Sugar &amp; Confectionery, Plastics &amp; Packaging, and Cement &amp; Building Materials</w:t>
      </w:r>
      <w:r>
        <w:t xml:space="preserve"> — and identifies, for each, the three to four products Uganda should prioritize for competitive manufacturing.</w:t>
      </w:r>
    </w:p>
    <w:p>
      <w:r>
        <w:rPr>
          <w:b/>
        </w:rPr>
        <w:t>The governing purpose of this report is the Tenfold Growth Strategy.</w:t>
      </w:r>
      <w:r>
        <w:t xml:space="preserve"> Every finding, market projection and recommendation is assessed against one question: </w:t>
      </w:r>
      <w:r>
        <w:rPr>
          <w:i/>
        </w:rPr>
        <w:t>what does it take for these chains to help grow Uganda's economy roughly tenfold by 2040?</w:t>
      </w:r>
      <w:r>
        <w:t xml:space="preserve"> That lens sets the ambition (the markets Uganda must create and secure ahead of demand), the prioritisation (durable, sustainable advantage over short-lived wins), and the diagnostic, action-oriented tone.</w:t>
      </w:r>
    </w:p>
    <w:p>
      <w:r>
        <w:t xml:space="preserve">The study draws </w:t>
      </w:r>
      <w:r>
        <w:rPr>
          <w:b/>
        </w:rPr>
        <w:t>primarily on engagement with MTIC sector experts through the Technical Working Group (TWG)</w:t>
      </w:r>
      <w:r>
        <w:t>, corroborated by official Ugandan data (UBOS first) and International Trade Centre (ITC) TradeMap (2024) figures cited at the point of use; it is offered for validation (Chapter 3).</w:t>
      </w:r>
    </w:p>
    <w:p>
      <w:r>
        <w:t xml:space="preserve">The guiding principle is discipline: </w:t>
      </w:r>
      <w:r>
        <w:rPr>
          <w:i/>
        </w:rPr>
        <w:t>successful economies are built around a few products done exceptionally well.</w:t>
      </w:r>
      <w:r>
        <w:t xml:space="preserve"> With six chains in scope, this report is deliberately selective — it states what to prioritize and what to set aside.</w:t>
      </w:r>
    </w:p>
    <w:p>
      <w:pPr>
        <w:pStyle w:val="Heading2"/>
      </w:pPr>
      <w:r>
        <w:t>The recurring pattern</w:t>
      </w:r>
    </w:p>
    <w:p>
      <w:r>
        <w:t xml:space="preserve">Across all six chains, one pattern dominates: </w:t>
      </w:r>
      <w:r>
        <w:rPr>
          <w:b/>
        </w:rPr>
        <w:t>Uganda exports or under-processes raw inputs and imports the finished product.</w:t>
      </w:r>
      <w:r>
        <w:t xml:space="preserve"> It exports cotton lint and imports textiles; imports ~90% of medicines; imports clinker while exporting cement; imports plastics and packaging; under-supplies its own fertilizer need. The strategic opportunity in every chain is the same — </w:t>
      </w:r>
      <w:r>
        <w:rPr>
          <w:b/>
        </w:rPr>
        <w:t>move up the value chain, substitute imports, and add value to what Uganda already produces.</w:t>
      </w:r>
    </w:p>
    <w:p>
      <w:pPr>
        <w:pStyle w:val="Heading2"/>
      </w:pPr>
      <w:r>
        <w:t>What the evidence shows</w:t>
      </w:r>
    </w:p>
    <w:p>
      <w:r>
        <w:t xml:space="preserve">Manufacturing is about </w:t>
      </w:r>
      <w:r>
        <w:rPr>
          <w:b/>
        </w:rPr>
        <w:t>15.2% of Gross Domestic Product (GDP) (2024)</w:t>
      </w:r>
      <w:r>
        <w:t>, below the National Industrial Policy's own ~16% target for 2029/30 (World Bank; NIP 2020). Chain by chain (ITC TradeMap, 2024 unless noted):</w:t>
      </w:r>
    </w:p>
    <w:p>
      <w:pPr>
        <w:pStyle w:val="ListBullet"/>
      </w:pPr>
      <w:r>
        <w:rPr>
          <w:b/>
        </w:rPr>
        <w:t>Textiles &amp; Garments:</w:t>
      </w:r>
      <w:r>
        <w:t xml:space="preserve"> ~90% of cotton lint is exported raw at under United States Dollar (USD) 1/kg; </w:t>
      </w:r>
      <w:r>
        <w:rPr>
          <w:b/>
        </w:rPr>
        <w:t>39 ginneries run at ~10% capacity</w:t>
      </w:r>
      <w:r>
        <w:t>; only two integrated mills (Nytil, Fine Spinners). The lint-to-garment value gap is among the largest in the economy.</w:t>
      </w:r>
    </w:p>
    <w:p>
      <w:pPr>
        <w:pStyle w:val="ListBullet"/>
      </w:pPr>
      <w:r>
        <w:rPr>
          <w:b/>
        </w:rPr>
        <w:t>Pharmaceuticals:</w:t>
      </w:r>
      <w:r>
        <w:t xml:space="preserve"> ~90% of medicines imported (down from 96% in 2016); medicaments imports </w:t>
      </w:r>
      <w:r>
        <w:rPr>
          <w:b/>
        </w:rPr>
        <w:t>USD 263.4m</w:t>
      </w:r>
      <w:r>
        <w:t>; market ~USD 221m. But Uganda has a proven World Health Organization (WHO)-GMP base — Cipla QCIL (~1.2bn tablets/year) exporting regionally.</w:t>
      </w:r>
    </w:p>
    <w:p>
      <w:pPr>
        <w:pStyle w:val="ListBullet"/>
      </w:pPr>
      <w:r>
        <w:rPr>
          <w:b/>
        </w:rPr>
        <w:t>Petrochemicals &amp; Fertilizers:</w:t>
      </w:r>
      <w:r>
        <w:t xml:space="preserve"> the Sukulu fertilizer plant has </w:t>
      </w:r>
      <w:r>
        <w:rPr>
          <w:b/>
        </w:rPr>
        <w:t>stalled</w:t>
      </w:r>
      <w:r>
        <w:t xml:space="preserve"> (shut 2021, halted again 2023) while Uganda needs ~1m t of fertilizer and imports ~50,000 t; the </w:t>
      </w:r>
      <w:r>
        <w:rPr>
          <w:b/>
        </w:rPr>
        <w:t>Kabaale refinery + Kabalega petrochemical park</w:t>
      </w:r>
      <w:r>
        <w:t xml:space="preserve"> (Alpha MBM deal, March 2025) is the medium-term feedstock anchor (~2029–30).</w:t>
      </w:r>
    </w:p>
    <w:p>
      <w:pPr>
        <w:pStyle w:val="ListBullet"/>
      </w:pPr>
      <w:r>
        <w:rPr>
          <w:b/>
        </w:rPr>
        <w:t>Sugar &amp; Confectionery:</w:t>
      </w:r>
      <w:r>
        <w:t xml:space="preserve"> structural </w:t>
      </w:r>
      <w:r>
        <w:rPr>
          <w:b/>
        </w:rPr>
        <w:t>surplus</w:t>
      </w:r>
      <w:r>
        <w:t xml:space="preserve"> (~822,000 t output vs ~370,000 t consumption); the opportunity is </w:t>
      </w:r>
      <w:r>
        <w:rPr>
          <w:b/>
        </w:rPr>
        <w:t>downstream</w:t>
      </w:r>
      <w:r>
        <w:t xml:space="preserve"> (industrial sugar, ethanol, co-generation), not more raw sugar — and over-licensing of mills must be disciplined.</w:t>
      </w:r>
    </w:p>
    <w:p>
      <w:pPr>
        <w:pStyle w:val="ListBullet"/>
      </w:pPr>
      <w:r>
        <w:rPr>
          <w:b/>
        </w:rPr>
        <w:t>Plastics &amp; Packaging:</w:t>
      </w:r>
      <w:r>
        <w:t xml:space="preserve"> ~150,000 t/year imported; packaging imports </w:t>
      </w:r>
      <w:r>
        <w:rPr>
          <w:b/>
        </w:rPr>
        <w:t>USD 37.1m</w:t>
      </w:r>
      <w:r>
        <w:t xml:space="preserve">; 600 t/day of plastic waste with &lt;40% collected; a 2025 NEMA single-use-bag ban reshapes the sector toward </w:t>
      </w:r>
      <w:r>
        <w:rPr>
          <w:b/>
        </w:rPr>
        <w:t>recycling and alternatives</w:t>
      </w:r>
      <w:r>
        <w:t>.</w:t>
      </w:r>
    </w:p>
    <w:p>
      <w:pPr>
        <w:pStyle w:val="ListBullet"/>
      </w:pPr>
      <w:r>
        <w:rPr>
          <w:b/>
        </w:rPr>
        <w:t>Cement &amp; Building Materials:</w:t>
      </w:r>
      <w:r>
        <w:t xml:space="preserve"> a </w:t>
      </w:r>
      <w:r>
        <w:rPr>
          <w:b/>
        </w:rPr>
        <w:t>USD 707m market (2024, +12%)</w:t>
      </w:r>
      <w:r>
        <w:t xml:space="preserve"> and a competitive regional exporter (USD 86m), but it </w:t>
      </w:r>
      <w:r>
        <w:rPr>
          <w:b/>
        </w:rPr>
        <w:t>imports &gt;50% of its clinker</w:t>
      </w:r>
      <w:r>
        <w:t xml:space="preserve"> (USD 162m import line) — the clear value-addition prize, with new USD 200–300m clinker plants underway.</w:t>
      </w:r>
    </w:p>
    <w:p>
      <w:pPr>
        <w:pStyle w:val="Heading2"/>
      </w:pPr>
      <w:r>
        <w:t>Prioritized products (the core recommendation)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Chain</w:t>
            </w:r>
          </w:p>
        </w:tc>
        <w:tc>
          <w:tcPr>
            <w:tcW w:type="dxa" w:w="3135"/>
            <w:shd w:val="clear" w:color="auto" w:fill="002B5B"/>
          </w:tcPr>
          <w:p>
            <w:r>
              <w:rPr>
                <w:b/>
                <w:color w:val="FFFFFF"/>
                <w:sz w:val="18"/>
              </w:rPr>
              <w:t>Priorities</w:t>
            </w:r>
          </w:p>
        </w:tc>
        <w:tc>
          <w:tcPr>
            <w:tcW w:type="dxa" w:w="3135"/>
            <w:shd w:val="clear" w:color="auto" w:fill="002B5B"/>
          </w:tcPr>
          <w:p>
            <w:r>
              <w:rPr>
                <w:b/>
                <w:color w:val="FFFFFF"/>
                <w:sz w:val="18"/>
              </w:rPr>
              <w:t>Deprioritize (for now)</w:t>
            </w:r>
          </w:p>
        </w:tc>
      </w:tr>
      <w:tr>
        <w:tc>
          <w:tcPr>
            <w:tcW w:type="dxa" w:w="3135"/>
            <w:shd w:val="clear" w:color="auto" w:fill="EEF3F9"/>
          </w:tcPr>
          <w:p>
            <w:r>
              <w:rPr>
                <w:b/>
                <w:sz w:val="18"/>
              </w:rPr>
              <w:t>Textiles &amp; Garments</w:t>
            </w:r>
          </w:p>
        </w:tc>
        <w:tc>
          <w:tcPr>
            <w:tcW w:type="dxa" w:w="3135"/>
            <w:shd w:val="clear" w:color="auto" w:fill="EEF3F9"/>
          </w:tcPr>
          <w:p>
            <w:r>
              <w:rPr>
                <w:sz w:val="18"/>
              </w:rPr>
              <w:t>(1) Garments/apparel; (2) Yarn &amp; fabric; (3) Cottonseed oil &amp; cake</w:t>
            </w:r>
          </w:p>
        </w:tc>
        <w:tc>
          <w:tcPr>
            <w:tcW w:type="dxa" w:w="3135"/>
            <w:shd w:val="clear" w:color="auto" w:fill="EEF3F9"/>
          </w:tcPr>
          <w:p>
            <w:r>
              <w:rPr>
                <w:sz w:val="18"/>
              </w:rPr>
              <w:t>Commodity textile export to global market</w:t>
            </w:r>
          </w:p>
        </w:tc>
      </w:tr>
      <w:tr>
        <w:tc>
          <w:tcPr>
            <w:tcW w:type="dxa" w:w="3135"/>
            <w:shd w:val="clear" w:color="auto" w:fill="FFFFFF"/>
          </w:tcPr>
          <w:p>
            <w:r>
              <w:rPr>
                <w:b/>
                <w:sz w:val="18"/>
              </w:rPr>
              <w:t>Pharmaceuticals</w:t>
            </w:r>
          </w:p>
        </w:tc>
        <w:tc>
          <w:tcPr>
            <w:tcW w:type="dxa" w:w="3135"/>
            <w:shd w:val="clear" w:color="auto" w:fill="FFFFFF"/>
          </w:tcPr>
          <w:p>
            <w:r>
              <w:rPr>
                <w:sz w:val="18"/>
              </w:rPr>
              <w:t>(1) Essential generics (ARVs, antimalarials, anti-TB, NCD); (2) Medical consumables; (3) Selective Active Pharmaceutical Ingredient (API)</w:t>
            </w:r>
          </w:p>
        </w:tc>
        <w:tc>
          <w:tcPr>
            <w:tcW w:type="dxa" w:w="3135"/>
            <w:shd w:val="clear" w:color="auto" w:fill="FFFFFF"/>
          </w:tcPr>
          <w:p>
            <w:r>
              <w:rPr>
                <w:sz w:val="18"/>
              </w:rPr>
              <w:t>Broad-spectrum API synthesis at scale</w:t>
            </w:r>
          </w:p>
        </w:tc>
      </w:tr>
      <w:tr>
        <w:tc>
          <w:tcPr>
            <w:tcW w:type="dxa" w:w="3135"/>
            <w:shd w:val="clear" w:color="auto" w:fill="EEF3F9"/>
          </w:tcPr>
          <w:p>
            <w:r>
              <w:rPr>
                <w:b/>
                <w:sz w:val="18"/>
              </w:rPr>
              <w:t>Petrochemicals &amp; Fertilizers</w:t>
            </w:r>
          </w:p>
        </w:tc>
        <w:tc>
          <w:tcPr>
            <w:tcW w:type="dxa" w:w="3135"/>
            <w:shd w:val="clear" w:color="auto" w:fill="EEF3F9"/>
          </w:tcPr>
          <w:p>
            <w:r>
              <w:rPr>
                <w:sz w:val="18"/>
              </w:rPr>
              <w:t>(1) Fertilizer (blending + phosphate revival); (2) Sulphuric acid/chemicals; (3) Petrochemicals (sequenced to refinery)</w:t>
            </w:r>
          </w:p>
        </w:tc>
        <w:tc>
          <w:tcPr>
            <w:tcW w:type="dxa" w:w="3135"/>
            <w:shd w:val="clear" w:color="auto" w:fill="EEF3F9"/>
          </w:tcPr>
          <w:p>
            <w:r>
              <w:rPr>
                <w:sz w:val="18"/>
              </w:rPr>
              <w:t>Greenfield specialty chemicals; premature refined-product export</w:t>
            </w:r>
          </w:p>
        </w:tc>
      </w:tr>
      <w:tr>
        <w:tc>
          <w:tcPr>
            <w:tcW w:type="dxa" w:w="3135"/>
            <w:shd w:val="clear" w:color="auto" w:fill="FFFFFF"/>
          </w:tcPr>
          <w:p>
            <w:r>
              <w:rPr>
                <w:b/>
                <w:sz w:val="18"/>
              </w:rPr>
              <w:t>Sugar &amp; Confectionery</w:t>
            </w:r>
          </w:p>
        </w:tc>
        <w:tc>
          <w:tcPr>
            <w:tcW w:type="dxa" w:w="3135"/>
            <w:shd w:val="clear" w:color="auto" w:fill="FFFFFF"/>
          </w:tcPr>
          <w:p>
            <w:r>
              <w:rPr>
                <w:sz w:val="18"/>
              </w:rPr>
              <w:t>(1) Industrial/refined sugar; (2) Ethanol; (3) Co-generation</w:t>
            </w:r>
          </w:p>
        </w:tc>
        <w:tc>
          <w:tcPr>
            <w:tcW w:type="dxa" w:w="3135"/>
            <w:shd w:val="clear" w:color="auto" w:fill="FFFFFF"/>
          </w:tcPr>
          <w:p>
            <w:r>
              <w:rPr>
                <w:sz w:val="18"/>
              </w:rPr>
              <w:t>More raw brown-sugar capacity (already in surplus)</w:t>
            </w:r>
          </w:p>
        </w:tc>
      </w:tr>
      <w:tr>
        <w:tc>
          <w:tcPr>
            <w:tcW w:type="dxa" w:w="3135"/>
            <w:shd w:val="clear" w:color="auto" w:fill="EEF3F9"/>
          </w:tcPr>
          <w:p>
            <w:r>
              <w:rPr>
                <w:b/>
                <w:sz w:val="18"/>
              </w:rPr>
              <w:t>Plastics &amp; Packaging</w:t>
            </w:r>
          </w:p>
        </w:tc>
        <w:tc>
          <w:tcPr>
            <w:tcW w:type="dxa" w:w="3135"/>
            <w:shd w:val="clear" w:color="auto" w:fill="EEF3F9"/>
          </w:tcPr>
          <w:p>
            <w:r>
              <w:rPr>
                <w:sz w:val="18"/>
              </w:rPr>
              <w:t>(1) Industrial/food packaging; (2) Recycling; (3) Agri/cement packaging</w:t>
            </w:r>
          </w:p>
        </w:tc>
        <w:tc>
          <w:tcPr>
            <w:tcW w:type="dxa" w:w="3135"/>
            <w:shd w:val="clear" w:color="auto" w:fill="EEF3F9"/>
          </w:tcPr>
          <w:p>
            <w:r>
              <w:rPr>
                <w:sz w:val="18"/>
              </w:rPr>
              <w:t>Single-use carrier bags (2025 ban)</w:t>
            </w:r>
          </w:p>
        </w:tc>
      </w:tr>
      <w:tr>
        <w:tc>
          <w:tcPr>
            <w:tcW w:type="dxa" w:w="3135"/>
            <w:shd w:val="clear" w:color="auto" w:fill="FFFFFF"/>
          </w:tcPr>
          <w:p>
            <w:r>
              <w:rPr>
                <w:b/>
                <w:sz w:val="18"/>
              </w:rPr>
              <w:t>Cement &amp; Building Materials</w:t>
            </w:r>
          </w:p>
        </w:tc>
        <w:tc>
          <w:tcPr>
            <w:tcW w:type="dxa" w:w="3135"/>
            <w:shd w:val="clear" w:color="auto" w:fill="FFFFFF"/>
          </w:tcPr>
          <w:p>
            <w:r>
              <w:rPr>
                <w:sz w:val="18"/>
              </w:rPr>
              <w:t>(1) Clinker production; (2) Finished cement (regional export); (3) Higher-value building materials</w:t>
            </w:r>
          </w:p>
        </w:tc>
        <w:tc>
          <w:tcPr>
            <w:tcW w:type="dxa" w:w="3135"/>
            <w:shd w:val="clear" w:color="auto" w:fill="FFFFFF"/>
          </w:tcPr>
          <w:p>
            <w:r>
              <w:rPr>
                <w:sz w:val="18"/>
              </w:rPr>
              <w:t>Specialty/white cement</w:t>
            </w:r>
          </w:p>
        </w:tc>
      </w:tr>
    </w:tbl>
    <w:p/>
    <w:p>
      <w:pPr>
        <w:pStyle w:val="Heading2"/>
      </w:pPr>
      <w:r>
        <w:t>The seven cross-cutting actions</w:t>
      </w:r>
    </w:p>
    <w:p>
      <w:pPr>
        <w:pStyle w:val="ListNumber"/>
      </w:pPr>
      <w:r>
        <w:rPr>
          <w:b/>
        </w:rPr>
        <w:t>Favour domestic value addition</w:t>
      </w:r>
      <w:r>
        <w:t xml:space="preserve"> over raw-commodity export / finished-goods import.</w:t>
      </w:r>
    </w:p>
    <w:p>
      <w:pPr>
        <w:pStyle w:val="ListNumber"/>
      </w:pPr>
      <w:r>
        <w:rPr>
          <w:b/>
        </w:rPr>
        <w:t>Enforce UNBS and NDA standards</w:t>
      </w:r>
      <w:r>
        <w:t xml:space="preserve"> — the highest-leverage quick win for Report 2.</w:t>
      </w:r>
    </w:p>
    <w:p>
      <w:pPr>
        <w:pStyle w:val="ListNumber"/>
      </w:pPr>
      <w:r>
        <w:rPr>
          <w:b/>
        </w:rPr>
        <w:t>Anchor demand through public procurement</w:t>
      </w:r>
      <w:r>
        <w:t xml:space="preserve"> (medicines, uniforms, cement, fertilizer).</w:t>
      </w:r>
    </w:p>
    <w:p>
      <w:pPr>
        <w:pStyle w:val="ListNumber"/>
      </w:pPr>
      <w:r>
        <w:rPr>
          <w:b/>
        </w:rPr>
        <w:t>Build parks, utilities, effluent, and circular-economy infrastructure.</w:t>
      </w:r>
    </w:p>
    <w:p>
      <w:pPr>
        <w:pStyle w:val="ListNumber"/>
      </w:pPr>
      <w:r>
        <w:rPr>
          <w:b/>
        </w:rPr>
        <w:t>Create a long-term industrial-finance facility</w:t>
      </w:r>
      <w:r>
        <w:t xml:space="preserve"> (2025 liquidity tightening has crowded out private credit).</w:t>
      </w:r>
    </w:p>
    <w:p>
      <w:pPr>
        <w:pStyle w:val="ListNumber"/>
      </w:pPr>
      <w:r>
        <w:rPr>
          <w:b/>
        </w:rPr>
        <w:t>Launch a cross-sector skills compact</w:t>
      </w:r>
      <w:r>
        <w:t xml:space="preserve"> (68% of manufacturers cannot find needed technical skills).</w:t>
      </w:r>
    </w:p>
    <w:p>
      <w:pPr>
        <w:pStyle w:val="ListNumber"/>
      </w:pPr>
      <w:r>
        <w:rPr>
          <w:b/>
        </w:rPr>
        <w:t>Sequence the petrochemical park</w:t>
      </w:r>
      <w:r>
        <w:t xml:space="preserve"> and prepare its downstream linkages (plastics, fertilizer) now.</w:t>
      </w:r>
    </w:p>
    <w:p>
      <w:pPr>
        <w:pStyle w:val="Heading2"/>
      </w:pPr>
      <w:r>
        <w:t>Investment portfolio</w:t>
      </w:r>
    </w:p>
    <w:p>
      <w:r>
        <w:t xml:space="preserve">Excluding the investor-financed refinery (~USD 4bn, separately anchored), the priority investments total an </w:t>
      </w:r>
      <w:r>
        <w:rPr>
          <w:b/>
        </w:rPr>
        <w:t>indicative USD 0.6–1.3 billion over five years</w:t>
      </w:r>
      <w:r>
        <w:t xml:space="preserve"> (figures indicative, pending feasibility), mostly private-led. The roadmap front-loads policy, standards, and procurement (Year 1), builds finance/skills/infrastructure (Years 2–3), and commissions major capital — including the refinery/petrochemical park — in Years 4–5. Full profiles are in Chapter 11.</w:t>
      </w:r>
    </w:p>
    <w:p>
      <w:pPr>
        <w:pStyle w:val="Heading2"/>
      </w:pPr>
      <w:r>
        <w:t>Bottom line for decision-makers</w:t>
      </w:r>
    </w:p>
    <w:p>
      <w:r>
        <w:t>The six value chains divide into three groups, each with a clear move:</w:t>
      </w:r>
    </w:p>
    <w:p>
      <w:pPr>
        <w:pStyle w:val="ListBullet"/>
      </w:pPr>
      <w:r>
        <w:rPr>
          <w:b/>
        </w:rPr>
        <w:t>Build on proven strength</w:t>
      </w:r>
      <w:r>
        <w:t xml:space="preserve"> — sugar (go downstream), cement (close the clinker gap), pharmaceuticals (scale GMP generics).</w:t>
      </w:r>
    </w:p>
    <w:p>
      <w:pPr>
        <w:pStyle w:val="ListBullet"/>
      </w:pPr>
      <w:r>
        <w:rPr>
          <w:b/>
        </w:rPr>
        <w:t>Capture the value being exported raw</w:t>
      </w:r>
      <w:r>
        <w:t xml:space="preserve"> — textiles (process the lint), fertilizer (supply the farms).</w:t>
      </w:r>
    </w:p>
    <w:p>
      <w:pPr>
        <w:pStyle w:val="ListBullet"/>
      </w:pPr>
      <w:r>
        <w:rPr>
          <w:b/>
        </w:rPr>
        <w:t>Sequence the transformational bet</w:t>
      </w:r>
      <w:r>
        <w:t xml:space="preserve"> — the petrochemical park, with plastics recycling and packaging prepared to use its output.</w:t>
      </w:r>
    </w:p>
    <w:p>
      <w:r>
        <w:t xml:space="preserve">The decision this report supports is to </w:t>
      </w:r>
      <w:r>
        <w:rPr>
          <w:b/>
        </w:rPr>
        <w:t>concentrate scarce resources on the prioritized products and the seven cross-cutting actions</w:t>
      </w:r>
      <w:r>
        <w:t xml:space="preserve"> — turning Uganda's agricultural base, established sugar and cement industries, proven pharmaceutical capability, and emerging oil sector into a value-adding, import-substituting industrial system, rather than spreading effort across everything.</w:t>
      </w:r>
    </w:p>
    <w:p>
      <w:r>
        <w:rPr>
          <w:i/>
        </w:rPr>
        <w:t>This summary reflects desk-based findings to be confirmed through the validation step in Chapter 3.</w:t>
      </w:r>
    </w:p>
    <w:p>
      <w:r>
        <w:br w:type="page"/>
      </w:r>
    </w:p>
    <w:p>
      <w:pPr>
        <w:pStyle w:val="Heading1"/>
      </w:pPr>
      <w:r>
        <w:t>Chapter 2: Background and Policy Context</w:t>
      </w:r>
    </w:p>
    <w:p>
      <w:r>
        <w:rPr>
          <w:b/>
        </w:rPr>
        <w:t>Report:</w:t>
      </w:r>
      <w:r>
        <w:t xml:space="preserve"> Report 2 — Textiles &amp; Garments, Pharmaceuticals, Petrochemicals &amp; Fertilizers, Sugar &amp; Confectionery, Plastics &amp; Packaging, and Cement &amp; Building Materials Value Chains</w:t>
      </w:r>
    </w:p>
    <w:p>
      <w:r>
        <w:rPr>
          <w:b/>
        </w:rPr>
        <w:t>Status:</w:t>
      </w:r>
      <w:r>
        <w:t xml:space="preserve"> Draft for validation</w:t>
      </w:r>
    </w:p>
    <w:p>
      <w:r>
        <w:rPr>
          <w:b/>
        </w:rPr>
        <w:t>Terms of Reference (ToR) Reference:</w:t>
      </w:r>
      <w:r>
        <w:t xml:space="preserve"> MTIC-Diagnostic Study on Textiles, Garments.docx</w:t>
      </w:r>
    </w:p>
    <w:p>
      <w:pPr>
        <w:pStyle w:val="Heading2"/>
      </w:pPr>
      <w:r>
        <w:t>2.1 Uganda's Industrialization Ambition</w:t>
      </w:r>
    </w:p>
    <w:p>
      <w:r>
        <w:t>Uganda's long-term industrialization trajectory is anchored in a hierarchy of national planning instruments that define the targets, sectoral priorities, and institutional responsibilities framing this diagnostic.</w:t>
      </w:r>
    </w:p>
    <w:p>
      <w:r>
        <w:rPr>
          <w:b/>
        </w:rPr>
        <w:t>Uganda Vision 2040</w:t>
      </w:r>
      <w:r>
        <w:t xml:space="preserve"> sets the overarching direction: transformation to a competitive upper-middle-income country, targeting a GDP of approximately USD 581 billion and per-capita income of USD 9,500 by 2040, with industrialization — particularly agro-processing and resource-based manufacturing — as a central engine (National Planning Authority, </w:t>
      </w:r>
      <w:r>
        <w:rPr>
          <w:i/>
        </w:rPr>
        <w:t>Uganda Vision 2040</w:t>
      </w:r>
      <w:r>
        <w:t>).</w:t>
      </w:r>
    </w:p>
    <w:p>
      <w:r>
        <w:rPr>
          <w:b/>
        </w:rPr>
        <w:t>The Fourth National Development Plan (NDP IV), FY2025/26–2029/30</w:t>
      </w:r>
      <w:r>
        <w:t xml:space="preserve">, approved by Parliament in January 2026 under the theme </w:t>
      </w:r>
      <w:r>
        <w:rPr>
          <w:i/>
        </w:rPr>
        <w:t>"Sustainable Industrialization for inclusive growth, employment, and wealth creation,"</w:t>
      </w:r>
      <w:r>
        <w:t xml:space="preserve"> targets GDP of USD 158 billion by FY2029/30 (from USD 53.2 billion in FY2023/24), per-capita income of USD 2,008, and 10.1% annual growth by FY2029/30 (Parliament of Uganda; Ministry of Finance, Planning and Economic Development). The six value chains in this report — Textiles &amp; Garments, Pharmaceuticals, Petrochemicals &amp; Fertilizers, Sugar &amp; Confectionery, Plastics &amp; Packaging, and Cement &amp; Building Materials — are among the priority manufacturing chains identified for industrial-policy support, anchored largely in Uganda's agricultural base and its import-substitution opportunities.</w:t>
      </w:r>
    </w:p>
    <w:p>
      <w:r>
        <w:rPr>
          <w:b/>
        </w:rPr>
        <w:t>The National Industrial Policy (NIP) 2020</w:t>
      </w:r>
      <w:r>
        <w:t xml:space="preserve"> provides the sector framework: raising manufacturing's contribution to GDP, deepening domestic value addition, and reducing dependence on imported intermediate and finished goods (MTIC, </w:t>
      </w:r>
      <w:r>
        <w:rPr>
          <w:i/>
        </w:rPr>
        <w:t>NIP 2020</w:t>
      </w:r>
      <w:r>
        <w:t>). It designates MTIC as lead coordinating ministry and calls for value-chain diagnostics — the mandate for this study.</w:t>
      </w:r>
    </w:p>
    <w:p>
      <w:r>
        <w:rPr>
          <w:b/>
        </w:rPr>
        <w:t>The MTIC Strategic Plan</w:t>
      </w:r>
      <w:r>
        <w:t xml:space="preserve"> translates these objectives into ministerial priorities: facilitating private investment, leading value-chain technical working groups, and coordinating Uganda Investment Authority (UIA), Uganda Export Promotion Board (UEPB), UNBS, NDA, NEMA, and other agencies.</w:t>
      </w:r>
    </w:p>
    <w:p>
      <w:r>
        <w:rPr>
          <w:b/>
        </w:rPr>
        <w:t>The Tenfold Growth Strategy</w:t>
      </w:r>
      <w:r>
        <w:t xml:space="preserve"> targets growing the economy roughly tenfold (≈USD 50bn → USD 500bn), organized around </w:t>
      </w:r>
      <w:r>
        <w:rPr>
          <w:b/>
        </w:rPr>
        <w:t>ATMs — Agro-industrialization, Tourism, Minerals, and Science, Technology &amp; Innovation (STI)</w:t>
      </w:r>
      <w:r>
        <w:t xml:space="preserve">. For Report 2, </w:t>
      </w:r>
      <w:r>
        <w:rPr>
          <w:b/>
        </w:rPr>
        <w:t>agro-industrialization</w:t>
      </w:r>
      <w:r>
        <w:t xml:space="preserve"> is the dominant driver: textiles (cotton), sugar, and pharmaceuticals all build on Uganda's agricultural and resource base, while cement, plastics, and fertilizers are core import-substitution and input industries.</w:t>
      </w:r>
    </w:p>
    <w:p>
      <w:pPr>
        <w:pStyle w:val="Heading2"/>
      </w:pPr>
      <w:r>
        <w:t>2.2 The Uganda–UNIDO Programme for Country Partnership</w:t>
      </w:r>
    </w:p>
    <w:p>
      <w:r>
        <w:t xml:space="preserve">The Uganda–UNIDO Programme for Country Partnership (PCP) for Inclusive and Sustainable Industrial Development (ISID) is the framework within which this study is produced — a government-led model to mobilize coordinated technical assistance and investment around Uganda's industrial priorities (UNIDO, </w:t>
      </w:r>
      <w:r>
        <w:rPr>
          <w:i/>
        </w:rPr>
        <w:t>Programme for Country Partnership</w:t>
      </w:r>
      <w:r>
        <w:t>).</w:t>
      </w:r>
    </w:p>
    <w:p>
      <w:r>
        <w:t>The Uganda PCP operates across six priority areas:</w:t>
      </w:r>
    </w:p>
    <w:p>
      <w:pPr>
        <w:pStyle w:val="ListNumber"/>
      </w:pPr>
      <w:r>
        <w:rPr>
          <w:b/>
        </w:rPr>
        <w:t>Strengthening industrial policy implementation and institutional coordination.</w:t>
      </w:r>
    </w:p>
    <w:p>
      <w:pPr>
        <w:pStyle w:val="ListNumber"/>
      </w:pPr>
      <w:r>
        <w:rPr>
          <w:b/>
        </w:rPr>
        <w:t>Mobilizing large-scale public and private investment for agro- and mineral-based industrialization.</w:t>
      </w:r>
    </w:p>
    <w:p>
      <w:pPr>
        <w:pStyle w:val="ListNumber"/>
      </w:pPr>
      <w:r>
        <w:rPr>
          <w:b/>
        </w:rPr>
        <w:t>Supporting sustainable industrial parks and free zones.</w:t>
      </w:r>
    </w:p>
    <w:p>
      <w:pPr>
        <w:pStyle w:val="ListNumber"/>
      </w:pPr>
      <w:r>
        <w:rPr>
          <w:b/>
        </w:rPr>
        <w:t>Strengthening national standards, quality infrastructure, and accreditation systems</w:t>
      </w:r>
      <w:r>
        <w:t xml:space="preserve"> — especially important for pharmaceuticals (NDA/WHO-GMP) and food/cement standards.</w:t>
      </w:r>
    </w:p>
    <w:p>
      <w:pPr>
        <w:pStyle w:val="ListNumber"/>
      </w:pPr>
      <w:r>
        <w:rPr>
          <w:b/>
        </w:rPr>
        <w:t>Advancing green industry, circular economy, and Industry 4.0 solutions</w:t>
      </w:r>
      <w:r>
        <w:t xml:space="preserve"> — directly relevant to plastics circularity.</w:t>
      </w:r>
    </w:p>
    <w:p>
      <w:pPr>
        <w:pStyle w:val="ListNumber"/>
      </w:pPr>
      <w:r>
        <w:rPr>
          <w:b/>
        </w:rPr>
        <w:t>Supporting productive use of renewable energy and energy efficiency</w:t>
      </w:r>
      <w:r>
        <w:t xml:space="preserve"> — relevant to energy-intensive cement.</w:t>
      </w:r>
    </w:p>
    <w:p>
      <w:r>
        <w:t>This study supports PCP Priority Areas 1 and 2, providing technical inputs for the study's six value chains — Textiles &amp; Garments, Pharmaceuticals, Petrochemicals &amp; Fertilizers, Sugar &amp; Confectionery, Plastics &amp; Packaging, and Cement &amp; Building Materials.</w:t>
      </w:r>
    </w:p>
    <w:p>
      <w:pPr>
        <w:pStyle w:val="Heading2"/>
      </w:pPr>
      <w:r>
        <w:t>2.3 Current State of Uganda's Manufacturing Sector</w:t>
      </w:r>
    </w:p>
    <w:p>
      <w:r>
        <w:t xml:space="preserve">Manufacturing value added was about </w:t>
      </w:r>
      <w:r>
        <w:rPr>
          <w:b/>
        </w:rPr>
        <w:t>15.2% of GDP in 2024</w:t>
      </w:r>
      <w:r>
        <w:t xml:space="preserve"> (World Bank, WDI), below the NIP 2020 target of ~16% by FY2029/30, at roughly 30% capacity utilization (indicative; to be confirmed from latest UBOS data).</w:t>
      </w:r>
    </w:p>
    <w:p>
      <w:pPr>
        <w:pStyle w:val="IntenseQuote"/>
      </w:pPr>
      <w:r>
        <w:rPr>
          <w:b/>
        </w:rPr>
        <w:t>DATA NOTE:</w:t>
      </w:r>
      <w:r>
        <w:t xml:space="preserve"> The "~30% capacity utilization" figure should be confirmed against the latest Uganda Bureau of Statistics (UBOS) data before finalization; it is used here as indicative and attributed accordingly.</w:t>
      </w:r>
    </w:p>
    <w:p>
      <w:r>
        <w:t>Structural characteristics relevant to Report 2:</w:t>
      </w:r>
    </w:p>
    <w:p>
      <w:pPr>
        <w:pStyle w:val="ListBullet"/>
      </w:pPr>
      <w:r>
        <w:rPr>
          <w:b/>
        </w:rPr>
        <w:t>Agro-processing under-capture</w:t>
      </w:r>
      <w:r>
        <w:t xml:space="preserve"> — Uganda exports raw agricultural commodities (notably cotton lint) and imports the processed product (textiles, garments), forgoing value addition (ITC TradeMap, 2024).</w:t>
      </w:r>
    </w:p>
    <w:p>
      <w:pPr>
        <w:pStyle w:val="ListBullet"/>
      </w:pPr>
      <w:r>
        <w:rPr>
          <w:b/>
        </w:rPr>
        <w:t>High import dependence in manufactured essentials</w:t>
      </w:r>
      <w:r>
        <w:t xml:space="preserve"> — pharmaceuticals, fertilizers, plastics, and cement clinker are substantially imported, creating both current-account pressure and import-substitution opportunity.</w:t>
      </w:r>
    </w:p>
    <w:p>
      <w:pPr>
        <w:pStyle w:val="ListBullet"/>
      </w:pPr>
      <w:r>
        <w:rPr>
          <w:b/>
        </w:rPr>
        <w:t>Established processing in sugar and cement</w:t>
      </w:r>
      <w:r>
        <w:t xml:space="preserve"> — unlike Report 1's metals, sugar and cement are areas where Uganda already has competitive domestic production and, in sugar, structural surplus.</w:t>
      </w:r>
    </w:p>
    <w:p>
      <w:pPr>
        <w:pStyle w:val="ListBullet"/>
      </w:pPr>
      <w:r>
        <w:rPr>
          <w:b/>
        </w:rPr>
        <w:t>Strong regional export orientation</w:t>
      </w:r>
      <w:r>
        <w:t xml:space="preserve"> — over 70% of Uganda's manufactured exports go to regional markets (Uganda Investment Authority, 2025).</w:t>
      </w:r>
    </w:p>
    <w:p>
      <w:pPr>
        <w:pStyle w:val="Heading2"/>
      </w:pPr>
      <w:r>
        <w:t>2.4 Rationale for the Six Priority Value Chains in This Report</w:t>
      </w:r>
    </w:p>
    <w:p>
      <w:r>
        <w:t>The six chains were selected through MTIC's prioritization process drawing on NDP IV, NIP priorities, Uganda's agricultural and resource base, and import-substitution potential.</w:t>
      </w:r>
    </w:p>
    <w:p>
      <w:r>
        <w:rPr>
          <w:b/>
        </w:rPr>
        <w:t>Textiles &amp; Garments</w:t>
      </w:r>
      <w:r>
        <w:t xml:space="preserve"> — Uganda grows cotton but exports ~90% of its lint raw at under USD 1/kg, with only two vertically integrated mills consuming the rest (Cotton Development Organisation; EPRC). The value-addition gap from lint to fabric to garment is among the largest in the economy.</w:t>
      </w:r>
    </w:p>
    <w:p>
      <w:r>
        <w:rPr>
          <w:b/>
        </w:rPr>
        <w:t>Pharmaceuticals</w:t>
      </w:r>
      <w:r>
        <w:t xml:space="preserve"> — Uganda imports ~90% of its medicines (down from 96% in 2016); the medical and pharmaceutical import bill reached </w:t>
      </w:r>
      <w:r>
        <w:rPr>
          <w:b/>
        </w:rPr>
        <w:t>USD 534 million in 2023</w:t>
      </w:r>
      <w:r>
        <w:t>, with a domestic market around USD 221 million and a small but growing WHO-GMP manufacturing base led by Cipla QCIL (Statista; UNIDO Pharmaceutical Sector Profile; NDA).</w:t>
      </w:r>
    </w:p>
    <w:p>
      <w:r>
        <w:rPr>
          <w:b/>
        </w:rPr>
        <w:t>Petrochemicals &amp; Fertilizers</w:t>
      </w:r>
      <w:r>
        <w:t xml:space="preserve"> — Uganda's emerging oil sector (the Kabaale refinery and Kabalega Petrochemical Industrial Park) creates a future petrochemical feedstock base, while fertilizer demand vastly exceeds the stalled domestic supply at Sukulu — a critical agricultural-input gap (UNOC; PAU; Osukuru complex records).</w:t>
      </w:r>
    </w:p>
    <w:p>
      <w:r>
        <w:rPr>
          <w:b/>
        </w:rPr>
        <w:t>Sugar &amp; Confectionery</w:t>
      </w:r>
      <w:r>
        <w:t xml:space="preserve"> — Uganda is in structural sugar surplus (~822,000 t output vs ~370,000 t consumption), making downstream diversification (industrial sugar, confectionery, ethanol, co-generation) the priority rather than more raw sugar (Uganda Sugar Manufacturers' Association; sector data).</w:t>
      </w:r>
    </w:p>
    <w:p>
      <w:r>
        <w:rPr>
          <w:b/>
        </w:rPr>
        <w:t>Plastics &amp; Packaging</w:t>
      </w:r>
      <w:r>
        <w:t xml:space="preserve"> — Uganda imports ~150,000 t of plastics a year and is a net importer of packaging, while facing a 2025 policy shift toward a single-use-plastic ban and circularity (NEMA).</w:t>
      </w:r>
    </w:p>
    <w:p>
      <w:r>
        <w:rPr>
          <w:b/>
        </w:rPr>
        <w:t>Cement &amp; Building Materials</w:t>
      </w:r>
      <w:r>
        <w:t xml:space="preserve"> — a domestic-production success with a market of </w:t>
      </w:r>
      <w:r>
        <w:rPr>
          <w:b/>
        </w:rPr>
        <w:t>USD 707 million (2024)</w:t>
      </w:r>
      <w:r>
        <w:t>, but dependent on imported clinker (&gt;50%) — the clear value-addition and import-substitution target (IndexBox; CemNet).</w:t>
      </w:r>
    </w:p>
    <w:p>
      <w:r>
        <w:t xml:space="preserve">The analytical question is identical across all six: </w:t>
      </w:r>
      <w:r>
        <w:rPr>
          <w:b/>
        </w:rPr>
        <w:t>which 3–4 products or sub-sectors offer the most credible path to competitive manufacturing at scale?</w:t>
      </w:r>
    </w:p>
    <w:p>
      <w:pPr>
        <w:pStyle w:val="Heading2"/>
      </w:pPr>
      <w:r>
        <w:t>2.5 NDP IV and Tenfold Targets Relevant to This Report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Indicator</w:t>
            </w:r>
          </w:p>
        </w:tc>
        <w:tc>
          <w:tcPr>
            <w:tcW w:type="dxa" w:w="2351"/>
            <w:shd w:val="clear" w:color="auto" w:fill="002B5B"/>
          </w:tcPr>
          <w:p>
            <w:r>
              <w:rPr>
                <w:b/>
                <w:color w:val="FFFFFF"/>
                <w:sz w:val="18"/>
              </w:rPr>
              <w:t>Current Baseline</w:t>
            </w:r>
          </w:p>
        </w:tc>
        <w:tc>
          <w:tcPr>
            <w:tcW w:type="dxa" w:w="2351"/>
            <w:shd w:val="clear" w:color="auto" w:fill="002B5B"/>
          </w:tcPr>
          <w:p>
            <w:r>
              <w:rPr>
                <w:b/>
                <w:color w:val="FFFFFF"/>
                <w:sz w:val="18"/>
              </w:rPr>
              <w:t>NDP IV / NIP direction</w:t>
            </w:r>
          </w:p>
        </w:tc>
        <w:tc>
          <w:tcPr>
            <w:tcW w:type="dxa" w:w="2351"/>
            <w:shd w:val="clear" w:color="auto" w:fill="002B5B"/>
          </w:tcPr>
          <w:p>
            <w:r>
              <w:rPr>
                <w:b/>
                <w:color w:val="FFFFFF"/>
                <w:sz w:val="18"/>
              </w:rPr>
              <w:t>Tenfold horizon (2040)</w:t>
            </w:r>
          </w:p>
        </w:tc>
      </w:tr>
      <w:tr>
        <w:tc>
          <w:tcPr>
            <w:tcW w:type="dxa" w:w="2351"/>
            <w:shd w:val="clear" w:color="auto" w:fill="EEF3F9"/>
          </w:tcPr>
          <w:p>
            <w:r>
              <w:rPr>
                <w:sz w:val="18"/>
              </w:rPr>
              <w:t>Manufacturing share of GDP</w:t>
            </w:r>
          </w:p>
        </w:tc>
        <w:tc>
          <w:tcPr>
            <w:tcW w:type="dxa" w:w="2351"/>
            <w:shd w:val="clear" w:color="auto" w:fill="EEF3F9"/>
          </w:tcPr>
          <w:p>
            <w:r>
              <w:rPr>
                <w:sz w:val="18"/>
              </w:rPr>
              <w:t>15.2% (2024, World Bank)</w:t>
            </w:r>
          </w:p>
        </w:tc>
        <w:tc>
          <w:tcPr>
            <w:tcW w:type="dxa" w:w="2351"/>
            <w:shd w:val="clear" w:color="auto" w:fill="EEF3F9"/>
          </w:tcPr>
          <w:p>
            <w:r>
              <w:rPr>
                <w:sz w:val="18"/>
              </w:rPr>
              <w:t>toward 16%+ by FY29/30 (NIP)</w:t>
            </w:r>
          </w:p>
        </w:tc>
        <w:tc>
          <w:tcPr>
            <w:tcW w:type="dxa" w:w="2351"/>
            <w:shd w:val="clear" w:color="auto" w:fill="EEF3F9"/>
          </w:tcPr>
          <w:p>
            <w:r>
              <w:rPr>
                <w:sz w:val="18"/>
              </w:rPr>
              <w:t>20%+ (Vision 2040)</w:t>
            </w:r>
          </w:p>
        </w:tc>
      </w:tr>
      <w:tr>
        <w:tc>
          <w:tcPr>
            <w:tcW w:type="dxa" w:w="2351"/>
            <w:shd w:val="clear" w:color="auto" w:fill="FFFFFF"/>
          </w:tcPr>
          <w:p>
            <w:r>
              <w:rPr>
                <w:sz w:val="18"/>
              </w:rPr>
              <w:t>GDP</w:t>
            </w:r>
          </w:p>
        </w:tc>
        <w:tc>
          <w:tcPr>
            <w:tcW w:type="dxa" w:w="2351"/>
            <w:shd w:val="clear" w:color="auto" w:fill="FFFFFF"/>
          </w:tcPr>
          <w:p>
            <w:r>
              <w:rPr>
                <w:sz w:val="18"/>
              </w:rPr>
              <w:t>USD 53.2bn (FY23/24)</w:t>
            </w:r>
          </w:p>
        </w:tc>
        <w:tc>
          <w:tcPr>
            <w:tcW w:type="dxa" w:w="2351"/>
            <w:shd w:val="clear" w:color="auto" w:fill="FFFFFF"/>
          </w:tcPr>
          <w:p>
            <w:r>
              <w:rPr>
                <w:sz w:val="18"/>
              </w:rPr>
              <w:t>USD 158bn by FY29/30 (NDP IV)</w:t>
            </w:r>
          </w:p>
        </w:tc>
        <w:tc>
          <w:tcPr>
            <w:tcW w:type="dxa" w:w="2351"/>
            <w:shd w:val="clear" w:color="auto" w:fill="FFFFFF"/>
          </w:tcPr>
          <w:p>
            <w:r>
              <w:rPr>
                <w:sz w:val="18"/>
              </w:rPr>
              <w:t>~USD 500bn (Tenfold)</w:t>
            </w:r>
          </w:p>
        </w:tc>
      </w:tr>
      <w:tr>
        <w:tc>
          <w:tcPr>
            <w:tcW w:type="dxa" w:w="2351"/>
            <w:shd w:val="clear" w:color="auto" w:fill="EEF3F9"/>
          </w:tcPr>
          <w:p>
            <w:r>
              <w:rPr>
                <w:sz w:val="18"/>
              </w:rPr>
              <w:t>Per capita income</w:t>
            </w:r>
          </w:p>
        </w:tc>
        <w:tc>
          <w:tcPr>
            <w:tcW w:type="dxa" w:w="2351"/>
            <w:shd w:val="clear" w:color="auto" w:fill="EEF3F9"/>
          </w:tcPr>
          <w:p>
            <w:r>
              <w:rPr>
                <w:sz w:val="18"/>
              </w:rPr>
              <w:t>USD 1,146 (FY23/24)</w:t>
            </w:r>
          </w:p>
        </w:tc>
        <w:tc>
          <w:tcPr>
            <w:tcW w:type="dxa" w:w="2351"/>
            <w:shd w:val="clear" w:color="auto" w:fill="EEF3F9"/>
          </w:tcPr>
          <w:p>
            <w:r>
              <w:rPr>
                <w:sz w:val="18"/>
              </w:rPr>
              <w:t>USD 2,008 by FY29/30 (NDP IV)</w:t>
            </w:r>
          </w:p>
        </w:tc>
        <w:tc>
          <w:tcPr>
            <w:tcW w:type="dxa" w:w="2351"/>
            <w:shd w:val="clear" w:color="auto" w:fill="EEF3F9"/>
          </w:tcPr>
          <w:p>
            <w:r>
              <w:rPr>
                <w:sz w:val="18"/>
              </w:rPr>
              <w:t>USD 9,500 (Vision 2040)</w:t>
            </w:r>
          </w:p>
        </w:tc>
      </w:tr>
      <w:tr>
        <w:tc>
          <w:tcPr>
            <w:tcW w:type="dxa" w:w="2351"/>
            <w:shd w:val="clear" w:color="auto" w:fill="FFFFFF"/>
          </w:tcPr>
          <w:p>
            <w:r>
              <w:rPr>
                <w:sz w:val="18"/>
              </w:rPr>
              <w:t>Manufactured exports to region</w:t>
            </w:r>
          </w:p>
        </w:tc>
        <w:tc>
          <w:tcPr>
            <w:tcW w:type="dxa" w:w="2351"/>
            <w:shd w:val="clear" w:color="auto" w:fill="FFFFFF"/>
          </w:tcPr>
          <w:p>
            <w:r>
              <w:rPr>
                <w:sz w:val="18"/>
              </w:rPr>
              <w:t>&gt;70% regional (UIA 2025)</w:t>
            </w:r>
          </w:p>
        </w:tc>
        <w:tc>
          <w:tcPr>
            <w:tcW w:type="dxa" w:w="2351"/>
            <w:shd w:val="clear" w:color="auto" w:fill="FFFFFF"/>
          </w:tcPr>
          <w:p>
            <w:r>
              <w:rPr>
                <w:sz w:val="18"/>
              </w:rPr>
              <w:t>rising</w:t>
            </w:r>
          </w:p>
        </w:tc>
        <w:tc>
          <w:tcPr>
            <w:tcW w:type="dxa" w:w="2351"/>
            <w:shd w:val="clear" w:color="auto" w:fill="FFFFFF"/>
          </w:tcPr>
          <w:p>
            <w:r>
              <w:rPr>
                <w:sz w:val="18"/>
              </w:rPr>
              <w:t>dominant</w:t>
            </w:r>
          </w:p>
        </w:tc>
      </w:tr>
      <w:tr>
        <w:tc>
          <w:tcPr>
            <w:tcW w:type="dxa" w:w="2351"/>
            <w:shd w:val="clear" w:color="auto" w:fill="EEF3F9"/>
          </w:tcPr>
          <w:p>
            <w:r>
              <w:rPr>
                <w:sz w:val="18"/>
              </w:rPr>
              <w:t>Cotton lint value addition</w:t>
            </w:r>
          </w:p>
        </w:tc>
        <w:tc>
          <w:tcPr>
            <w:tcW w:type="dxa" w:w="2351"/>
            <w:shd w:val="clear" w:color="auto" w:fill="EEF3F9"/>
          </w:tcPr>
          <w:p>
            <w:r>
              <w:rPr>
                <w:sz w:val="18"/>
              </w:rPr>
              <w:t>~10% processed domestically</w:t>
            </w:r>
          </w:p>
        </w:tc>
        <w:tc>
          <w:tcPr>
            <w:tcW w:type="dxa" w:w="2351"/>
            <w:shd w:val="clear" w:color="auto" w:fill="EEF3F9"/>
          </w:tcPr>
          <w:p>
            <w:r>
              <w:rPr>
                <w:sz w:val="18"/>
              </w:rPr>
              <w:t>rising</w:t>
            </w:r>
          </w:p>
        </w:tc>
        <w:tc>
          <w:tcPr>
            <w:tcW w:type="dxa" w:w="2351"/>
            <w:shd w:val="clear" w:color="auto" w:fill="EEF3F9"/>
          </w:tcPr>
          <w:p>
            <w:r>
              <w:rPr>
                <w:sz w:val="18"/>
              </w:rPr>
              <w:t>majority processed</w:t>
            </w:r>
          </w:p>
        </w:tc>
      </w:tr>
      <w:tr>
        <w:tc>
          <w:tcPr>
            <w:tcW w:type="dxa" w:w="2351"/>
            <w:shd w:val="clear" w:color="auto" w:fill="FFFFFF"/>
          </w:tcPr>
          <w:p>
            <w:r>
              <w:rPr>
                <w:sz w:val="18"/>
              </w:rPr>
              <w:t>Pharmaceutical local production</w:t>
            </w:r>
          </w:p>
        </w:tc>
        <w:tc>
          <w:tcPr>
            <w:tcW w:type="dxa" w:w="2351"/>
            <w:shd w:val="clear" w:color="auto" w:fill="FFFFFF"/>
          </w:tcPr>
          <w:p>
            <w:r>
              <w:rPr>
                <w:sz w:val="18"/>
              </w:rPr>
              <w:t>~10% of market</w:t>
            </w:r>
          </w:p>
        </w:tc>
        <w:tc>
          <w:tcPr>
            <w:tcW w:type="dxa" w:w="2351"/>
            <w:shd w:val="clear" w:color="auto" w:fill="FFFFFF"/>
          </w:tcPr>
          <w:p>
            <w:r>
              <w:rPr>
                <w:sz w:val="18"/>
              </w:rPr>
              <w:t>rising</w:t>
            </w:r>
          </w:p>
        </w:tc>
        <w:tc>
          <w:tcPr>
            <w:tcW w:type="dxa" w:w="2351"/>
            <w:shd w:val="clear" w:color="auto" w:fill="FFFFFF"/>
          </w:tcPr>
          <w:p>
            <w:r>
              <w:rPr>
                <w:sz w:val="18"/>
              </w:rPr>
              <w:t>substantial</w:t>
            </w:r>
          </w:p>
        </w:tc>
      </w:tr>
    </w:tbl>
    <w:p/>
    <w:p>
      <w:r>
        <w:t>Achieving these targets requires moving from raw-commodity export and finished-goods import toward domestic value addition. Chapters 4–9 provide the chain-by-chain prioritization.</w:t>
      </w:r>
    </w:p>
    <w:p>
      <w:r>
        <w:br w:type="page"/>
      </w:r>
    </w:p>
    <w:p>
      <w:pPr>
        <w:pStyle w:val="Heading1"/>
      </w:pPr>
      <w:r>
        <w:t>Chapter 3: Methodology and Analytical Framework</w:t>
      </w:r>
    </w:p>
    <w:p>
      <w:r>
        <w:rPr>
          <w:b/>
        </w:rPr>
        <w:t>Report:</w:t>
      </w:r>
      <w:r>
        <w:t xml:space="preserve"> Report 2 — Textiles &amp; Garments, Pharmaceuticals, Petrochemicals &amp; Fertilizers, Sugar &amp; Confectionery, Plastics &amp; Packaging, and Cement &amp; Building Materials Value Chains</w:t>
      </w:r>
    </w:p>
    <w:p>
      <w:r>
        <w:rPr>
          <w:b/>
        </w:rPr>
        <w:t>Status:</w:t>
      </w:r>
      <w:r>
        <w:t xml:space="preserve"> Draft for validation</w:t>
      </w:r>
    </w:p>
    <w:p>
      <w:r>
        <w:rPr>
          <w:b/>
        </w:rPr>
        <w:t>ToR Reference:</w:t>
      </w:r>
      <w:r>
        <w:t xml:space="preserve"> MTIC-Diagnostic Study on Textiles, Garments.docx</w:t>
      </w:r>
    </w:p>
    <w:p>
      <w:pPr>
        <w:pStyle w:val="Heading2"/>
      </w:pPr>
      <w:r>
        <w:t>3.1 Overview of the Research Approach</w:t>
      </w:r>
    </w:p>
    <w:p>
      <w:r>
        <w:t xml:space="preserve">This diagnostic was produced through </w:t>
      </w:r>
      <w:r>
        <w:rPr>
          <w:b/>
        </w:rPr>
        <w:t>constant engagement with sector experts from the Ministry of Trade, Industry and Cooperatives (MTIC) via the Technical Working Group (TWG)</w:t>
      </w:r>
      <w:r>
        <w:t xml:space="preserve">, complemented by a structured review of government and sector documents, official Ugandan statistics, live international trade data, and current published evidence. </w:t>
      </w:r>
      <w:r>
        <w:rPr>
          <w:b/>
        </w:rPr>
        <w:t>Most of the primary information used in this study was secured through these TWG engagements</w:t>
      </w:r>
      <w:r>
        <w:t xml:space="preserve"> — the sector experts who work with these industries daily are the single richest source of current, firm-level knowledge. Documentary and statistical sources corroborate, quantify, and extend what the engagements established. This is stated plainly because the credibility of a diagnostic that will inform national investment decisions depends on an honest account of how it was produced.</w:t>
      </w:r>
    </w:p>
    <w:p>
      <w:r>
        <w:t xml:space="preserve">The study was preceded by an Inception Report documenting the study design, diagnostic framework, data plan, and stakeholder-consultation plan, submitted to the TWG prior to the diagnostic phase. The work proceeded in three phases: (1) </w:t>
      </w:r>
      <w:r>
        <w:rPr>
          <w:b/>
        </w:rPr>
        <w:t>primary engagement</w:t>
      </w:r>
      <w:r>
        <w:t xml:space="preserve"> — continuous consultation with MTIC sector experts through the TWG; (2) </w:t>
      </w:r>
      <w:r>
        <w:rPr>
          <w:b/>
        </w:rPr>
        <w:t>evidence assembly and analysis</w:t>
      </w:r>
      <w:r>
        <w:t xml:space="preserve"> — corroborating and quantifying the engagement findings against documents, official statistics, and trade data, then applying the analytical framework and scoring; and (3) </w:t>
      </w:r>
      <w:r>
        <w:rPr>
          <w:b/>
        </w:rPr>
        <w:t>validation and refinement</w:t>
      </w:r>
      <w:r>
        <w:t xml:space="preserve"> — continued TWG review and a stakeholder workshop.</w:t>
      </w:r>
    </w:p>
    <w:p>
      <w:r>
        <w:rPr>
          <w:b/>
        </w:rPr>
        <w:t>The findings in this report are presented for validation.</w:t>
      </w:r>
      <w:r>
        <w:t xml:space="preserve"> Where the report states a finding, it reflects the combined weight of TWG engagement and the best available documentary evidence at the time of writing, and is subject to the continued validation in Section 3.7.</w:t>
      </w:r>
    </w:p>
    <w:p>
      <w:pPr>
        <w:pStyle w:val="Heading2"/>
      </w:pPr>
      <w:r>
        <w:t>3.2 Evidence Base and Data Sources</w:t>
      </w:r>
    </w:p>
    <w:p>
      <w:r>
        <w:rPr>
          <w:b/>
        </w:rPr>
        <w:t>Primary — TWG sector-expert engagements</w:t>
      </w:r>
      <w:r>
        <w:t xml:space="preserve"> — continuous consultation with MTIC sector experts through the Technical Working Group provided the primary, current, firm-level intelligence on each chain. The sources below corroborate and quantify it. Where UBOS data exists for an indicator, it is used before any secondary or international source.</w:t>
      </w:r>
    </w:p>
    <w:p>
      <w:r>
        <w:rPr>
          <w:b/>
        </w:rPr>
        <w:t>Government policy and planning</w:t>
      </w:r>
      <w:r>
        <w:t xml:space="preserve"> — Vision 2040; NDP IV (FY2025/26–2029/30); NIP 2020; MTIC Strategic Plan; Tenfold Growth Strategy.</w:t>
      </w:r>
    </w:p>
    <w:p>
      <w:r>
        <w:rPr>
          <w:b/>
        </w:rPr>
        <w:t>Sector studies and regulator data provided by or sourced for MTIC</w:t>
      </w:r>
      <w:r>
        <w:t xml:space="preserve"> — Cotton Development Organisation (CDO) data; National Drug Authority (NDA) National Drug Register (June 2024) and reports; Uganda Sugar Manufacturers' Association (USMA) data; NEMA plastics strategy; cement and fertilizer sector records.</w:t>
      </w:r>
    </w:p>
    <w:p>
      <w:r>
        <w:rPr>
          <w:b/>
        </w:rPr>
        <w:t>Official Ugandan data sources</w:t>
      </w:r>
      <w:r>
        <w:t xml:space="preserve"> — UBOS (production, employment, national accounts); UNBS (standards and certified-manufacturer registers); NEMA (environmental standards and plastics circularity); Electricity Regulatory Authority (ERA) (energy tariffs); UIA (investment pipeline); UNOC and the Petroleum Authority of Uganda (PAU) for the refinery/petrochemical programme.</w:t>
      </w:r>
    </w:p>
    <w:p>
      <w:r>
        <w:rPr>
          <w:b/>
        </w:rPr>
        <w:t>Trade data</w:t>
      </w:r>
      <w:r>
        <w:t xml:space="preserve"> — </w:t>
      </w:r>
      <w:r>
        <w:rPr>
          <w:b/>
        </w:rPr>
        <w:t>ITC TradeMap</w:t>
      </w:r>
      <w:r>
        <w:t xml:space="preserve"> is the source for all import/export values, partner breakdowns, and time series, drawing on the same underlying data as UN Comtrade. TradeMap figures are pulled directly and cited inline with Harmonized System (HS) code and year.</w:t>
      </w:r>
    </w:p>
    <w:p>
      <w:r>
        <w:rPr>
          <w:b/>
        </w:rPr>
        <w:t>Global benchmarks</w:t>
      </w:r>
      <w:r>
        <w:t xml:space="preserve"> — United Nations Industrial Development Organization (UNIDO) and WHO (pharmaceuticals); World Cement Association / CemNet (cement); International Fertilizer Association (IFA) and AfricaFertilizer (fertilizer); and reputable market-intelligence sources, cited where used.</w:t>
      </w:r>
    </w:p>
    <w:p>
      <w:r>
        <w:t xml:space="preserve">Estimates, proxies, and currency caveats are flagged in each chapter; material gaps are marked </w:t>
      </w:r>
      <w:r>
        <w:rPr>
          <w:rFonts w:ascii="Consolas" w:hAnsi="Consolas"/>
          <w:sz w:val="19"/>
        </w:rPr>
        <w:t>DATA NEEDED</w:t>
      </w:r>
      <w:r>
        <w:t xml:space="preserve"> for the validation step to target.</w:t>
      </w:r>
    </w:p>
    <w:p>
      <w:pPr>
        <w:pStyle w:val="Heading2"/>
      </w:pPr>
      <w:r>
        <w:t>3.3 Analytical Framework</w:t>
      </w:r>
    </w:p>
    <w:p>
      <w:r>
        <w:t>Each of the six value chains was analysed using a consistent six-part framework:</w:t>
      </w:r>
    </w:p>
    <w:p>
      <w:r>
        <w:rPr>
          <w:b/>
        </w:rPr>
        <w:t>a. Value Chain Mapping</w:t>
      </w:r>
      <w:r>
        <w:t xml:space="preserve"> — from primary inputs through processing to final products, identifying where Uganda participates, where value leaks (raw-commodity export / finished-goods import), and where opportunities lie. Each chain is also rendered in the accompanying interactive Value Chains application.</w:t>
      </w:r>
    </w:p>
    <w:p>
      <w:r>
        <w:rPr>
          <w:b/>
        </w:rPr>
        <w:t>b. Current State Assessment</w:t>
      </w:r>
      <w:r>
        <w:t xml:space="preserve"> — production, firms, employment, capacity utilization, and import/export values, with key players identified.</w:t>
      </w:r>
    </w:p>
    <w:p>
      <w:r>
        <w:rPr>
          <w:b/>
        </w:rPr>
        <w:t>c. Binding Constraints Analysis</w:t>
      </w:r>
      <w:r>
        <w:t xml:space="preserve"> — ten dimensions (Section 3.4).</w:t>
      </w:r>
    </w:p>
    <w:p>
      <w:r>
        <w:rPr>
          <w:b/>
        </w:rPr>
        <w:t>d. Market Assessment</w:t>
      </w:r>
      <w:r>
        <w:t xml:space="preserve"> — </w:t>
      </w:r>
      <w:r>
        <w:rPr>
          <w:b/>
        </w:rPr>
        <w:t>four levels</w:t>
      </w:r>
      <w:r>
        <w:t xml:space="preserve"> (domestic; regional EAC/COMESA; continental/Africa; global), each with a </w:t>
      </w:r>
      <w:r>
        <w:rPr>
          <w:b/>
        </w:rPr>
        <w:t>2040 projection</w:t>
      </w:r>
      <w:r>
        <w:t>: Uganda's market on the Tenfold Growth Strategy logic (reasoned per chain, not a simple ×10), other markets on business-as-usual growth.</w:t>
      </w:r>
    </w:p>
    <w:p>
      <w:r>
        <w:rPr>
          <w:b/>
        </w:rPr>
        <w:t>e. Prioritization Scoring</w:t>
      </w:r>
      <w:r>
        <w:t xml:space="preserve"> — five weighted criteria (Section 3.5) → 3–4 priorities per chain.</w:t>
      </w:r>
    </w:p>
    <w:p>
      <w:r>
        <w:rPr>
          <w:b/>
        </w:rPr>
        <w:t>f. Priority Action Matrix</w:t>
      </w:r>
      <w:r>
        <w:t xml:space="preserve"> — quick wins (0–12m), reforms (1–3y), investments (3–5y).</w:t>
      </w:r>
    </w:p>
    <w:p>
      <w:pPr>
        <w:pStyle w:val="Heading2"/>
      </w:pPr>
      <w:r>
        <w:t>3.4 Binding-Constraints Dimensions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Dimension</w:t>
            </w:r>
          </w:p>
        </w:tc>
        <w:tc>
          <w:tcPr>
            <w:tcW w:type="dxa" w:w="4703"/>
            <w:shd w:val="clear" w:color="auto" w:fill="002B5B"/>
          </w:tcPr>
          <w:p>
            <w:r>
              <w:rPr>
                <w:b/>
                <w:color w:val="FFFFFF"/>
                <w:sz w:val="18"/>
              </w:rPr>
              <w:t>Primary evidence used</w:t>
            </w:r>
          </w:p>
        </w:tc>
      </w:tr>
      <w:tr>
        <w:tc>
          <w:tcPr>
            <w:tcW w:type="dxa" w:w="4703"/>
            <w:shd w:val="clear" w:color="auto" w:fill="EEF3F9"/>
          </w:tcPr>
          <w:p>
            <w:r>
              <w:rPr>
                <w:sz w:val="18"/>
              </w:rPr>
              <w:t>Inputs and raw materials</w:t>
            </w:r>
          </w:p>
        </w:tc>
        <w:tc>
          <w:tcPr>
            <w:tcW w:type="dxa" w:w="4703"/>
            <w:shd w:val="clear" w:color="auto" w:fill="EEF3F9"/>
          </w:tcPr>
          <w:p>
            <w:r>
              <w:rPr>
                <w:sz w:val="18"/>
              </w:rPr>
              <w:t>Sector studies; agricultural data (cotton, cane); TradeMap</w:t>
            </w:r>
          </w:p>
        </w:tc>
      </w:tr>
      <w:tr>
        <w:tc>
          <w:tcPr>
            <w:tcW w:type="dxa" w:w="4703"/>
            <w:shd w:val="clear" w:color="auto" w:fill="FFFFFF"/>
          </w:tcPr>
          <w:p>
            <w:r>
              <w:rPr>
                <w:sz w:val="18"/>
              </w:rPr>
              <w:t>Technology and productivity</w:t>
            </w:r>
          </w:p>
        </w:tc>
        <w:tc>
          <w:tcPr>
            <w:tcW w:type="dxa" w:w="4703"/>
            <w:shd w:val="clear" w:color="auto" w:fill="FFFFFF"/>
          </w:tcPr>
          <w:p>
            <w:r>
              <w:rPr>
                <w:sz w:val="18"/>
              </w:rPr>
              <w:t>Sector studies; global benchmarks</w:t>
            </w:r>
          </w:p>
        </w:tc>
      </w:tr>
      <w:tr>
        <w:tc>
          <w:tcPr>
            <w:tcW w:type="dxa" w:w="4703"/>
            <w:shd w:val="clear" w:color="auto" w:fill="EEF3F9"/>
          </w:tcPr>
          <w:p>
            <w:r>
              <w:rPr>
                <w:sz w:val="18"/>
              </w:rPr>
              <w:t>Energy</w:t>
            </w:r>
          </w:p>
        </w:tc>
        <w:tc>
          <w:tcPr>
            <w:tcW w:type="dxa" w:w="4703"/>
            <w:shd w:val="clear" w:color="auto" w:fill="EEF3F9"/>
          </w:tcPr>
          <w:p>
            <w:r>
              <w:rPr>
                <w:sz w:val="18"/>
              </w:rPr>
              <w:t>ERA tariffs 2025 (cement especially energy-intensive)</w:t>
            </w:r>
          </w:p>
        </w:tc>
      </w:tr>
      <w:tr>
        <w:tc>
          <w:tcPr>
            <w:tcW w:type="dxa" w:w="4703"/>
            <w:shd w:val="clear" w:color="auto" w:fill="FFFFFF"/>
          </w:tcPr>
          <w:p>
            <w:r>
              <w:rPr>
                <w:sz w:val="18"/>
              </w:rPr>
              <w:t>Water</w:t>
            </w:r>
          </w:p>
        </w:tc>
        <w:tc>
          <w:tcPr>
            <w:tcW w:type="dxa" w:w="4703"/>
            <w:shd w:val="clear" w:color="auto" w:fill="FFFFFF"/>
          </w:tcPr>
          <w:p>
            <w:r>
              <w:rPr>
                <w:sz w:val="18"/>
              </w:rPr>
              <w:t>National Water and Sewerage Corporation (NWSC); NEMA (textiles wet-processing, sugar)</w:t>
            </w:r>
          </w:p>
        </w:tc>
      </w:tr>
      <w:tr>
        <w:tc>
          <w:tcPr>
            <w:tcW w:type="dxa" w:w="4703"/>
            <w:shd w:val="clear" w:color="auto" w:fill="EEF3F9"/>
          </w:tcPr>
          <w:p>
            <w:r>
              <w:rPr>
                <w:sz w:val="18"/>
              </w:rPr>
              <w:t>Logistics and transport</w:t>
            </w:r>
          </w:p>
        </w:tc>
        <w:tc>
          <w:tcPr>
            <w:tcW w:type="dxa" w:w="4703"/>
            <w:shd w:val="clear" w:color="auto" w:fill="EEF3F9"/>
          </w:tcPr>
          <w:p>
            <w:r>
              <w:rPr>
                <w:sz w:val="18"/>
              </w:rPr>
              <w:t>Sector analyses (logistics ≈18–20% of sale price)</w:t>
            </w:r>
          </w:p>
        </w:tc>
      </w:tr>
      <w:tr>
        <w:tc>
          <w:tcPr>
            <w:tcW w:type="dxa" w:w="4703"/>
            <w:shd w:val="clear" w:color="auto" w:fill="FFFFFF"/>
          </w:tcPr>
          <w:p>
            <w:r>
              <w:rPr>
                <w:sz w:val="18"/>
              </w:rPr>
              <w:t>Waste and effluent management</w:t>
            </w:r>
          </w:p>
        </w:tc>
        <w:tc>
          <w:tcPr>
            <w:tcW w:type="dxa" w:w="4703"/>
            <w:shd w:val="clear" w:color="auto" w:fill="FFFFFF"/>
          </w:tcPr>
          <w:p>
            <w:r>
              <w:rPr>
                <w:sz w:val="18"/>
              </w:rPr>
              <w:t>NEMA Effluent Regulations 2020; Plastics Circularity Strategy 2023–2028</w:t>
            </w:r>
          </w:p>
        </w:tc>
      </w:tr>
      <w:tr>
        <w:tc>
          <w:tcPr>
            <w:tcW w:type="dxa" w:w="4703"/>
            <w:shd w:val="clear" w:color="auto" w:fill="EEF3F9"/>
          </w:tcPr>
          <w:p>
            <w:r>
              <w:rPr>
                <w:sz w:val="18"/>
              </w:rPr>
              <w:t>Finance and investment</w:t>
            </w:r>
          </w:p>
        </w:tc>
        <w:tc>
          <w:tcPr>
            <w:tcW w:type="dxa" w:w="4703"/>
            <w:shd w:val="clear" w:color="auto" w:fill="EEF3F9"/>
          </w:tcPr>
          <w:p>
            <w:r>
              <w:rPr>
                <w:sz w:val="18"/>
              </w:rPr>
              <w:t>KPMG Budget Brief 2025/26; Uganda Development Bank (UDB)</w:t>
            </w:r>
          </w:p>
        </w:tc>
      </w:tr>
      <w:tr>
        <w:tc>
          <w:tcPr>
            <w:tcW w:type="dxa" w:w="4703"/>
            <w:shd w:val="clear" w:color="auto" w:fill="FFFFFF"/>
          </w:tcPr>
          <w:p>
            <w:r>
              <w:rPr>
                <w:sz w:val="18"/>
              </w:rPr>
              <w:t>Skills and workforce</w:t>
            </w:r>
          </w:p>
        </w:tc>
        <w:tc>
          <w:tcPr>
            <w:tcW w:type="dxa" w:w="4703"/>
            <w:shd w:val="clear" w:color="auto" w:fill="FFFFFF"/>
          </w:tcPr>
          <w:p>
            <w:r>
              <w:rPr>
                <w:sz w:val="18"/>
              </w:rPr>
              <w:t>UMA/UNIDO skills evidence</w:t>
            </w:r>
          </w:p>
        </w:tc>
      </w:tr>
      <w:tr>
        <w:tc>
          <w:tcPr>
            <w:tcW w:type="dxa" w:w="4703"/>
            <w:shd w:val="clear" w:color="auto" w:fill="EEF3F9"/>
          </w:tcPr>
          <w:p>
            <w:r>
              <w:rPr>
                <w:sz w:val="18"/>
              </w:rPr>
              <w:t>Standards and quality</w:t>
            </w:r>
          </w:p>
        </w:tc>
        <w:tc>
          <w:tcPr>
            <w:tcW w:type="dxa" w:w="4703"/>
            <w:shd w:val="clear" w:color="auto" w:fill="EEF3F9"/>
          </w:tcPr>
          <w:p>
            <w:r>
              <w:rPr>
                <w:sz w:val="18"/>
              </w:rPr>
              <w:t>UNBS; NDA/WHO-GMP for pharmaceuticals</w:t>
            </w:r>
          </w:p>
        </w:tc>
      </w:tr>
      <w:tr>
        <w:tc>
          <w:tcPr>
            <w:tcW w:type="dxa" w:w="4703"/>
            <w:shd w:val="clear" w:color="auto" w:fill="FFFFFF"/>
          </w:tcPr>
          <w:p>
            <w:r>
              <w:rPr>
                <w:sz w:val="18"/>
              </w:rPr>
              <w:t>Policy and regulatory</w:t>
            </w:r>
          </w:p>
        </w:tc>
        <w:tc>
          <w:tcPr>
            <w:tcW w:type="dxa" w:w="4703"/>
            <w:shd w:val="clear" w:color="auto" w:fill="FFFFFF"/>
          </w:tcPr>
          <w:p>
            <w:r>
              <w:rPr>
                <w:sz w:val="18"/>
              </w:rPr>
              <w:t>NIP 2020; sector Acts; East African Community (EAC) Common External Tariff (CET); NEMA plastics policy 2025</w:t>
            </w:r>
          </w:p>
        </w:tc>
      </w:tr>
    </w:tbl>
    <w:p/>
    <w:p>
      <w:pPr>
        <w:pStyle w:val="Heading2"/>
      </w:pPr>
      <w:r>
        <w:t>3.5 Prioritization Framework</w:t>
      </w:r>
    </w:p>
    <w:p>
      <w:r>
        <w:t xml:space="preserve">A transparent, criteria-based scoring framework was applied consistently across all six chains, reflecting the study's core principle: </w:t>
      </w:r>
      <w:r>
        <w:rPr>
          <w:b/>
        </w:rPr>
        <w:t>successful industrial economies are built around a small number of products done exceptionally well.</w:t>
      </w:r>
      <w:r>
        <w:t xml:space="preserve"> With six chains in scope, this discipline is especially important — the risk of recommending too many products across too many chains is high.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Criterion</w:t>
            </w:r>
          </w:p>
        </w:tc>
        <w:tc>
          <w:tcPr>
            <w:tcW w:type="dxa" w:w="3135"/>
            <w:shd w:val="clear" w:color="auto" w:fill="002B5B"/>
          </w:tcPr>
          <w:p>
            <w:r>
              <w:rPr>
                <w:b/>
                <w:color w:val="FFFFFF"/>
                <w:sz w:val="18"/>
              </w:rPr>
              <w:t>Description</w:t>
            </w:r>
          </w:p>
        </w:tc>
        <w:tc>
          <w:tcPr>
            <w:tcW w:type="dxa" w:w="3135"/>
            <w:shd w:val="clear" w:color="auto" w:fill="002B5B"/>
          </w:tcPr>
          <w:p>
            <w:r>
              <w:rPr>
                <w:b/>
                <w:color w:val="FFFFFF"/>
                <w:sz w:val="18"/>
              </w:rPr>
              <w:t>Weight</w:t>
            </w:r>
          </w:p>
        </w:tc>
      </w:tr>
      <w:tr>
        <w:tc>
          <w:tcPr>
            <w:tcW w:type="dxa" w:w="3135"/>
            <w:shd w:val="clear" w:color="auto" w:fill="EEF3F9"/>
          </w:tcPr>
          <w:p>
            <w:r>
              <w:rPr>
                <w:sz w:val="18"/>
              </w:rPr>
              <w:t>1. Accessible market size</w:t>
            </w:r>
          </w:p>
        </w:tc>
        <w:tc>
          <w:tcPr>
            <w:tcW w:type="dxa" w:w="3135"/>
            <w:shd w:val="clear" w:color="auto" w:fill="EEF3F9"/>
          </w:tcPr>
          <w:p>
            <w:r>
              <w:rPr>
                <w:sz w:val="18"/>
              </w:rPr>
              <w:t>Domestic, regional, export market realistically accessible</w:t>
            </w:r>
          </w:p>
        </w:tc>
        <w:tc>
          <w:tcPr>
            <w:tcW w:type="dxa" w:w="3135"/>
            <w:shd w:val="clear" w:color="auto" w:fill="EEF3F9"/>
          </w:tcPr>
          <w:p>
            <w:r>
              <w:rPr>
                <w:sz w:val="18"/>
              </w:rPr>
              <w:t>25%</w:t>
            </w:r>
          </w:p>
        </w:tc>
      </w:tr>
      <w:tr>
        <w:tc>
          <w:tcPr>
            <w:tcW w:type="dxa" w:w="3135"/>
            <w:shd w:val="clear" w:color="auto" w:fill="FFFFFF"/>
          </w:tcPr>
          <w:p>
            <w:r>
              <w:rPr>
                <w:sz w:val="18"/>
              </w:rPr>
              <w:t>2. Uganda's comparative advantage</w:t>
            </w:r>
          </w:p>
        </w:tc>
        <w:tc>
          <w:tcPr>
            <w:tcW w:type="dxa" w:w="3135"/>
            <w:shd w:val="clear" w:color="auto" w:fill="FFFFFF"/>
          </w:tcPr>
          <w:p>
            <w:r>
              <w:rPr>
                <w:sz w:val="18"/>
              </w:rPr>
              <w:t>Inputs, existing base, proximity</w:t>
            </w:r>
          </w:p>
        </w:tc>
        <w:tc>
          <w:tcPr>
            <w:tcW w:type="dxa" w:w="3135"/>
            <w:shd w:val="clear" w:color="auto" w:fill="FFFFFF"/>
          </w:tcPr>
          <w:p>
            <w:r>
              <w:rPr>
                <w:sz w:val="18"/>
              </w:rPr>
              <w:t>25%</w:t>
            </w:r>
          </w:p>
        </w:tc>
      </w:tr>
      <w:tr>
        <w:tc>
          <w:tcPr>
            <w:tcW w:type="dxa" w:w="3135"/>
            <w:shd w:val="clear" w:color="auto" w:fill="EEF3F9"/>
          </w:tcPr>
          <w:p>
            <w:r>
              <w:rPr>
                <w:sz w:val="18"/>
              </w:rPr>
              <w:t>3. Feasibility</w:t>
            </w:r>
          </w:p>
        </w:tc>
        <w:tc>
          <w:tcPr>
            <w:tcW w:type="dxa" w:w="3135"/>
            <w:shd w:val="clear" w:color="auto" w:fill="EEF3F9"/>
          </w:tcPr>
          <w:p>
            <w:r>
              <w:rPr>
                <w:sz w:val="18"/>
              </w:rPr>
              <w:t>Capital, technology readiness, lead time, management</w:t>
            </w:r>
          </w:p>
        </w:tc>
        <w:tc>
          <w:tcPr>
            <w:tcW w:type="dxa" w:w="3135"/>
            <w:shd w:val="clear" w:color="auto" w:fill="EEF3F9"/>
          </w:tcPr>
          <w:p>
            <w:r>
              <w:rPr>
                <w:sz w:val="18"/>
              </w:rPr>
              <w:t>20%</w:t>
            </w:r>
          </w:p>
        </w:tc>
      </w:tr>
      <w:tr>
        <w:tc>
          <w:tcPr>
            <w:tcW w:type="dxa" w:w="3135"/>
            <w:shd w:val="clear" w:color="auto" w:fill="FFFFFF"/>
          </w:tcPr>
          <w:p>
            <w:r>
              <w:rPr>
                <w:sz w:val="18"/>
              </w:rPr>
              <w:t>4. Job creation and income potential</w:t>
            </w:r>
          </w:p>
        </w:tc>
        <w:tc>
          <w:tcPr>
            <w:tcW w:type="dxa" w:w="3135"/>
            <w:shd w:val="clear" w:color="auto" w:fill="FFFFFF"/>
          </w:tcPr>
          <w:p>
            <w:r>
              <w:rPr>
                <w:sz w:val="18"/>
              </w:rPr>
              <w:t>Direct/indirect employment, wages, linkages</w:t>
            </w:r>
          </w:p>
        </w:tc>
        <w:tc>
          <w:tcPr>
            <w:tcW w:type="dxa" w:w="3135"/>
            <w:shd w:val="clear" w:color="auto" w:fill="FFFFFF"/>
          </w:tcPr>
          <w:p>
            <w:r>
              <w:rPr>
                <w:sz w:val="18"/>
              </w:rPr>
              <w:t>15%</w:t>
            </w:r>
          </w:p>
        </w:tc>
      </w:tr>
      <w:tr>
        <w:tc>
          <w:tcPr>
            <w:tcW w:type="dxa" w:w="3135"/>
            <w:shd w:val="clear" w:color="auto" w:fill="EEF3F9"/>
          </w:tcPr>
          <w:p>
            <w:r>
              <w:rPr>
                <w:sz w:val="18"/>
              </w:rPr>
              <w:t>5. Import substitution impact</w:t>
            </w:r>
          </w:p>
        </w:tc>
        <w:tc>
          <w:tcPr>
            <w:tcW w:type="dxa" w:w="3135"/>
            <w:shd w:val="clear" w:color="auto" w:fill="EEF3F9"/>
          </w:tcPr>
          <w:p>
            <w:r>
              <w:rPr>
                <w:sz w:val="18"/>
              </w:rPr>
              <w:t>Imports domestic production could displace</w:t>
            </w:r>
          </w:p>
        </w:tc>
        <w:tc>
          <w:tcPr>
            <w:tcW w:type="dxa" w:w="3135"/>
            <w:shd w:val="clear" w:color="auto" w:fill="EEF3F9"/>
          </w:tcPr>
          <w:p>
            <w:r>
              <w:rPr>
                <w:sz w:val="18"/>
              </w:rPr>
              <w:t>15%</w:t>
            </w:r>
          </w:p>
        </w:tc>
      </w:tr>
    </w:tbl>
    <w:p/>
    <w:p>
      <w:r>
        <w:t xml:space="preserve">Each product/sub-sector is scored 1–5 per criterion and weighted. Above 3.5 = priority; below 2.5 = explicitly deprioritized; in between = conditional. </w:t>
      </w:r>
      <w:r>
        <w:rPr>
          <w:b/>
        </w:rPr>
        <w:t>Explicit deprioritization is a required output</w:t>
      </w:r>
      <w:r>
        <w:t xml:space="preserve"> for each chain.</w:t>
      </w:r>
    </w:p>
    <w:p>
      <w:pPr>
        <w:pStyle w:val="Heading2"/>
      </w:pPr>
      <w:r>
        <w:t>3.6 The Value Chains Application</w:t>
      </w:r>
    </w:p>
    <w:p>
      <w:r>
        <w:t>Each chain is modelled as a single underlying data graph that drives both this report and an interactive Value Chains application, in which every node carries its function, HS codes, live ITC TradeMap trade data, and sources. The analysis is produced once and presented in both forms, keeping report and tool consistent.</w:t>
      </w:r>
    </w:p>
    <w:p>
      <w:pPr>
        <w:pStyle w:val="Heading2"/>
      </w:pPr>
      <w:r>
        <w:t>3.7 Engagement and Validation</w:t>
      </w:r>
    </w:p>
    <w:p>
      <w:r>
        <w:t xml:space="preserve">Engagement with MTIC sector experts through the TWG was </w:t>
      </w:r>
      <w:r>
        <w:rPr>
          <w:b/>
        </w:rPr>
        <w:t>continuous throughout the study</w:t>
      </w:r>
      <w:r>
        <w:t xml:space="preserve"> and is the primary basis of its firm-level findings. Validation now extends that engagement. </w:t>
      </w:r>
      <w:r>
        <w:rPr>
          <w:b/>
        </w:rPr>
        <w:t>Key informant interviews</w:t>
      </w:r>
      <w:r>
        <w:t xml:space="preserve"> continue with public-sector institutions (MTIC, UIA, URA, UBOS, UNBS, NDA, CDO, USMA/Uganda Sugar Board, NEMA, Ministry of Energy/PAU/UNOC), private-sector manufacturers across the six chains, industry associations (UMA, Uganda Pharmaceutical Manufacturers Association), financial institutions, and research institutions. A </w:t>
      </w:r>
      <w:r>
        <w:rPr>
          <w:b/>
        </w:rPr>
        <w:t>stakeholder validation workshop</w:t>
      </w:r>
      <w:r>
        <w:t xml:space="preserve"> (which may be held jointly with the Report 1 workshop) will test the prioritization findings and action matrices. Inputs will be incorporated into the final version.</w:t>
      </w:r>
    </w:p>
    <w:p>
      <w:pPr>
        <w:pStyle w:val="Heading2"/>
      </w:pPr>
      <w:r>
        <w:t>3.8 Limitations</w:t>
      </w:r>
    </w:p>
    <w:p>
      <w:pPr>
        <w:pStyle w:val="ListBullet"/>
      </w:pPr>
      <w:r>
        <w:rPr>
          <w:b/>
        </w:rPr>
        <w:t>Firm-level data completeness</w:t>
      </w:r>
      <w:r>
        <w:t xml:space="preserve"> — while TWG engagement provides strong current sector intelligence, comprehensive audited firm-level data are not uniformly available; the continued KIIs and workshop test them further.</w:t>
      </w:r>
    </w:p>
    <w:p>
      <w:pPr>
        <w:pStyle w:val="ListBullet"/>
      </w:pPr>
      <w:r>
        <w:rPr>
          <w:b/>
        </w:rPr>
        <w:t>Uneven data depth</w:t>
      </w:r>
      <w:r>
        <w:t xml:space="preserve"> — sugar, cement, and pharmaceuticals are relatively well-documented; petrochemicals (pre-production) and parts of plastics rely on programme documents and proxies.</w:t>
      </w:r>
    </w:p>
    <w:p>
      <w:pPr>
        <w:pStyle w:val="ListBullet"/>
      </w:pPr>
      <w:r>
        <w:rPr>
          <w:b/>
        </w:rPr>
        <w:t>Firm-level statistics</w:t>
      </w:r>
      <w:r>
        <w:t xml:space="preserve"> — comprehensive current firm-level production/employment data are not uniformly available; figures are triangulated and flagged.</w:t>
      </w:r>
    </w:p>
    <w:p>
      <w:pPr>
        <w:pStyle w:val="ListBullet"/>
      </w:pPr>
      <w:r>
        <w:rPr>
          <w:b/>
        </w:rPr>
        <w:t>Indicative investment figures</w:t>
      </w:r>
      <w:r>
        <w:t xml:space="preserve"> — Capital expenditure (CAPEX)/OPEX in the investment chapter are indicative planning estimates, labelled as such.</w:t>
      </w:r>
    </w:p>
    <w:p>
      <w:pPr>
        <w:pStyle w:val="ListBullet"/>
      </w:pPr>
      <w:r>
        <w:rPr>
          <w:b/>
        </w:rPr>
        <w:t>Trade-data basis</w:t>
      </w:r>
      <w:r>
        <w:t xml:space="preserve"> — figures are ITC TradeMap, latest available year (generally 2024); some partner cells are suppressed or lag.</w:t>
      </w:r>
    </w:p>
    <w:p>
      <w:r>
        <w:t>These limitations define where validation and monitoring will most strengthen the evidence base; they do not alter the direction of the conclusions.</w:t>
      </w:r>
    </w:p>
    <w:p>
      <w:r>
        <w:br w:type="page"/>
      </w:r>
    </w:p>
    <w:p>
      <w:pPr>
        <w:pStyle w:val="Heading1"/>
      </w:pPr>
      <w:r>
        <w:t>Chapter 4: Textiles &amp; Garments Value Chain</w:t>
      </w:r>
    </w:p>
    <w:p>
      <w:r>
        <w:rPr>
          <w:b/>
        </w:rPr>
        <w:t>Report:</w:t>
      </w:r>
      <w:r>
        <w:t xml:space="preserve"> Report 2 — Textiles &amp; Garments, Pharmaceuticals, Petrochemicals &amp; Fertilizers, Sugar &amp; Confectionery, Plastics &amp; Packaging, and Cement &amp; Building Materials Value Chains</w:t>
      </w:r>
    </w:p>
    <w:p>
      <w:r>
        <w:rPr>
          <w:b/>
        </w:rPr>
        <w:t>Status:</w:t>
      </w:r>
      <w:r>
        <w:t xml:space="preserve"> Draft for validation</w:t>
      </w:r>
    </w:p>
    <w:p>
      <w:r>
        <w:rPr>
          <w:b/>
        </w:rPr>
        <w:t>Primary data source:</w:t>
      </w:r>
      <w:r>
        <w:t xml:space="preserve"> Technical Working Group (TWG) engagements with MTIC sector experts (primary); Cotton Development Organisation (CDO); UBOS; Economic Policy Research Centre (EPRC) cotton value-chain study; ITC TradeMap (2024). Full sources are in the consolidated References at the end of this report.</w:t>
      </w:r>
    </w:p>
    <w:p>
      <w:pPr>
        <w:pStyle w:val="Heading2"/>
      </w:pPr>
      <w:r>
        <w:t>4.0 Why Textiles &amp; Garments Matters for the Tenfold Growth Strategy</w:t>
      </w:r>
    </w:p>
    <w:p>
      <w:r>
        <w:t xml:space="preserve">Textiles is the flagship of </w:t>
      </w:r>
      <w:r>
        <w:rPr>
          <w:b/>
        </w:rPr>
        <w:t>agro-industrialisation</w:t>
      </w:r>
      <w:r>
        <w:t xml:space="preserve"> — the "A" in the Tenfold Growth Strategy's ATMs. It turns a crop Uganda already grows (cotton) into the most job-rich manufacturing there is: ginning → spinning → weaving → garments. Today Uganda does the opposite of value addition — it </w:t>
      </w:r>
      <w:r>
        <w:rPr>
          <w:b/>
        </w:rPr>
        <w:t>exports ~90% of its cotton lint raw at under USD 1/kg</w:t>
      </w:r>
      <w:r>
        <w:t xml:space="preserve"> and re-imports finished cloth and clothing. For a ten-times-larger economy that must create mass employment, capturing the spinning-to-garment value on Uganda's own cotton is among the highest-return moves available: every step up the chain multiplies jobs and value per kilogram of lint.</w:t>
      </w:r>
    </w:p>
    <w:p>
      <w:pPr>
        <w:pStyle w:val="Heading2"/>
      </w:pPr>
      <w:r>
        <w:t>4.A Value Chain Map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02B5B"/>
          </w:tcPr>
          <w:p>
            <w:r>
              <w:rPr>
                <w:b/>
                <w:color w:val="FFFFFF"/>
                <w:sz w:val="18"/>
              </w:rPr>
              <w:t>Phase</w:t>
            </w:r>
          </w:p>
        </w:tc>
        <w:tc>
          <w:tcPr>
            <w:tcW w:type="dxa" w:w="1881"/>
            <w:shd w:val="clear" w:color="auto" w:fill="002B5B"/>
          </w:tcPr>
          <w:p>
            <w:r>
              <w:rPr>
                <w:b/>
                <w:color w:val="FFFFFF"/>
                <w:sz w:val="18"/>
              </w:rPr>
              <w:t>Activity</w:t>
            </w:r>
          </w:p>
        </w:tc>
        <w:tc>
          <w:tcPr>
            <w:tcW w:type="dxa" w:w="1881"/>
            <w:shd w:val="clear" w:color="auto" w:fill="002B5B"/>
          </w:tcPr>
          <w:p>
            <w:r>
              <w:rPr>
                <w:b/>
                <w:color w:val="FFFFFF"/>
                <w:sz w:val="18"/>
              </w:rPr>
              <w:t>Main inputs</w:t>
            </w:r>
          </w:p>
        </w:tc>
        <w:tc>
          <w:tcPr>
            <w:tcW w:type="dxa" w:w="1881"/>
            <w:shd w:val="clear" w:color="auto" w:fill="002B5B"/>
          </w:tcPr>
          <w:p>
            <w:r>
              <w:rPr>
                <w:b/>
                <w:color w:val="FFFFFF"/>
                <w:sz w:val="18"/>
              </w:rPr>
              <w:t>Output</w:t>
            </w:r>
          </w:p>
        </w:tc>
        <w:tc>
          <w:tcPr>
            <w:tcW w:type="dxa" w:w="1881"/>
            <w:shd w:val="clear" w:color="auto" w:fill="002B5B"/>
          </w:tcPr>
          <w:p>
            <w:r>
              <w:rPr>
                <w:b/>
                <w:color w:val="FFFFFF"/>
                <w:sz w:val="18"/>
              </w:rPr>
              <w:t>Uganda's position</w:t>
            </w:r>
          </w:p>
        </w:tc>
      </w:tr>
      <w:tr>
        <w:tc>
          <w:tcPr>
            <w:tcW w:type="dxa" w:w="1881"/>
            <w:shd w:val="clear" w:color="auto" w:fill="EEF3F9"/>
          </w:tcPr>
          <w:p>
            <w:r>
              <w:rPr>
                <w:sz w:val="18"/>
              </w:rPr>
              <w:t>I</w:t>
            </w:r>
          </w:p>
        </w:tc>
        <w:tc>
          <w:tcPr>
            <w:tcW w:type="dxa" w:w="1881"/>
            <w:shd w:val="clear" w:color="auto" w:fill="EEF3F9"/>
          </w:tcPr>
          <w:p>
            <w:r>
              <w:rPr>
                <w:sz w:val="18"/>
              </w:rPr>
              <w:t>Cotton growing</w:t>
            </w:r>
          </w:p>
        </w:tc>
        <w:tc>
          <w:tcPr>
            <w:tcW w:type="dxa" w:w="1881"/>
            <w:shd w:val="clear" w:color="auto" w:fill="EEF3F9"/>
          </w:tcPr>
          <w:p>
            <w:r>
              <w:rPr>
                <w:sz w:val="18"/>
              </w:rPr>
              <w:t>Seed, inputs</w:t>
            </w:r>
          </w:p>
        </w:tc>
        <w:tc>
          <w:tcPr>
            <w:tcW w:type="dxa" w:w="1881"/>
            <w:shd w:val="clear" w:color="auto" w:fill="EEF3F9"/>
          </w:tcPr>
          <w:p>
            <w:r>
              <w:rPr>
                <w:sz w:val="18"/>
              </w:rPr>
              <w:t>Seed cotton</w:t>
            </w:r>
          </w:p>
        </w:tc>
        <w:tc>
          <w:tcPr>
            <w:tcW w:type="dxa" w:w="1881"/>
            <w:shd w:val="clear" w:color="auto" w:fill="EEF3F9"/>
          </w:tcPr>
          <w:p>
            <w:r>
              <w:rPr>
                <w:b/>
                <w:sz w:val="18"/>
              </w:rPr>
              <w:t>Strong</w:t>
            </w:r>
            <w:r>
              <w:rPr>
                <w:sz w:val="18"/>
              </w:rPr>
              <w:t xml:space="preserve"> (smallholder base)</w:t>
            </w:r>
          </w:p>
        </w:tc>
      </w:tr>
      <w:tr>
        <w:tc>
          <w:tcPr>
            <w:tcW w:type="dxa" w:w="1881"/>
            <w:shd w:val="clear" w:color="auto" w:fill="FFFFFF"/>
          </w:tcPr>
          <w:p>
            <w:r>
              <w:rPr>
                <w:sz w:val="18"/>
              </w:rPr>
              <w:t>II</w:t>
            </w:r>
          </w:p>
        </w:tc>
        <w:tc>
          <w:tcPr>
            <w:tcW w:type="dxa" w:w="1881"/>
            <w:shd w:val="clear" w:color="auto" w:fill="FFFFFF"/>
          </w:tcPr>
          <w:p>
            <w:r>
              <w:rPr>
                <w:sz w:val="18"/>
              </w:rPr>
              <w:t>Ginning</w:t>
            </w:r>
          </w:p>
        </w:tc>
        <w:tc>
          <w:tcPr>
            <w:tcW w:type="dxa" w:w="1881"/>
            <w:shd w:val="clear" w:color="auto" w:fill="FFFFFF"/>
          </w:tcPr>
          <w:p>
            <w:r>
              <w:rPr>
                <w:sz w:val="18"/>
              </w:rPr>
              <w:t>Seed cotton</w:t>
            </w:r>
          </w:p>
        </w:tc>
        <w:tc>
          <w:tcPr>
            <w:tcW w:type="dxa" w:w="1881"/>
            <w:shd w:val="clear" w:color="auto" w:fill="FFFFFF"/>
          </w:tcPr>
          <w:p>
            <w:r>
              <w:rPr>
                <w:sz w:val="18"/>
              </w:rPr>
              <w:t>Lint + cottonseed</w:t>
            </w:r>
          </w:p>
        </w:tc>
        <w:tc>
          <w:tcPr>
            <w:tcW w:type="dxa" w:w="1881"/>
            <w:shd w:val="clear" w:color="auto" w:fill="FFFFFF"/>
          </w:tcPr>
          <w:p>
            <w:r>
              <w:rPr>
                <w:b/>
                <w:sz w:val="18"/>
              </w:rPr>
              <w:t>Strong</w:t>
            </w:r>
            <w:r>
              <w:rPr>
                <w:sz w:val="18"/>
              </w:rPr>
              <w:t xml:space="preserve"> (39 ginneries)</w:t>
            </w:r>
          </w:p>
        </w:tc>
      </w:tr>
      <w:tr>
        <w:tc>
          <w:tcPr>
            <w:tcW w:type="dxa" w:w="1881"/>
            <w:shd w:val="clear" w:color="auto" w:fill="EEF3F9"/>
          </w:tcPr>
          <w:p>
            <w:r>
              <w:rPr>
                <w:sz w:val="18"/>
              </w:rPr>
              <w:t>III</w:t>
            </w:r>
          </w:p>
        </w:tc>
        <w:tc>
          <w:tcPr>
            <w:tcW w:type="dxa" w:w="1881"/>
            <w:shd w:val="clear" w:color="auto" w:fill="EEF3F9"/>
          </w:tcPr>
          <w:p>
            <w:r>
              <w:rPr>
                <w:sz w:val="18"/>
              </w:rPr>
              <w:t>Spinning</w:t>
            </w:r>
          </w:p>
        </w:tc>
        <w:tc>
          <w:tcPr>
            <w:tcW w:type="dxa" w:w="1881"/>
            <w:shd w:val="clear" w:color="auto" w:fill="EEF3F9"/>
          </w:tcPr>
          <w:p>
            <w:r>
              <w:rPr>
                <w:sz w:val="18"/>
              </w:rPr>
              <w:t>Lint</w:t>
            </w:r>
          </w:p>
        </w:tc>
        <w:tc>
          <w:tcPr>
            <w:tcW w:type="dxa" w:w="1881"/>
            <w:shd w:val="clear" w:color="auto" w:fill="EEF3F9"/>
          </w:tcPr>
          <w:p>
            <w:r>
              <w:rPr>
                <w:sz w:val="18"/>
              </w:rPr>
              <w:t>Yarn</w:t>
            </w:r>
          </w:p>
        </w:tc>
        <w:tc>
          <w:tcPr>
            <w:tcW w:type="dxa" w:w="1881"/>
            <w:shd w:val="clear" w:color="auto" w:fill="EEF3F9"/>
          </w:tcPr>
          <w:p>
            <w:r>
              <w:rPr>
                <w:b/>
                <w:sz w:val="18"/>
              </w:rPr>
              <w:t>Weak</w:t>
            </w:r>
            <w:r>
              <w:rPr>
                <w:sz w:val="18"/>
              </w:rPr>
              <w:t xml:space="preserve"> — limited</w:t>
            </w:r>
          </w:p>
        </w:tc>
      </w:tr>
      <w:tr>
        <w:tc>
          <w:tcPr>
            <w:tcW w:type="dxa" w:w="1881"/>
            <w:shd w:val="clear" w:color="auto" w:fill="FFFFFF"/>
          </w:tcPr>
          <w:p>
            <w:r>
              <w:rPr>
                <w:sz w:val="18"/>
              </w:rPr>
              <w:t>IV</w:t>
            </w:r>
          </w:p>
        </w:tc>
        <w:tc>
          <w:tcPr>
            <w:tcW w:type="dxa" w:w="1881"/>
            <w:shd w:val="clear" w:color="auto" w:fill="FFFFFF"/>
          </w:tcPr>
          <w:p>
            <w:r>
              <w:rPr>
                <w:sz w:val="18"/>
              </w:rPr>
              <w:t>Weaving / knitting</w:t>
            </w:r>
          </w:p>
        </w:tc>
        <w:tc>
          <w:tcPr>
            <w:tcW w:type="dxa" w:w="1881"/>
            <w:shd w:val="clear" w:color="auto" w:fill="FFFFFF"/>
          </w:tcPr>
          <w:p>
            <w:r>
              <w:rPr>
                <w:sz w:val="18"/>
              </w:rPr>
              <w:t>Yarn</w:t>
            </w:r>
          </w:p>
        </w:tc>
        <w:tc>
          <w:tcPr>
            <w:tcW w:type="dxa" w:w="1881"/>
            <w:shd w:val="clear" w:color="auto" w:fill="FFFFFF"/>
          </w:tcPr>
          <w:p>
            <w:r>
              <w:rPr>
                <w:sz w:val="18"/>
              </w:rPr>
              <w:t>Fabric</w:t>
            </w:r>
          </w:p>
        </w:tc>
        <w:tc>
          <w:tcPr>
            <w:tcW w:type="dxa" w:w="1881"/>
            <w:shd w:val="clear" w:color="auto" w:fill="FFFFFF"/>
          </w:tcPr>
          <w:p>
            <w:r>
              <w:rPr>
                <w:b/>
                <w:sz w:val="18"/>
              </w:rPr>
              <w:t>Weak</w:t>
            </w:r>
          </w:p>
        </w:tc>
      </w:tr>
      <w:tr>
        <w:tc>
          <w:tcPr>
            <w:tcW w:type="dxa" w:w="1881"/>
            <w:shd w:val="clear" w:color="auto" w:fill="EEF3F9"/>
          </w:tcPr>
          <w:p>
            <w:r>
              <w:rPr>
                <w:sz w:val="18"/>
              </w:rPr>
              <w:t>V</w:t>
            </w:r>
          </w:p>
        </w:tc>
        <w:tc>
          <w:tcPr>
            <w:tcW w:type="dxa" w:w="1881"/>
            <w:shd w:val="clear" w:color="auto" w:fill="EEF3F9"/>
          </w:tcPr>
          <w:p>
            <w:r>
              <w:rPr>
                <w:sz w:val="18"/>
              </w:rPr>
              <w:t>Wet processing &amp; finishing</w:t>
            </w:r>
          </w:p>
        </w:tc>
        <w:tc>
          <w:tcPr>
            <w:tcW w:type="dxa" w:w="1881"/>
            <w:shd w:val="clear" w:color="auto" w:fill="EEF3F9"/>
          </w:tcPr>
          <w:p>
            <w:r>
              <w:rPr>
                <w:sz w:val="18"/>
              </w:rPr>
              <w:t>Fabric</w:t>
            </w:r>
          </w:p>
        </w:tc>
        <w:tc>
          <w:tcPr>
            <w:tcW w:type="dxa" w:w="1881"/>
            <w:shd w:val="clear" w:color="auto" w:fill="EEF3F9"/>
          </w:tcPr>
          <w:p>
            <w:r>
              <w:rPr>
                <w:sz w:val="18"/>
              </w:rPr>
              <w:t>Dyed/finished fabric</w:t>
            </w:r>
          </w:p>
        </w:tc>
        <w:tc>
          <w:tcPr>
            <w:tcW w:type="dxa" w:w="1881"/>
            <w:shd w:val="clear" w:color="auto" w:fill="EEF3F9"/>
          </w:tcPr>
          <w:p>
            <w:r>
              <w:rPr>
                <w:b/>
                <w:sz w:val="18"/>
              </w:rPr>
              <w:t>Gap</w:t>
            </w:r>
            <w:r>
              <w:rPr>
                <w:sz w:val="18"/>
              </w:rPr>
              <w:t xml:space="preserve"> — key bottleneck</w:t>
            </w:r>
          </w:p>
        </w:tc>
      </w:tr>
      <w:tr>
        <w:tc>
          <w:tcPr>
            <w:tcW w:type="dxa" w:w="1881"/>
            <w:shd w:val="clear" w:color="auto" w:fill="FFFFFF"/>
          </w:tcPr>
          <w:p>
            <w:r>
              <w:rPr>
                <w:sz w:val="18"/>
              </w:rPr>
              <w:t>VI</w:t>
            </w:r>
          </w:p>
        </w:tc>
        <w:tc>
          <w:tcPr>
            <w:tcW w:type="dxa" w:w="1881"/>
            <w:shd w:val="clear" w:color="auto" w:fill="FFFFFF"/>
          </w:tcPr>
          <w:p>
            <w:r>
              <w:rPr>
                <w:sz w:val="18"/>
              </w:rPr>
              <w:t>Garment manufacture</w:t>
            </w:r>
          </w:p>
        </w:tc>
        <w:tc>
          <w:tcPr>
            <w:tcW w:type="dxa" w:w="1881"/>
            <w:shd w:val="clear" w:color="auto" w:fill="FFFFFF"/>
          </w:tcPr>
          <w:p>
            <w:r>
              <w:rPr>
                <w:sz w:val="18"/>
              </w:rPr>
              <w:t>Fabric</w:t>
            </w:r>
          </w:p>
        </w:tc>
        <w:tc>
          <w:tcPr>
            <w:tcW w:type="dxa" w:w="1881"/>
            <w:shd w:val="clear" w:color="auto" w:fill="FFFFFF"/>
          </w:tcPr>
          <w:p>
            <w:r>
              <w:rPr>
                <w:sz w:val="18"/>
              </w:rPr>
              <w:t>Garments, apparel, home textiles</w:t>
            </w:r>
          </w:p>
        </w:tc>
        <w:tc>
          <w:tcPr>
            <w:tcW w:type="dxa" w:w="1881"/>
            <w:shd w:val="clear" w:color="auto" w:fill="FFFFFF"/>
          </w:tcPr>
          <w:p>
            <w:r>
              <w:rPr>
                <w:b/>
                <w:sz w:val="18"/>
              </w:rPr>
              <w:t>Limited</w:t>
            </w:r>
          </w:p>
        </w:tc>
      </w:tr>
    </w:tbl>
    <w:p/>
    <w:p>
      <w:r>
        <w:rPr>
          <w:b/>
        </w:rPr>
        <w:t>Where value is captured and lost.</w:t>
      </w:r>
      <w:r>
        <w:t xml:space="preserve"> Uganda exports roughly </w:t>
      </w:r>
      <w:r>
        <w:rPr>
          <w:b/>
        </w:rPr>
        <w:t>90% of its cotton lint raw at under USD 1/kg</w:t>
      </w:r>
      <w:r>
        <w:t xml:space="preserve"> — about </w:t>
      </w:r>
      <w:r>
        <w:rPr>
          <w:b/>
        </w:rPr>
        <w:t>USD 11.3 million of cotton (HS 5201) in 2024</w:t>
      </w:r>
      <w:r>
        <w:t xml:space="preserve"> (ITC TradeMap) — while only two vertically integrated mills consume the remaining ~10% domestically (CDO; EPRC). It then imports finished textiles and garments (e.g. ~USD 6.7m of knitted T-shirts, HS 6109). The opportunity is to move lint into domestic yarn, fabric and garments.</w:t>
      </w:r>
    </w:p>
    <w:p>
      <w:pPr>
        <w:pStyle w:val="Heading2"/>
      </w:pPr>
      <w:r>
        <w:t>4.B Current Status</w:t>
      </w:r>
    </w:p>
    <w:p>
      <w:pPr>
        <w:pStyle w:val="Heading3"/>
      </w:pPr>
      <w:r>
        <w:t>Status snapshot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Indicator</w:t>
            </w:r>
          </w:p>
        </w:tc>
        <w:tc>
          <w:tcPr>
            <w:tcW w:type="dxa" w:w="3135"/>
            <w:shd w:val="clear" w:color="auto" w:fill="002B5B"/>
          </w:tcPr>
          <w:p>
            <w:r>
              <w:rPr>
                <w:b/>
                <w:color w:val="FFFFFF"/>
                <w:sz w:val="18"/>
              </w:rPr>
              <w:t>Value</w:t>
            </w:r>
          </w:p>
        </w:tc>
        <w:tc>
          <w:tcPr>
            <w:tcW w:type="dxa" w:w="3135"/>
            <w:shd w:val="clear" w:color="auto" w:fill="002B5B"/>
          </w:tcPr>
          <w:p>
            <w:r>
              <w:rPr>
                <w:b/>
                <w:color w:val="FFFFFF"/>
                <w:sz w:val="18"/>
              </w:rPr>
              <w:t>Source</w:t>
            </w:r>
          </w:p>
        </w:tc>
      </w:tr>
      <w:tr>
        <w:tc>
          <w:tcPr>
            <w:tcW w:type="dxa" w:w="3135"/>
            <w:shd w:val="clear" w:color="auto" w:fill="EEF3F9"/>
          </w:tcPr>
          <w:p>
            <w:r>
              <w:rPr>
                <w:sz w:val="18"/>
              </w:rPr>
              <w:t>Cotton output</w:t>
            </w:r>
          </w:p>
        </w:tc>
        <w:tc>
          <w:tcPr>
            <w:tcW w:type="dxa" w:w="3135"/>
            <w:shd w:val="clear" w:color="auto" w:fill="EEF3F9"/>
          </w:tcPr>
          <w:p>
            <w:r>
              <w:rPr>
                <w:sz w:val="18"/>
              </w:rPr>
              <w:t>~116,000 bales (2023); ~130,000 expected 2024; up to ~250,000 in a good year</w:t>
            </w:r>
          </w:p>
        </w:tc>
        <w:tc>
          <w:tcPr>
            <w:tcW w:type="dxa" w:w="3135"/>
            <w:shd w:val="clear" w:color="auto" w:fill="EEF3F9"/>
          </w:tcPr>
          <w:p>
            <w:r>
              <w:rPr>
                <w:sz w:val="18"/>
              </w:rPr>
              <w:t>CDO</w:t>
            </w:r>
          </w:p>
        </w:tc>
      </w:tr>
      <w:tr>
        <w:tc>
          <w:tcPr>
            <w:tcW w:type="dxa" w:w="3135"/>
            <w:shd w:val="clear" w:color="auto" w:fill="FFFFFF"/>
          </w:tcPr>
          <w:p>
            <w:r>
              <w:rPr>
                <w:sz w:val="18"/>
              </w:rPr>
              <w:t>Ginneries</w:t>
            </w:r>
          </w:p>
        </w:tc>
        <w:tc>
          <w:tcPr>
            <w:tcW w:type="dxa" w:w="3135"/>
            <w:shd w:val="clear" w:color="auto" w:fill="FFFFFF"/>
          </w:tcPr>
          <w:p>
            <w:r>
              <w:rPr>
                <w:b/>
                <w:sz w:val="18"/>
              </w:rPr>
              <w:t>39, ~1 million bales/yr capacity — operating at only ~10%</w:t>
            </w:r>
          </w:p>
        </w:tc>
        <w:tc>
          <w:tcPr>
            <w:tcW w:type="dxa" w:w="3135"/>
            <w:shd w:val="clear" w:color="auto" w:fill="FFFFFF"/>
          </w:tcPr>
          <w:p>
            <w:r>
              <w:rPr>
                <w:sz w:val="18"/>
              </w:rPr>
              <w:t>CDO</w:t>
            </w:r>
          </w:p>
        </w:tc>
      </w:tr>
      <w:tr>
        <w:tc>
          <w:tcPr>
            <w:tcW w:type="dxa" w:w="3135"/>
            <w:shd w:val="clear" w:color="auto" w:fill="EEF3F9"/>
          </w:tcPr>
          <w:p>
            <w:r>
              <w:rPr>
                <w:sz w:val="18"/>
              </w:rPr>
              <w:t>Integrated mills</w:t>
            </w:r>
          </w:p>
        </w:tc>
        <w:tc>
          <w:tcPr>
            <w:tcW w:type="dxa" w:w="3135"/>
            <w:shd w:val="clear" w:color="auto" w:fill="EEF3F9"/>
          </w:tcPr>
          <w:p>
            <w:r>
              <w:rPr>
                <w:b/>
                <w:sz w:val="18"/>
              </w:rPr>
              <w:t>2</w:t>
            </w:r>
            <w:r>
              <w:rPr>
                <w:sz w:val="18"/>
              </w:rPr>
              <w:t xml:space="preserve"> (Nytil; Fine Spinners) — ~10% of lint; ~USD 50m turnover</w:t>
            </w:r>
          </w:p>
        </w:tc>
        <w:tc>
          <w:tcPr>
            <w:tcW w:type="dxa" w:w="3135"/>
            <w:shd w:val="clear" w:color="auto" w:fill="EEF3F9"/>
          </w:tcPr>
          <w:p>
            <w:r>
              <w:rPr>
                <w:sz w:val="18"/>
              </w:rPr>
              <w:t>CDO; UIA</w:t>
            </w:r>
          </w:p>
        </w:tc>
      </w:tr>
      <w:tr>
        <w:tc>
          <w:tcPr>
            <w:tcW w:type="dxa" w:w="3135"/>
            <w:shd w:val="clear" w:color="auto" w:fill="FFFFFF"/>
          </w:tcPr>
          <w:p>
            <w:r>
              <w:rPr>
                <w:sz w:val="18"/>
              </w:rPr>
              <w:t>Employment (Fine Spinners + outgrowers)</w:t>
            </w:r>
          </w:p>
        </w:tc>
        <w:tc>
          <w:tcPr>
            <w:tcW w:type="dxa" w:w="3135"/>
            <w:shd w:val="clear" w:color="auto" w:fill="FFFFFF"/>
          </w:tcPr>
          <w:p>
            <w:r>
              <w:rPr>
                <w:sz w:val="18"/>
              </w:rPr>
              <w:t>~18,000</w:t>
            </w:r>
          </w:p>
        </w:tc>
        <w:tc>
          <w:tcPr>
            <w:tcW w:type="dxa" w:w="3135"/>
            <w:shd w:val="clear" w:color="auto" w:fill="FFFFFF"/>
          </w:tcPr>
          <w:p>
            <w:r>
              <w:rPr>
                <w:sz w:val="18"/>
              </w:rPr>
              <w:t>ChimpReports; UIA</w:t>
            </w:r>
          </w:p>
        </w:tc>
      </w:tr>
      <w:tr>
        <w:tc>
          <w:tcPr>
            <w:tcW w:type="dxa" w:w="3135"/>
            <w:shd w:val="clear" w:color="auto" w:fill="EEF3F9"/>
          </w:tcPr>
          <w:p>
            <w:r>
              <w:rPr>
                <w:sz w:val="18"/>
              </w:rPr>
              <w:t>Lint exports</w:t>
            </w:r>
          </w:p>
        </w:tc>
        <w:tc>
          <w:tcPr>
            <w:tcW w:type="dxa" w:w="3135"/>
            <w:shd w:val="clear" w:color="auto" w:fill="EEF3F9"/>
          </w:tcPr>
          <w:p>
            <w:r>
              <w:rPr>
                <w:sz w:val="18"/>
              </w:rPr>
              <w:t>~USD 11.3m (HS 5201, 2024)</w:t>
            </w:r>
          </w:p>
        </w:tc>
        <w:tc>
          <w:tcPr>
            <w:tcW w:type="dxa" w:w="3135"/>
            <w:shd w:val="clear" w:color="auto" w:fill="EEF3F9"/>
          </w:tcPr>
          <w:p>
            <w:r>
              <w:rPr>
                <w:sz w:val="18"/>
              </w:rPr>
              <w:t>ITC TradeMap</w:t>
            </w:r>
          </w:p>
        </w:tc>
      </w:tr>
      <w:tr>
        <w:tc>
          <w:tcPr>
            <w:tcW w:type="dxa" w:w="3135"/>
            <w:shd w:val="clear" w:color="auto" w:fill="FFFFFF"/>
          </w:tcPr>
          <w:p>
            <w:r>
              <w:rPr>
                <w:sz w:val="18"/>
              </w:rPr>
              <w:t>Garment imports (indicative)</w:t>
            </w:r>
          </w:p>
        </w:tc>
        <w:tc>
          <w:tcPr>
            <w:tcW w:type="dxa" w:w="3135"/>
            <w:shd w:val="clear" w:color="auto" w:fill="FFFFFF"/>
          </w:tcPr>
          <w:p>
            <w:r>
              <w:rPr>
                <w:sz w:val="18"/>
              </w:rPr>
              <w:t>~USD 6.7m knitted T-shirts (HS 6109) + broader apparel</w:t>
            </w:r>
          </w:p>
        </w:tc>
        <w:tc>
          <w:tcPr>
            <w:tcW w:type="dxa" w:w="3135"/>
            <w:shd w:val="clear" w:color="auto" w:fill="FFFFFF"/>
          </w:tcPr>
          <w:p>
            <w:r>
              <w:rPr>
                <w:sz w:val="18"/>
              </w:rPr>
              <w:t>ITC TradeMap</w:t>
            </w:r>
          </w:p>
        </w:tc>
      </w:tr>
    </w:tbl>
    <w:p/>
    <w:p>
      <w:r>
        <w:rPr>
          <w:b/>
        </w:rPr>
        <w:t>Cotton production.</w:t>
      </w:r>
      <w:r>
        <w:t xml:space="preserve"> ~</w:t>
      </w:r>
      <w:r>
        <w:rPr>
          <w:b/>
        </w:rPr>
        <w:t>116,000 bales in 2023</w:t>
      </w:r>
      <w:r>
        <w:t xml:space="preserve"> (≈200 kg lint each), ~130,000 expected 2024, against good-year potential up to 250,000 (CDO). </w:t>
      </w:r>
      <w:r>
        <w:rPr>
          <w:b/>
        </w:rPr>
        <w:t>39 ginneries</w:t>
      </w:r>
      <w:r>
        <w:t xml:space="preserve"> hold capacity near one million bales/year but run at only </w:t>
      </w:r>
      <w:r>
        <w:rPr>
          <w:b/>
        </w:rPr>
        <w:t>~10%</w:t>
      </w:r>
      <w:r>
        <w:t xml:space="preserve"> — a striking under-utilisation.</w:t>
      </w:r>
    </w:p>
    <w:p>
      <w:r>
        <w:rPr>
          <w:b/>
        </w:rPr>
        <w:t>Mills and value addition.</w:t>
      </w:r>
      <w:r>
        <w:t xml:space="preserve"> Two vertically integrated mills — </w:t>
      </w:r>
      <w:r>
        <w:rPr>
          <w:b/>
        </w:rPr>
        <w:t>Southern Range Nyanza (Nytil)</w:t>
      </w:r>
      <w:r>
        <w:t xml:space="preserve"> and </w:t>
      </w:r>
      <w:r>
        <w:rPr>
          <w:b/>
        </w:rPr>
        <w:t>Fine Spinners Ltd</w:t>
      </w:r>
      <w:r>
        <w:t xml:space="preserve"> — consume ~10% of national lint and generate ~</w:t>
      </w:r>
      <w:r>
        <w:rPr>
          <w:b/>
        </w:rPr>
        <w:t>USD 50m turnover</w:t>
      </w:r>
      <w:r>
        <w:t xml:space="preserve">; Fine Spinners alone is associated with ~18,000 jobs across operations and outgrowers (UIA). New investment includes the </w:t>
      </w:r>
      <w:r>
        <w:rPr>
          <w:b/>
        </w:rPr>
        <w:t>Lira spinning facility</w:t>
      </w:r>
      <w:r>
        <w:t xml:space="preserve"> under the cotton-development programme.</w:t>
      </w:r>
    </w:p>
    <w:p>
      <w:r>
        <w:rPr>
          <w:b/>
        </w:rPr>
        <w:t>Trade position.</w:t>
      </w:r>
      <w:r>
        <w:t xml:space="preserve"> Net </w:t>
      </w:r>
      <w:r>
        <w:rPr>
          <w:b/>
        </w:rPr>
        <w:t>exporter of raw lint</w:t>
      </w:r>
      <w:r>
        <w:t xml:space="preserve"> and net </w:t>
      </w:r>
      <w:r>
        <w:rPr>
          <w:b/>
        </w:rPr>
        <w:t>importer of finished textiles/garments</w:t>
      </w:r>
      <w:r>
        <w:t xml:space="preserve"> — the inverse of a value-adding industry.</w:t>
      </w:r>
    </w:p>
    <w:p>
      <w:pPr>
        <w:pStyle w:val="Heading2"/>
      </w:pPr>
      <w:r>
        <w:t>4.C Market Analysis (four levels) and 2040 Projection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Level</w:t>
            </w:r>
          </w:p>
        </w:tc>
        <w:tc>
          <w:tcPr>
            <w:tcW w:type="dxa" w:w="3135"/>
            <w:shd w:val="clear" w:color="auto" w:fill="002B5B"/>
          </w:tcPr>
          <w:p>
            <w:r>
              <w:rPr>
                <w:b/>
                <w:color w:val="FFFFFF"/>
                <w:sz w:val="18"/>
              </w:rPr>
              <w:t>Size / Uganda position</w:t>
            </w:r>
          </w:p>
        </w:tc>
        <w:tc>
          <w:tcPr>
            <w:tcW w:type="dxa" w:w="3135"/>
            <w:shd w:val="clear" w:color="auto" w:fill="002B5B"/>
          </w:tcPr>
          <w:p>
            <w:r>
              <w:rPr>
                <w:b/>
                <w:color w:val="FFFFFF"/>
                <w:sz w:val="18"/>
              </w:rPr>
              <w:t>Drivers</w:t>
            </w:r>
          </w:p>
        </w:tc>
      </w:tr>
      <w:tr>
        <w:tc>
          <w:tcPr>
            <w:tcW w:type="dxa" w:w="3135"/>
            <w:shd w:val="clear" w:color="auto" w:fill="EEF3F9"/>
          </w:tcPr>
          <w:p>
            <w:r>
              <w:rPr>
                <w:b/>
                <w:sz w:val="18"/>
              </w:rPr>
              <w:t>Uganda (domestic)</w:t>
            </w:r>
          </w:p>
        </w:tc>
        <w:tc>
          <w:tcPr>
            <w:tcW w:type="dxa" w:w="3135"/>
            <w:shd w:val="clear" w:color="auto" w:fill="EEF3F9"/>
          </w:tcPr>
          <w:p>
            <w:r>
              <w:rPr>
                <w:sz w:val="18"/>
              </w:rPr>
              <w:t>Apparel/uniforms/home-textiles demand met largely by imports + used clothing; institutional demand addressable</w:t>
            </w:r>
          </w:p>
        </w:tc>
        <w:tc>
          <w:tcPr>
            <w:tcW w:type="dxa" w:w="3135"/>
            <w:shd w:val="clear" w:color="auto" w:fill="EEF3F9"/>
          </w:tcPr>
          <w:p>
            <w:r>
              <w:rPr>
                <w:sz w:val="18"/>
              </w:rPr>
              <w:t>Population, incomes, institutional procurement</w:t>
            </w:r>
          </w:p>
        </w:tc>
      </w:tr>
      <w:tr>
        <w:tc>
          <w:tcPr>
            <w:tcW w:type="dxa" w:w="3135"/>
            <w:shd w:val="clear" w:color="auto" w:fill="FFFFFF"/>
          </w:tcPr>
          <w:p>
            <w:r>
              <w:rPr>
                <w:b/>
                <w:sz w:val="18"/>
              </w:rPr>
              <w:t>Regional (EAC + COMESA)</w:t>
            </w:r>
          </w:p>
        </w:tc>
        <w:tc>
          <w:tcPr>
            <w:tcW w:type="dxa" w:w="3135"/>
            <w:shd w:val="clear" w:color="auto" w:fill="FFFFFF"/>
          </w:tcPr>
          <w:p>
            <w:r>
              <w:rPr>
                <w:sz w:val="18"/>
              </w:rPr>
              <w:t>Accessible apparel/fabric markets; Uganda's cotton base is an advantage if processed</w:t>
            </w:r>
          </w:p>
        </w:tc>
        <w:tc>
          <w:tcPr>
            <w:tcW w:type="dxa" w:w="3135"/>
            <w:shd w:val="clear" w:color="auto" w:fill="FFFFFF"/>
          </w:tcPr>
          <w:p>
            <w:r>
              <w:rPr>
                <w:sz w:val="18"/>
              </w:rPr>
              <w:t>Regional demand; EAC integration</w:t>
            </w:r>
          </w:p>
        </w:tc>
      </w:tr>
      <w:tr>
        <w:tc>
          <w:tcPr>
            <w:tcW w:type="dxa" w:w="3135"/>
            <w:shd w:val="clear" w:color="auto" w:fill="EEF3F9"/>
          </w:tcPr>
          <w:p>
            <w:r>
              <w:rPr>
                <w:b/>
                <w:sz w:val="18"/>
              </w:rPr>
              <w:t>Continental (Africa)</w:t>
            </w:r>
          </w:p>
        </w:tc>
        <w:tc>
          <w:tcPr>
            <w:tcW w:type="dxa" w:w="3135"/>
            <w:shd w:val="clear" w:color="auto" w:fill="EEF3F9"/>
          </w:tcPr>
          <w:p>
            <w:r>
              <w:rPr>
                <w:sz w:val="18"/>
              </w:rPr>
              <w:t>Large apparel market; AGOA/AfCFTA access for garments</w:t>
            </w:r>
          </w:p>
        </w:tc>
        <w:tc>
          <w:tcPr>
            <w:tcW w:type="dxa" w:w="3135"/>
            <w:shd w:val="clear" w:color="auto" w:fill="EEF3F9"/>
          </w:tcPr>
          <w:p>
            <w:r>
              <w:rPr>
                <w:sz w:val="18"/>
              </w:rPr>
              <w:t>Africa's young population; preferential access</w:t>
            </w:r>
          </w:p>
        </w:tc>
      </w:tr>
      <w:tr>
        <w:tc>
          <w:tcPr>
            <w:tcW w:type="dxa" w:w="3135"/>
            <w:shd w:val="clear" w:color="auto" w:fill="FFFFFF"/>
          </w:tcPr>
          <w:p>
            <w:r>
              <w:rPr>
                <w:b/>
                <w:sz w:val="18"/>
              </w:rPr>
              <w:t>Global</w:t>
            </w:r>
          </w:p>
        </w:tc>
        <w:tc>
          <w:tcPr>
            <w:tcW w:type="dxa" w:w="3135"/>
            <w:shd w:val="clear" w:color="auto" w:fill="FFFFFF"/>
          </w:tcPr>
          <w:p>
            <w:r>
              <w:rPr>
                <w:sz w:val="18"/>
              </w:rPr>
              <w:t xml:space="preserve">Asia-dominated commodity textiles; Uganda's niche is </w:t>
            </w:r>
            <w:r>
              <w:rPr>
                <w:b/>
                <w:sz w:val="18"/>
              </w:rPr>
              <w:t>organic/traceable cotton &amp; specialty apparel</w:t>
            </w:r>
          </w:p>
        </w:tc>
        <w:tc>
          <w:tcPr>
            <w:tcW w:type="dxa" w:w="3135"/>
            <w:shd w:val="clear" w:color="auto" w:fill="FFFFFF"/>
          </w:tcPr>
          <w:p>
            <w:r>
              <w:rPr>
                <w:sz w:val="18"/>
              </w:rPr>
              <w:t>Sustainability-driven sourcing</w:t>
            </w:r>
          </w:p>
        </w:tc>
      </w:tr>
    </w:tbl>
    <w:p/>
    <w:p>
      <w:pPr>
        <w:pStyle w:val="Heading3"/>
      </w:pPr>
      <w:r>
        <w:t>2040 projection — Tenfold logic</w:t>
      </w:r>
    </w:p>
    <w:p>
      <w:r>
        <w:t xml:space="preserve">A ten-times-larger, more urban, higher-income Uganda implies a </w:t>
      </w:r>
      <w:r>
        <w:rPr>
          <w:b/>
        </w:rPr>
        <w:t>multi-fold increase in apparel and home-textile demand</w:t>
      </w:r>
      <w:r>
        <w:t xml:space="preserve">, and the chance to convert today's ~1m-bale ginning capacity (only 10% used) into a full spinning-to-garment industry. If Uganda processes even half its lint domestically and supplies regional markets, the textiles-and-garments sector could become one of the largest manufacturing employers by 2040. Other markets grow on business-as-usual; Uganda's external plays are </w:t>
      </w:r>
      <w:r>
        <w:rPr>
          <w:b/>
        </w:rPr>
        <w:t>regional garments/fabric</w:t>
      </w:r>
      <w:r>
        <w:t xml:space="preserve"> and </w:t>
      </w:r>
      <w:r>
        <w:rPr>
          <w:b/>
        </w:rPr>
        <w:t>premium organic cotton</w:t>
      </w:r>
      <w:r>
        <w:t xml:space="preserve"> globally — not commodity volume.</w:t>
      </w:r>
    </w:p>
    <w:p>
      <w:pPr>
        <w:pStyle w:val="Heading2"/>
      </w:pPr>
      <w:r>
        <w:t>4.D Binding Constraints — Weighted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w:t>
            </w:r>
          </w:p>
        </w:tc>
        <w:tc>
          <w:tcPr>
            <w:tcW w:type="dxa" w:w="2351"/>
            <w:shd w:val="clear" w:color="auto" w:fill="002B5B"/>
          </w:tcPr>
          <w:p>
            <w:r>
              <w:rPr>
                <w:b/>
                <w:color w:val="FFFFFF"/>
                <w:sz w:val="18"/>
              </w:rPr>
              <w:t>Constraint (category)</w:t>
            </w:r>
          </w:p>
        </w:tc>
        <w:tc>
          <w:tcPr>
            <w:tcW w:type="dxa" w:w="2351"/>
            <w:shd w:val="clear" w:color="auto" w:fill="002B5B"/>
          </w:tcPr>
          <w:p>
            <w:r>
              <w:rPr>
                <w:b/>
                <w:color w:val="FFFFFF"/>
                <w:sz w:val="18"/>
              </w:rPr>
              <w:t>Weight</w:t>
            </w:r>
          </w:p>
        </w:tc>
        <w:tc>
          <w:tcPr>
            <w:tcW w:type="dxa" w:w="2351"/>
            <w:shd w:val="clear" w:color="auto" w:fill="002B5B"/>
          </w:tcPr>
          <w:p>
            <w:r>
              <w:rPr>
                <w:b/>
                <w:color w:val="FFFFFF"/>
                <w:sz w:val="18"/>
              </w:rPr>
              <w:t>Evidence / gravity</w:t>
            </w:r>
          </w:p>
        </w:tc>
      </w:tr>
      <w:tr>
        <w:tc>
          <w:tcPr>
            <w:tcW w:type="dxa" w:w="2351"/>
            <w:shd w:val="clear" w:color="auto" w:fill="EEF3F9"/>
          </w:tcPr>
          <w:p>
            <w:r>
              <w:rPr>
                <w:sz w:val="18"/>
              </w:rPr>
              <w:t>1</w:t>
            </w:r>
          </w:p>
        </w:tc>
        <w:tc>
          <w:tcPr>
            <w:tcW w:type="dxa" w:w="2351"/>
            <w:shd w:val="clear" w:color="auto" w:fill="EEF3F9"/>
          </w:tcPr>
          <w:p>
            <w:r>
              <w:rPr>
                <w:b/>
                <w:sz w:val="18"/>
              </w:rPr>
              <w:t>Wet-processing/finishing gap (technology/inputs)</w:t>
            </w:r>
          </w:p>
        </w:tc>
        <w:tc>
          <w:tcPr>
            <w:tcW w:type="dxa" w:w="2351"/>
            <w:shd w:val="clear" w:color="auto" w:fill="EEF3F9"/>
          </w:tcPr>
          <w:p>
            <w:r>
              <w:rPr>
                <w:b/>
                <w:sz w:val="18"/>
              </w:rPr>
              <w:t>5</w:t>
            </w:r>
          </w:p>
        </w:tc>
        <w:tc>
          <w:tcPr>
            <w:tcW w:type="dxa" w:w="2351"/>
            <w:shd w:val="clear" w:color="auto" w:fill="EEF3F9"/>
          </w:tcPr>
          <w:p>
            <w:r>
              <w:rPr>
                <w:sz w:val="18"/>
              </w:rPr>
              <w:t>Dyeing/finishing is the key missing midstream; without it, fabric and garments can't scale</w:t>
            </w:r>
          </w:p>
        </w:tc>
      </w:tr>
      <w:tr>
        <w:tc>
          <w:tcPr>
            <w:tcW w:type="dxa" w:w="2351"/>
            <w:shd w:val="clear" w:color="auto" w:fill="FFFFFF"/>
          </w:tcPr>
          <w:p>
            <w:r>
              <w:rPr>
                <w:sz w:val="18"/>
              </w:rPr>
              <w:t>2</w:t>
            </w:r>
          </w:p>
        </w:tc>
        <w:tc>
          <w:tcPr>
            <w:tcW w:type="dxa" w:w="2351"/>
            <w:shd w:val="clear" w:color="auto" w:fill="FFFFFF"/>
          </w:tcPr>
          <w:p>
            <w:r>
              <w:rPr>
                <w:b/>
                <w:sz w:val="18"/>
              </w:rPr>
              <w:t>Used-clothing (mivumba) competition (policy)</w:t>
            </w:r>
          </w:p>
        </w:tc>
        <w:tc>
          <w:tcPr>
            <w:tcW w:type="dxa" w:w="2351"/>
            <w:shd w:val="clear" w:color="auto" w:fill="FFFFFF"/>
          </w:tcPr>
          <w:p>
            <w:r>
              <w:rPr>
                <w:b/>
                <w:sz w:val="18"/>
              </w:rPr>
              <w:t>4</w:t>
            </w:r>
          </w:p>
        </w:tc>
        <w:tc>
          <w:tcPr>
            <w:tcW w:type="dxa" w:w="2351"/>
            <w:shd w:val="clear" w:color="auto" w:fill="FFFFFF"/>
          </w:tcPr>
          <w:p>
            <w:r>
              <w:rPr>
                <w:sz w:val="18"/>
              </w:rPr>
              <w:t>Used-clothing imports directly undercut domestic garments; EAC policy is decisive</w:t>
            </w:r>
          </w:p>
        </w:tc>
      </w:tr>
      <w:tr>
        <w:tc>
          <w:tcPr>
            <w:tcW w:type="dxa" w:w="2351"/>
            <w:shd w:val="clear" w:color="auto" w:fill="EEF3F9"/>
          </w:tcPr>
          <w:p>
            <w:r>
              <w:rPr>
                <w:sz w:val="18"/>
              </w:rPr>
              <w:t>3</w:t>
            </w:r>
          </w:p>
        </w:tc>
        <w:tc>
          <w:tcPr>
            <w:tcW w:type="dxa" w:w="2351"/>
            <w:shd w:val="clear" w:color="auto" w:fill="EEF3F9"/>
          </w:tcPr>
          <w:p>
            <w:r>
              <w:rPr>
                <w:b/>
                <w:sz w:val="18"/>
              </w:rPr>
              <w:t>Cotton output volatility &amp; yields (inputs)</w:t>
            </w:r>
          </w:p>
        </w:tc>
        <w:tc>
          <w:tcPr>
            <w:tcW w:type="dxa" w:w="2351"/>
            <w:shd w:val="clear" w:color="auto" w:fill="EEF3F9"/>
          </w:tcPr>
          <w:p>
            <w:r>
              <w:rPr>
                <w:b/>
                <w:sz w:val="18"/>
              </w:rPr>
              <w:t>4</w:t>
            </w:r>
          </w:p>
        </w:tc>
        <w:tc>
          <w:tcPr>
            <w:tcW w:type="dxa" w:w="2351"/>
            <w:shd w:val="clear" w:color="auto" w:fill="EEF3F9"/>
          </w:tcPr>
          <w:p>
            <w:r>
              <w:rPr>
                <w:sz w:val="18"/>
              </w:rPr>
              <w:t>Output well below the ~1m-bale capacity (only ~10% used); seed quality/agronomy limit yields</w:t>
            </w:r>
          </w:p>
        </w:tc>
      </w:tr>
      <w:tr>
        <w:tc>
          <w:tcPr>
            <w:tcW w:type="dxa" w:w="2351"/>
            <w:shd w:val="clear" w:color="auto" w:fill="FFFFFF"/>
          </w:tcPr>
          <w:p>
            <w:r>
              <w:rPr>
                <w:sz w:val="18"/>
              </w:rPr>
              <w:t>4</w:t>
            </w:r>
          </w:p>
        </w:tc>
        <w:tc>
          <w:tcPr>
            <w:tcW w:type="dxa" w:w="2351"/>
            <w:shd w:val="clear" w:color="auto" w:fill="FFFFFF"/>
          </w:tcPr>
          <w:p>
            <w:r>
              <w:rPr>
                <w:b/>
                <w:sz w:val="18"/>
              </w:rPr>
              <w:t>Capital for spinning/weaving (finance)</w:t>
            </w:r>
          </w:p>
        </w:tc>
        <w:tc>
          <w:tcPr>
            <w:tcW w:type="dxa" w:w="2351"/>
            <w:shd w:val="clear" w:color="auto" w:fill="FFFFFF"/>
          </w:tcPr>
          <w:p>
            <w:r>
              <w:rPr>
                <w:b/>
                <w:sz w:val="18"/>
              </w:rPr>
              <w:t>4</w:t>
            </w:r>
          </w:p>
        </w:tc>
        <w:tc>
          <w:tcPr>
            <w:tcW w:type="dxa" w:w="2351"/>
            <w:shd w:val="clear" w:color="auto" w:fill="FFFFFF"/>
          </w:tcPr>
          <w:p>
            <w:r>
              <w:rPr>
                <w:sz w:val="18"/>
              </w:rPr>
              <w:t>Mills are capital-intensive; long-term finance scarce and costly</w:t>
            </w:r>
          </w:p>
        </w:tc>
      </w:tr>
      <w:tr>
        <w:tc>
          <w:tcPr>
            <w:tcW w:type="dxa" w:w="2351"/>
            <w:shd w:val="clear" w:color="auto" w:fill="EEF3F9"/>
          </w:tcPr>
          <w:p>
            <w:r>
              <w:rPr>
                <w:sz w:val="18"/>
              </w:rPr>
              <w:t>5</w:t>
            </w:r>
          </w:p>
        </w:tc>
        <w:tc>
          <w:tcPr>
            <w:tcW w:type="dxa" w:w="2351"/>
            <w:shd w:val="clear" w:color="auto" w:fill="EEF3F9"/>
          </w:tcPr>
          <w:p>
            <w:r>
              <w:rPr>
                <w:b/>
                <w:sz w:val="18"/>
              </w:rPr>
              <w:t>Water &amp; effluent for wet-processing (water/waste)</w:t>
            </w:r>
          </w:p>
        </w:tc>
        <w:tc>
          <w:tcPr>
            <w:tcW w:type="dxa" w:w="2351"/>
            <w:shd w:val="clear" w:color="auto" w:fill="EEF3F9"/>
          </w:tcPr>
          <w:p>
            <w:r>
              <w:rPr>
                <w:b/>
                <w:sz w:val="18"/>
              </w:rPr>
              <w:t>3</w:t>
            </w:r>
          </w:p>
        </w:tc>
        <w:tc>
          <w:tcPr>
            <w:tcW w:type="dxa" w:w="2351"/>
            <w:shd w:val="clear" w:color="auto" w:fill="EEF3F9"/>
          </w:tcPr>
          <w:p>
            <w:r>
              <w:rPr>
                <w:sz w:val="18"/>
              </w:rPr>
              <w:t>Dyeing needs reliable, treatable water; NEMA effluent compliance is a cost and constraint</w:t>
            </w:r>
          </w:p>
        </w:tc>
      </w:tr>
      <w:tr>
        <w:tc>
          <w:tcPr>
            <w:tcW w:type="dxa" w:w="2351"/>
            <w:shd w:val="clear" w:color="auto" w:fill="FFFFFF"/>
          </w:tcPr>
          <w:p>
            <w:r>
              <w:rPr>
                <w:sz w:val="18"/>
              </w:rPr>
              <w:t>6</w:t>
            </w:r>
          </w:p>
        </w:tc>
        <w:tc>
          <w:tcPr>
            <w:tcW w:type="dxa" w:w="2351"/>
            <w:shd w:val="clear" w:color="auto" w:fill="FFFFFF"/>
          </w:tcPr>
          <w:p>
            <w:r>
              <w:rPr>
                <w:b/>
                <w:sz w:val="18"/>
              </w:rPr>
              <w:t>Skills (skills)</w:t>
            </w:r>
          </w:p>
        </w:tc>
        <w:tc>
          <w:tcPr>
            <w:tcW w:type="dxa" w:w="2351"/>
            <w:shd w:val="clear" w:color="auto" w:fill="FFFFFF"/>
          </w:tcPr>
          <w:p>
            <w:r>
              <w:rPr>
                <w:b/>
                <w:sz w:val="18"/>
              </w:rPr>
              <w:t>3</w:t>
            </w:r>
          </w:p>
        </w:tc>
        <w:tc>
          <w:tcPr>
            <w:tcW w:type="dxa" w:w="2351"/>
            <w:shd w:val="clear" w:color="auto" w:fill="FFFFFF"/>
          </w:tcPr>
          <w:p>
            <w:r>
              <w:rPr>
                <w:sz w:val="18"/>
              </w:rPr>
              <w:t>Textile-engineering/supervisory skills limited; garment work is trainable and job-rich</w:t>
            </w:r>
          </w:p>
        </w:tc>
      </w:tr>
      <w:tr>
        <w:tc>
          <w:tcPr>
            <w:tcW w:type="dxa" w:w="2351"/>
            <w:shd w:val="clear" w:color="auto" w:fill="EEF3F9"/>
          </w:tcPr>
          <w:p>
            <w:r>
              <w:rPr>
                <w:sz w:val="18"/>
              </w:rPr>
              <w:t>7</w:t>
            </w:r>
          </w:p>
        </w:tc>
        <w:tc>
          <w:tcPr>
            <w:tcW w:type="dxa" w:w="2351"/>
            <w:shd w:val="clear" w:color="auto" w:fill="EEF3F9"/>
          </w:tcPr>
          <w:p>
            <w:r>
              <w:rPr>
                <w:b/>
                <w:sz w:val="18"/>
              </w:rPr>
              <w:t>Logistics (infrastructure)</w:t>
            </w:r>
          </w:p>
        </w:tc>
        <w:tc>
          <w:tcPr>
            <w:tcW w:type="dxa" w:w="2351"/>
            <w:shd w:val="clear" w:color="auto" w:fill="EEF3F9"/>
          </w:tcPr>
          <w:p>
            <w:r>
              <w:rPr>
                <w:b/>
                <w:sz w:val="18"/>
              </w:rPr>
              <w:t>3</w:t>
            </w:r>
          </w:p>
        </w:tc>
        <w:tc>
          <w:tcPr>
            <w:tcW w:type="dxa" w:w="2351"/>
            <w:shd w:val="clear" w:color="auto" w:fill="EEF3F9"/>
          </w:tcPr>
          <w:p>
            <w:r>
              <w:rPr>
                <w:sz w:val="18"/>
              </w:rPr>
              <w:t>Landlocked costs (~18–20% of sale price) vs. Asian exporters</w:t>
            </w:r>
          </w:p>
        </w:tc>
      </w:tr>
      <w:tr>
        <w:tc>
          <w:tcPr>
            <w:tcW w:type="dxa" w:w="2351"/>
            <w:shd w:val="clear" w:color="auto" w:fill="FFFFFF"/>
          </w:tcPr>
          <w:p>
            <w:r>
              <w:rPr>
                <w:sz w:val="18"/>
              </w:rPr>
              <w:t>8</w:t>
            </w:r>
          </w:p>
        </w:tc>
        <w:tc>
          <w:tcPr>
            <w:tcW w:type="dxa" w:w="2351"/>
            <w:shd w:val="clear" w:color="auto" w:fill="FFFFFF"/>
          </w:tcPr>
          <w:p>
            <w:r>
              <w:rPr>
                <w:b/>
                <w:sz w:val="18"/>
              </w:rPr>
              <w:t>Standards &amp; consistency (standards)</w:t>
            </w:r>
          </w:p>
        </w:tc>
        <w:tc>
          <w:tcPr>
            <w:tcW w:type="dxa" w:w="2351"/>
            <w:shd w:val="clear" w:color="auto" w:fill="FFFFFF"/>
          </w:tcPr>
          <w:p>
            <w:r>
              <w:rPr>
                <w:b/>
                <w:sz w:val="18"/>
              </w:rPr>
              <w:t>2</w:t>
            </w:r>
          </w:p>
        </w:tc>
        <w:tc>
          <w:tcPr>
            <w:tcW w:type="dxa" w:w="2351"/>
            <w:shd w:val="clear" w:color="auto" w:fill="FFFFFF"/>
          </w:tcPr>
          <w:p>
            <w:r>
              <w:rPr>
                <w:sz w:val="18"/>
              </w:rPr>
              <w:t>Quality consistency needed for export/regional markets</w:t>
            </w:r>
          </w:p>
        </w:tc>
      </w:tr>
    </w:tbl>
    <w:p/>
    <w:p>
      <w:r>
        <w:t xml:space="preserve">The decisive lever is building </w:t>
      </w:r>
      <w:r>
        <w:rPr>
          <w:b/>
        </w:rPr>
        <w:t>wet-processing/finishing</w:t>
      </w:r>
      <w:r>
        <w:t xml:space="preserve"> capacity (so domestic lint can become finished fabric and garments) while curbing used-clothing competition and raising cotton yields to fill idle ginning capacity.</w:t>
      </w:r>
    </w:p>
    <w:p>
      <w:pPr>
        <w:pStyle w:val="Heading2"/>
      </w:pPr>
      <w:r>
        <w:t>4.E Greening &amp; Sustainability</w:t>
      </w:r>
    </w:p>
    <w:p>
      <w:r>
        <w:t xml:space="preserve">Sustainability is a </w:t>
      </w:r>
      <w:r>
        <w:rPr>
          <w:b/>
        </w:rPr>
        <w:t>market-access advantage</w:t>
      </w:r>
      <w:r>
        <w:t xml:space="preserve"> in textiles: global and regional buyers increasingly demand traceable, low-impact cotton and clean wet-processing.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Dimension</w:t>
            </w:r>
          </w:p>
        </w:tc>
        <w:tc>
          <w:tcPr>
            <w:tcW w:type="dxa" w:w="4703"/>
            <w:shd w:val="clear" w:color="auto" w:fill="002B5B"/>
          </w:tcPr>
          <w:p>
            <w:r>
              <w:rPr>
                <w:b/>
                <w:color w:val="FFFFFF"/>
                <w:sz w:val="18"/>
              </w:rPr>
              <w:t>Status / opportunity</w:t>
            </w:r>
          </w:p>
        </w:tc>
      </w:tr>
      <w:tr>
        <w:tc>
          <w:tcPr>
            <w:tcW w:type="dxa" w:w="4703"/>
            <w:shd w:val="clear" w:color="auto" w:fill="EEF3F9"/>
          </w:tcPr>
          <w:p>
            <w:r>
              <w:rPr>
                <w:b/>
                <w:sz w:val="18"/>
              </w:rPr>
              <w:t>Current status</w:t>
            </w:r>
          </w:p>
        </w:tc>
        <w:tc>
          <w:tcPr>
            <w:tcW w:type="dxa" w:w="4703"/>
            <w:shd w:val="clear" w:color="auto" w:fill="EEF3F9"/>
          </w:tcPr>
          <w:p>
            <w:r>
              <w:rPr>
                <w:sz w:val="18"/>
              </w:rPr>
              <w:t>Largely rain-fed smallholder cotton (naturally low-input); wet-processing effluent is the main impact point</w:t>
            </w:r>
          </w:p>
        </w:tc>
      </w:tr>
      <w:tr>
        <w:tc>
          <w:tcPr>
            <w:tcW w:type="dxa" w:w="4703"/>
            <w:shd w:val="clear" w:color="auto" w:fill="FFFFFF"/>
          </w:tcPr>
          <w:p>
            <w:r>
              <w:rPr>
                <w:b/>
                <w:sz w:val="18"/>
              </w:rPr>
              <w:t>Current solutions</w:t>
            </w:r>
          </w:p>
        </w:tc>
        <w:tc>
          <w:tcPr>
            <w:tcW w:type="dxa" w:w="4703"/>
            <w:shd w:val="clear" w:color="auto" w:fill="FFFFFF"/>
          </w:tcPr>
          <w:p>
            <w:r>
              <w:rPr>
                <w:sz w:val="18"/>
              </w:rPr>
              <w:t>NEMA effluent regulation; outgrower models; cottonseed by-product use (oil, cake)</w:t>
            </w:r>
          </w:p>
        </w:tc>
      </w:tr>
      <w:tr>
        <w:tc>
          <w:tcPr>
            <w:tcW w:type="dxa" w:w="4703"/>
            <w:shd w:val="clear" w:color="auto" w:fill="EEF3F9"/>
          </w:tcPr>
          <w:p>
            <w:r>
              <w:rPr>
                <w:b/>
                <w:sz w:val="18"/>
              </w:rPr>
              <w:t>Emerging solutions (competitiveness enablers)</w:t>
            </w:r>
          </w:p>
        </w:tc>
        <w:tc>
          <w:tcPr>
            <w:tcW w:type="dxa" w:w="4703"/>
            <w:shd w:val="clear" w:color="auto" w:fill="EEF3F9"/>
          </w:tcPr>
          <w:p>
            <w:r>
              <w:rPr>
                <w:sz w:val="18"/>
              </w:rPr>
              <w:t xml:space="preserve">(1) </w:t>
            </w:r>
            <w:r>
              <w:rPr>
                <w:b/>
                <w:sz w:val="18"/>
              </w:rPr>
              <w:t>Organic / traceable cotton</w:t>
            </w:r>
            <w:r>
              <w:rPr>
                <w:sz w:val="18"/>
              </w:rPr>
              <w:t xml:space="preserve"> for premium export; (2) </w:t>
            </w:r>
            <w:r>
              <w:rPr>
                <w:b/>
                <w:sz w:val="18"/>
              </w:rPr>
              <w:t>closed-loop water recycling &amp; low-water dyeing</w:t>
            </w:r>
            <w:r>
              <w:rPr>
                <w:sz w:val="18"/>
              </w:rPr>
              <w:t xml:space="preserve"> in wet-processing; (3) </w:t>
            </w:r>
            <w:r>
              <w:rPr>
                <w:b/>
                <w:sz w:val="18"/>
              </w:rPr>
              <w:t>solar-powered spinning/garment parks</w:t>
            </w:r>
            <w:r>
              <w:rPr>
                <w:sz w:val="18"/>
              </w:rPr>
              <w:t xml:space="preserve">; (4) </w:t>
            </w:r>
            <w:r>
              <w:rPr>
                <w:b/>
                <w:sz w:val="18"/>
              </w:rPr>
              <w:t>textile-waste recycling</w:t>
            </w:r>
            <w:r>
              <w:rPr>
                <w:sz w:val="18"/>
              </w:rPr>
              <w:t xml:space="preserve"> and cottonseed-oil/cake circularity</w:t>
            </w:r>
          </w:p>
        </w:tc>
      </w:tr>
    </w:tbl>
    <w:p/>
    <w:p>
      <w:r>
        <w:rPr>
          <w:b/>
        </w:rPr>
        <w:t>Why it pays:</w:t>
      </w:r>
      <w:r>
        <w:t xml:space="preserve"> organic, traceable, clean-processed Ugandan textiles command premiums and pass the sustainability screens of EU/AGOA and regional institutional buyers — turning environmental performance into orders.</w:t>
      </w:r>
    </w:p>
    <w:p>
      <w:pPr>
        <w:pStyle w:val="Heading2"/>
      </w:pPr>
      <w:r>
        <w:t>4.F Prioritized Products — through the Tenfold Lens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02B5B"/>
          </w:tcPr>
          <w:p>
            <w:r>
              <w:rPr>
                <w:b/>
                <w:color w:val="FFFFFF"/>
                <w:sz w:val="18"/>
              </w:rPr>
              <w:t>Product / sub-sector</w:t>
            </w:r>
          </w:p>
        </w:tc>
        <w:tc>
          <w:tcPr>
            <w:tcW w:type="dxa" w:w="1176"/>
            <w:shd w:val="clear" w:color="auto" w:fill="002B5B"/>
          </w:tcPr>
          <w:p>
            <w:r>
              <w:rPr>
                <w:b/>
                <w:color w:val="FFFFFF"/>
                <w:sz w:val="18"/>
              </w:rPr>
              <w:t>Market</w:t>
            </w:r>
          </w:p>
        </w:tc>
        <w:tc>
          <w:tcPr>
            <w:tcW w:type="dxa" w:w="1176"/>
            <w:shd w:val="clear" w:color="auto" w:fill="002B5B"/>
          </w:tcPr>
          <w:p>
            <w:r>
              <w:rPr>
                <w:b/>
                <w:color w:val="FFFFFF"/>
                <w:sz w:val="18"/>
              </w:rPr>
              <w:t>Comp. adv.</w:t>
            </w:r>
          </w:p>
        </w:tc>
        <w:tc>
          <w:tcPr>
            <w:tcW w:type="dxa" w:w="1176"/>
            <w:shd w:val="clear" w:color="auto" w:fill="002B5B"/>
          </w:tcPr>
          <w:p>
            <w:r>
              <w:rPr>
                <w:b/>
                <w:color w:val="FFFFFF"/>
                <w:sz w:val="18"/>
              </w:rPr>
              <w:t>Feasibility</w:t>
            </w:r>
          </w:p>
        </w:tc>
        <w:tc>
          <w:tcPr>
            <w:tcW w:type="dxa" w:w="1176"/>
            <w:shd w:val="clear" w:color="auto" w:fill="002B5B"/>
          </w:tcPr>
          <w:p>
            <w:r>
              <w:rPr>
                <w:b/>
                <w:color w:val="FFFFFF"/>
                <w:sz w:val="18"/>
              </w:rPr>
              <w:t>Jobs</w:t>
            </w:r>
          </w:p>
        </w:tc>
        <w:tc>
          <w:tcPr>
            <w:tcW w:type="dxa" w:w="1176"/>
            <w:shd w:val="clear" w:color="auto" w:fill="002B5B"/>
          </w:tcPr>
          <w:p>
            <w:r>
              <w:rPr>
                <w:b/>
                <w:color w:val="FFFFFF"/>
                <w:sz w:val="18"/>
              </w:rPr>
              <w:t>Import subst.</w:t>
            </w:r>
          </w:p>
        </w:tc>
        <w:tc>
          <w:tcPr>
            <w:tcW w:type="dxa" w:w="1176"/>
            <w:shd w:val="clear" w:color="auto" w:fill="002B5B"/>
          </w:tcPr>
          <w:p>
            <w:r>
              <w:rPr>
                <w:b/>
                <w:color w:val="FFFFFF"/>
                <w:sz w:val="18"/>
              </w:rPr>
              <w:t>Green fit</w:t>
            </w:r>
          </w:p>
        </w:tc>
        <w:tc>
          <w:tcPr>
            <w:tcW w:type="dxa" w:w="1176"/>
            <w:shd w:val="clear" w:color="auto" w:fill="002B5B"/>
          </w:tcPr>
          <w:p>
            <w:r>
              <w:rPr>
                <w:b/>
                <w:color w:val="FFFFFF"/>
                <w:sz w:val="18"/>
              </w:rPr>
              <w:t>Priority</w:t>
            </w:r>
          </w:p>
        </w:tc>
      </w:tr>
      <w:tr>
        <w:tc>
          <w:tcPr>
            <w:tcW w:type="dxa" w:w="1176"/>
            <w:shd w:val="clear" w:color="auto" w:fill="EEF3F9"/>
          </w:tcPr>
          <w:p>
            <w:r>
              <w:rPr>
                <w:b/>
                <w:sz w:val="18"/>
              </w:rPr>
              <w:t>Garments &amp; apparel (incl. institutional uniforms)</w:t>
            </w:r>
          </w:p>
        </w:tc>
        <w:tc>
          <w:tcPr>
            <w:tcW w:type="dxa" w:w="1176"/>
            <w:shd w:val="clear" w:color="auto" w:fill="EEF3F9"/>
          </w:tcPr>
          <w:p>
            <w:r>
              <w:rPr>
                <w:sz w:val="18"/>
              </w:rPr>
              <w:t>High</w:t>
            </w:r>
          </w:p>
        </w:tc>
        <w:tc>
          <w:tcPr>
            <w:tcW w:type="dxa" w:w="1176"/>
            <w:shd w:val="clear" w:color="auto" w:fill="EEF3F9"/>
          </w:tcPr>
          <w:p>
            <w:r>
              <w:rPr>
                <w:sz w:val="18"/>
              </w:rPr>
              <w:t>Medium</w:t>
            </w:r>
          </w:p>
        </w:tc>
        <w:tc>
          <w:tcPr>
            <w:tcW w:type="dxa" w:w="1176"/>
            <w:shd w:val="clear" w:color="auto" w:fill="EEF3F9"/>
          </w:tcPr>
          <w:p>
            <w:r>
              <w:rPr>
                <w:sz w:val="18"/>
              </w:rPr>
              <w:t>High</w:t>
            </w:r>
          </w:p>
        </w:tc>
        <w:tc>
          <w:tcPr>
            <w:tcW w:type="dxa" w:w="1176"/>
            <w:shd w:val="clear" w:color="auto" w:fill="EEF3F9"/>
          </w:tcPr>
          <w:p>
            <w:r>
              <w:rPr>
                <w:sz w:val="18"/>
              </w:rPr>
              <w:t>Very high</w:t>
            </w:r>
          </w:p>
        </w:tc>
        <w:tc>
          <w:tcPr>
            <w:tcW w:type="dxa" w:w="1176"/>
            <w:shd w:val="clear" w:color="auto" w:fill="EEF3F9"/>
          </w:tcPr>
          <w:p>
            <w:r>
              <w:rPr>
                <w:sz w:val="18"/>
              </w:rPr>
              <w:t>High</w:t>
            </w:r>
          </w:p>
        </w:tc>
        <w:tc>
          <w:tcPr>
            <w:tcW w:type="dxa" w:w="1176"/>
            <w:shd w:val="clear" w:color="auto" w:fill="EEF3F9"/>
          </w:tcPr>
          <w:p>
            <w:r>
              <w:rPr>
                <w:sz w:val="18"/>
              </w:rPr>
              <w:t>Medium–High</w:t>
            </w:r>
          </w:p>
        </w:tc>
        <w:tc>
          <w:tcPr>
            <w:tcW w:type="dxa" w:w="1176"/>
            <w:shd w:val="clear" w:color="auto" w:fill="EEF3F9"/>
          </w:tcPr>
          <w:p>
            <w:r>
              <w:rPr>
                <w:b/>
                <w:sz w:val="18"/>
              </w:rPr>
              <w:t>Priority</w:t>
            </w:r>
          </w:p>
        </w:tc>
      </w:tr>
      <w:tr>
        <w:tc>
          <w:tcPr>
            <w:tcW w:type="dxa" w:w="1176"/>
            <w:shd w:val="clear" w:color="auto" w:fill="FFFFFF"/>
          </w:tcPr>
          <w:p>
            <w:r>
              <w:rPr>
                <w:b/>
                <w:sz w:val="18"/>
              </w:rPr>
              <w:t>Yarn &amp; fabric (spinning/weaving + finishing)</w:t>
            </w:r>
          </w:p>
        </w:tc>
        <w:tc>
          <w:tcPr>
            <w:tcW w:type="dxa" w:w="1176"/>
            <w:shd w:val="clear" w:color="auto" w:fill="FFFFFF"/>
          </w:tcPr>
          <w:p>
            <w:r>
              <w:rPr>
                <w:sz w:val="18"/>
              </w:rPr>
              <w:t>High</w:t>
            </w:r>
          </w:p>
        </w:tc>
        <w:tc>
          <w:tcPr>
            <w:tcW w:type="dxa" w:w="1176"/>
            <w:shd w:val="clear" w:color="auto" w:fill="FFFFFF"/>
          </w:tcPr>
          <w:p>
            <w:r>
              <w:rPr>
                <w:sz w:val="18"/>
              </w:rPr>
              <w:t>High (lint)</w:t>
            </w:r>
          </w:p>
        </w:tc>
        <w:tc>
          <w:tcPr>
            <w:tcW w:type="dxa" w:w="1176"/>
            <w:shd w:val="clear" w:color="auto" w:fill="FFFFFF"/>
          </w:tcPr>
          <w:p>
            <w:r>
              <w:rPr>
                <w:sz w:val="18"/>
              </w:rPr>
              <w:t>Medium</w:t>
            </w:r>
          </w:p>
        </w:tc>
        <w:tc>
          <w:tcPr>
            <w:tcW w:type="dxa" w:w="1176"/>
            <w:shd w:val="clear" w:color="auto" w:fill="FFFFFF"/>
          </w:tcPr>
          <w:p>
            <w:r>
              <w:rPr>
                <w:sz w:val="18"/>
              </w:rPr>
              <w:t>High</w:t>
            </w:r>
          </w:p>
        </w:tc>
        <w:tc>
          <w:tcPr>
            <w:tcW w:type="dxa" w:w="1176"/>
            <w:shd w:val="clear" w:color="auto" w:fill="FFFFFF"/>
          </w:tcPr>
          <w:p>
            <w:r>
              <w:rPr>
                <w:sz w:val="18"/>
              </w:rPr>
              <w:t>High</w:t>
            </w:r>
          </w:p>
        </w:tc>
        <w:tc>
          <w:tcPr>
            <w:tcW w:type="dxa" w:w="1176"/>
            <w:shd w:val="clear" w:color="auto" w:fill="FFFFFF"/>
          </w:tcPr>
          <w:p>
            <w:r>
              <w:rPr>
                <w:sz w:val="18"/>
              </w:rPr>
              <w:t>Medium</w:t>
            </w:r>
          </w:p>
        </w:tc>
        <w:tc>
          <w:tcPr>
            <w:tcW w:type="dxa" w:w="1176"/>
            <w:shd w:val="clear" w:color="auto" w:fill="FFFFFF"/>
          </w:tcPr>
          <w:p>
            <w:r>
              <w:rPr>
                <w:b/>
                <w:sz w:val="18"/>
              </w:rPr>
              <w:t>Priority</w:t>
            </w:r>
          </w:p>
        </w:tc>
      </w:tr>
      <w:tr>
        <w:tc>
          <w:tcPr>
            <w:tcW w:type="dxa" w:w="1176"/>
            <w:shd w:val="clear" w:color="auto" w:fill="EEF3F9"/>
          </w:tcPr>
          <w:p>
            <w:r>
              <w:rPr>
                <w:b/>
                <w:sz w:val="18"/>
              </w:rPr>
              <w:t>Cottonseed oil &amp; cake (by-products)</w:t>
            </w:r>
          </w:p>
        </w:tc>
        <w:tc>
          <w:tcPr>
            <w:tcW w:type="dxa" w:w="1176"/>
            <w:shd w:val="clear" w:color="auto" w:fill="EEF3F9"/>
          </w:tcPr>
          <w:p>
            <w:r>
              <w:rPr>
                <w:sz w:val="18"/>
              </w:rPr>
              <w:t>Medium</w:t>
            </w:r>
          </w:p>
        </w:tc>
        <w:tc>
          <w:tcPr>
            <w:tcW w:type="dxa" w:w="1176"/>
            <w:shd w:val="clear" w:color="auto" w:fill="EEF3F9"/>
          </w:tcPr>
          <w:p>
            <w:r>
              <w:rPr>
                <w:sz w:val="18"/>
              </w:rPr>
              <w:t>High</w:t>
            </w:r>
          </w:p>
        </w:tc>
        <w:tc>
          <w:tcPr>
            <w:tcW w:type="dxa" w:w="1176"/>
            <w:shd w:val="clear" w:color="auto" w:fill="EEF3F9"/>
          </w:tcPr>
          <w:p>
            <w:r>
              <w:rPr>
                <w:sz w:val="18"/>
              </w:rPr>
              <w:t>High</w:t>
            </w:r>
          </w:p>
        </w:tc>
        <w:tc>
          <w:tcPr>
            <w:tcW w:type="dxa" w:w="1176"/>
            <w:shd w:val="clear" w:color="auto" w:fill="EEF3F9"/>
          </w:tcPr>
          <w:p>
            <w:r>
              <w:rPr>
                <w:sz w:val="18"/>
              </w:rPr>
              <w:t>Medium</w:t>
            </w:r>
          </w:p>
        </w:tc>
        <w:tc>
          <w:tcPr>
            <w:tcW w:type="dxa" w:w="1176"/>
            <w:shd w:val="clear" w:color="auto" w:fill="EEF3F9"/>
          </w:tcPr>
          <w:p>
            <w:r>
              <w:rPr>
                <w:sz w:val="18"/>
              </w:rPr>
              <w:t>Medium</w:t>
            </w:r>
          </w:p>
        </w:tc>
        <w:tc>
          <w:tcPr>
            <w:tcW w:type="dxa" w:w="1176"/>
            <w:shd w:val="clear" w:color="auto" w:fill="EEF3F9"/>
          </w:tcPr>
          <w:p>
            <w:r>
              <w:rPr>
                <w:sz w:val="18"/>
              </w:rPr>
              <w:t>High</w:t>
            </w:r>
          </w:p>
        </w:tc>
        <w:tc>
          <w:tcPr>
            <w:tcW w:type="dxa" w:w="1176"/>
            <w:shd w:val="clear" w:color="auto" w:fill="EEF3F9"/>
          </w:tcPr>
          <w:p>
            <w:r>
              <w:rPr>
                <w:b/>
                <w:sz w:val="18"/>
              </w:rPr>
              <w:t>Priority</w:t>
            </w:r>
          </w:p>
        </w:tc>
      </w:tr>
      <w:tr>
        <w:tc>
          <w:tcPr>
            <w:tcW w:type="dxa" w:w="1176"/>
            <w:shd w:val="clear" w:color="auto" w:fill="FFFFFF"/>
          </w:tcPr>
          <w:p>
            <w:r>
              <w:rPr>
                <w:sz w:val="18"/>
              </w:rPr>
              <w:t>Organic/traceable cotton (premium export)</w:t>
            </w:r>
          </w:p>
        </w:tc>
        <w:tc>
          <w:tcPr>
            <w:tcW w:type="dxa" w:w="1176"/>
            <w:shd w:val="clear" w:color="auto" w:fill="FFFFFF"/>
          </w:tcPr>
          <w:p>
            <w:r>
              <w:rPr>
                <w:sz w:val="18"/>
              </w:rPr>
              <w:t>Medium</w:t>
            </w:r>
          </w:p>
        </w:tc>
        <w:tc>
          <w:tcPr>
            <w:tcW w:type="dxa" w:w="1176"/>
            <w:shd w:val="clear" w:color="auto" w:fill="FFFFFF"/>
          </w:tcPr>
          <w:p>
            <w:r>
              <w:rPr>
                <w:sz w:val="18"/>
              </w:rPr>
              <w:t>High</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sz w:val="18"/>
              </w:rPr>
              <w:t>n/a</w:t>
            </w:r>
          </w:p>
        </w:tc>
        <w:tc>
          <w:tcPr>
            <w:tcW w:type="dxa" w:w="1176"/>
            <w:shd w:val="clear" w:color="auto" w:fill="FFFFFF"/>
          </w:tcPr>
          <w:p>
            <w:r>
              <w:rPr>
                <w:sz w:val="18"/>
              </w:rPr>
              <w:t>High</w:t>
            </w:r>
          </w:p>
        </w:tc>
        <w:tc>
          <w:tcPr>
            <w:tcW w:type="dxa" w:w="1176"/>
            <w:shd w:val="clear" w:color="auto" w:fill="FFFFFF"/>
          </w:tcPr>
          <w:p>
            <w:r>
              <w:rPr>
                <w:sz w:val="18"/>
              </w:rPr>
              <w:t>Conditional</w:t>
            </w:r>
          </w:p>
        </w:tc>
      </w:tr>
      <w:tr>
        <w:tc>
          <w:tcPr>
            <w:tcW w:type="dxa" w:w="1176"/>
            <w:shd w:val="clear" w:color="auto" w:fill="EEF3F9"/>
          </w:tcPr>
          <w:p>
            <w:r>
              <w:rPr>
                <w:sz w:val="18"/>
              </w:rPr>
              <w:t>Commodity textile export to global market</w:t>
            </w:r>
          </w:p>
        </w:tc>
        <w:tc>
          <w:tcPr>
            <w:tcW w:type="dxa" w:w="1176"/>
            <w:shd w:val="clear" w:color="auto" w:fill="EEF3F9"/>
          </w:tcPr>
          <w:p>
            <w:r>
              <w:rPr>
                <w:sz w:val="18"/>
              </w:rPr>
              <w:t>Low</w:t>
            </w:r>
          </w:p>
        </w:tc>
        <w:tc>
          <w:tcPr>
            <w:tcW w:type="dxa" w:w="1176"/>
            <w:shd w:val="clear" w:color="auto" w:fill="EEF3F9"/>
          </w:tcPr>
          <w:p>
            <w:r>
              <w:rPr>
                <w:sz w:val="18"/>
              </w:rPr>
              <w:t>Low</w:t>
            </w:r>
          </w:p>
        </w:tc>
        <w:tc>
          <w:tcPr>
            <w:tcW w:type="dxa" w:w="1176"/>
            <w:shd w:val="clear" w:color="auto" w:fill="EEF3F9"/>
          </w:tcPr>
          <w:p>
            <w:r>
              <w:rPr>
                <w:sz w:val="18"/>
              </w:rPr>
              <w:t>Low</w:t>
            </w:r>
          </w:p>
        </w:tc>
        <w:tc>
          <w:tcPr>
            <w:tcW w:type="dxa" w:w="1176"/>
            <w:shd w:val="clear" w:color="auto" w:fill="EEF3F9"/>
          </w:tcPr>
          <w:p>
            <w:r>
              <w:rPr>
                <w:sz w:val="18"/>
              </w:rPr>
              <w:t>Medium</w:t>
            </w:r>
          </w:p>
        </w:tc>
        <w:tc>
          <w:tcPr>
            <w:tcW w:type="dxa" w:w="1176"/>
            <w:shd w:val="clear" w:color="auto" w:fill="EEF3F9"/>
          </w:tcPr>
          <w:p>
            <w:r>
              <w:rPr>
                <w:sz w:val="18"/>
              </w:rPr>
              <w:t>Low</w:t>
            </w:r>
          </w:p>
        </w:tc>
        <w:tc>
          <w:tcPr>
            <w:tcW w:type="dxa" w:w="1176"/>
            <w:shd w:val="clear" w:color="auto" w:fill="EEF3F9"/>
          </w:tcPr>
          <w:p>
            <w:r>
              <w:rPr>
                <w:sz w:val="18"/>
              </w:rPr>
              <w:t>—</w:t>
            </w:r>
          </w:p>
        </w:tc>
        <w:tc>
          <w:tcPr>
            <w:tcW w:type="dxa" w:w="1176"/>
            <w:shd w:val="clear" w:color="auto" w:fill="EEF3F9"/>
          </w:tcPr>
          <w:p>
            <w:r>
              <w:rPr>
                <w:sz w:val="18"/>
              </w:rPr>
              <w:t>Deprioritize</w:t>
            </w:r>
          </w:p>
        </w:tc>
      </w:tr>
    </w:tbl>
    <w:p/>
    <w:p>
      <w:r>
        <w:rPr>
          <w:b/>
        </w:rPr>
        <w:t>The three-to-four priorities for Textiles &amp; Garments:</w:t>
      </w:r>
    </w:p>
    <w:p>
      <w:pPr>
        <w:pStyle w:val="ListNumber"/>
      </w:pPr>
      <w:r>
        <w:rPr>
          <w:b/>
        </w:rPr>
        <w:t>Garments &amp; apparel</w:t>
      </w:r>
      <w:r>
        <w:t xml:space="preserve"> — the most job-rich step; anchor with institutional/uniform demand and regional markets.</w:t>
      </w:r>
    </w:p>
    <w:p>
      <w:pPr>
        <w:pStyle w:val="ListNumber"/>
      </w:pPr>
      <w:r>
        <w:rPr>
          <w:b/>
        </w:rPr>
        <w:t>Yarn &amp; fabric (spinning/weaving + wet-processing)</w:t>
      </w:r>
      <w:r>
        <w:t xml:space="preserve"> — process domestic lint instead of exporting it raw; build on Nytil, Fine Spinners and the Lira facility, adding the missing finishing step.</w:t>
      </w:r>
    </w:p>
    <w:p>
      <w:pPr>
        <w:pStyle w:val="ListNumber"/>
      </w:pPr>
      <w:r>
        <w:rPr>
          <w:b/>
        </w:rPr>
        <w:t>Cottonseed oil &amp; cake</w:t>
      </w:r>
      <w:r>
        <w:t xml:space="preserve"> — capture ginning by-products (edible oil, animal feed); a feasible, green quick value-add.</w:t>
      </w:r>
    </w:p>
    <w:p>
      <w:r>
        <w:rPr>
          <w:b/>
        </w:rPr>
        <w:t>Explicit deprioritization.</w:t>
      </w:r>
      <w:r>
        <w:t xml:space="preserve"> Uganda should </w:t>
      </w:r>
      <w:r>
        <w:rPr>
          <w:b/>
        </w:rPr>
        <w:t>not</w:t>
      </w:r>
      <w:r>
        <w:t xml:space="preserve"> chase commodity textile export against Asian scale. Focus on </w:t>
      </w:r>
      <w:r>
        <w:rPr>
          <w:b/>
        </w:rPr>
        <w:t>domestic/regional garments and fabric from Ugandan cotton</w:t>
      </w:r>
      <w:r>
        <w:t xml:space="preserve">, with </w:t>
      </w:r>
      <w:r>
        <w:rPr>
          <w:b/>
        </w:rPr>
        <w:t>organic cotton</w:t>
      </w:r>
      <w:r>
        <w:t xml:space="preserve"> as a premium niche.</w:t>
      </w:r>
    </w:p>
    <w:p>
      <w:pPr>
        <w:pStyle w:val="Heading2"/>
      </w:pPr>
      <w:r>
        <w:t>4.G Project Profiles</w:t>
      </w:r>
    </w:p>
    <w:p>
      <w:r>
        <w:rPr>
          <w:b/>
        </w:rPr>
        <w:t>P1 — Integrated spinning–weaving–finishing capacity (strategic anchor).</w:t>
      </w:r>
    </w:p>
    <w:p>
      <w:pPr>
        <w:pStyle w:val="ListBullet"/>
      </w:pPr>
      <w:r>
        <w:rPr>
          <w:i/>
        </w:rPr>
        <w:t>Strategic:</w:t>
      </w:r>
      <w:r>
        <w:t xml:space="preserve"> closes the wet-processing gap so domestic lint becomes finished fabric; foundation for garments at scale.</w:t>
      </w:r>
    </w:p>
    <w:p>
      <w:pPr>
        <w:pStyle w:val="ListBullet"/>
      </w:pPr>
      <w:r>
        <w:rPr>
          <w:i/>
        </w:rPr>
        <w:t>Quick-win element:</w:t>
      </w:r>
      <w:r>
        <w:t xml:space="preserve"> expand existing mills (Nytil, Fine Spinners, Lira) rather than greenfield.</w:t>
      </w:r>
    </w:p>
    <w:p>
      <w:pPr>
        <w:pStyle w:val="ListBullet"/>
      </w:pPr>
      <w:r>
        <w:rPr>
          <w:i/>
        </w:rPr>
        <w:t>Green:</w:t>
      </w:r>
      <w:r>
        <w:t xml:space="preserve"> solar power + closed-loop water/effluent.</w:t>
      </w:r>
    </w:p>
    <w:p>
      <w:r>
        <w:rPr>
          <w:b/>
        </w:rPr>
        <w:t>P2 — Institutional-garment &amp; uniform programme (quick win).</w:t>
      </w:r>
    </w:p>
    <w:p>
      <w:pPr>
        <w:pStyle w:val="ListBullet"/>
      </w:pPr>
      <w:r>
        <w:rPr>
          <w:i/>
        </w:rPr>
        <w:t>Strategic:</w:t>
      </w:r>
      <w:r>
        <w:t xml:space="preserve"> guaranteed demand (schools, health, security, MDAs) anchors garment employment.</w:t>
      </w:r>
    </w:p>
    <w:p>
      <w:pPr>
        <w:pStyle w:val="ListBullet"/>
      </w:pPr>
      <w:r>
        <w:rPr>
          <w:i/>
        </w:rPr>
        <w:t>Quick-win element:</w:t>
      </w:r>
      <w:r>
        <w:t xml:space="preserve"> procurement policy can start immediately.</w:t>
      </w:r>
    </w:p>
    <w:p>
      <w:pPr>
        <w:pStyle w:val="ListBullet"/>
      </w:pPr>
      <w:r>
        <w:rPr>
          <w:i/>
        </w:rPr>
        <w:t>Green:</w:t>
      </w:r>
      <w:r>
        <w:t xml:space="preserve"> uses domestic, traceable cotton.</w:t>
      </w:r>
    </w:p>
    <w:p>
      <w:r>
        <w:rPr>
          <w:b/>
        </w:rPr>
        <w:t>P3 — Organic/traceable cotton + cottonseed processing (green + strategic).</w:t>
      </w:r>
    </w:p>
    <w:p>
      <w:pPr>
        <w:pStyle w:val="ListBullet"/>
      </w:pPr>
      <w:r>
        <w:rPr>
          <w:i/>
        </w:rPr>
        <w:t>Strategic:</w:t>
      </w:r>
      <w:r>
        <w:t xml:space="preserve"> premium export niche + by-product value.</w:t>
      </w:r>
    </w:p>
    <w:p>
      <w:pPr>
        <w:pStyle w:val="ListBullet"/>
      </w:pPr>
      <w:r>
        <w:rPr>
          <w:i/>
        </w:rPr>
        <w:t>Quick-win element:</w:t>
      </w:r>
      <w:r>
        <w:t xml:space="preserve"> certify existing low-input cotton; install cottonseed crushing.</w:t>
      </w:r>
    </w:p>
    <w:p>
      <w:pPr>
        <w:pStyle w:val="ListBullet"/>
      </w:pPr>
      <w:r>
        <w:rPr>
          <w:i/>
        </w:rPr>
        <w:t>Green:</w:t>
      </w:r>
      <w:r>
        <w:t xml:space="preserve"> organic certification; circular by-product use.</w:t>
      </w:r>
    </w:p>
    <w:p>
      <w:pPr>
        <w:pStyle w:val="Heading2"/>
      </w:pPr>
      <w:r>
        <w:t>4.H Priority Action Matrix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Timeframe</w:t>
            </w:r>
          </w:p>
        </w:tc>
        <w:tc>
          <w:tcPr>
            <w:tcW w:type="dxa" w:w="2351"/>
            <w:shd w:val="clear" w:color="auto" w:fill="002B5B"/>
          </w:tcPr>
          <w:p>
            <w:r>
              <w:rPr>
                <w:b/>
                <w:color w:val="FFFFFF"/>
                <w:sz w:val="18"/>
              </w:rPr>
              <w:t>Action</w:t>
            </w:r>
          </w:p>
        </w:tc>
        <w:tc>
          <w:tcPr>
            <w:tcW w:type="dxa" w:w="2351"/>
            <w:shd w:val="clear" w:color="auto" w:fill="002B5B"/>
          </w:tcPr>
          <w:p>
            <w:r>
              <w:rPr>
                <w:b/>
                <w:color w:val="FFFFFF"/>
                <w:sz w:val="18"/>
              </w:rPr>
              <w:t>Lead</w:t>
            </w:r>
          </w:p>
        </w:tc>
        <w:tc>
          <w:tcPr>
            <w:tcW w:type="dxa" w:w="2351"/>
            <w:shd w:val="clear" w:color="auto" w:fill="002B5B"/>
          </w:tcPr>
          <w:p>
            <w:r>
              <w:rPr>
                <w:b/>
                <w:color w:val="FFFFFF"/>
                <w:sz w:val="18"/>
              </w:rPr>
              <w:t>Indicative cost</w:t>
            </w:r>
          </w:p>
        </w:tc>
      </w:tr>
      <w:tr>
        <w:tc>
          <w:tcPr>
            <w:tcW w:type="dxa" w:w="2351"/>
            <w:shd w:val="clear" w:color="auto" w:fill="EEF3F9"/>
          </w:tcPr>
          <w:p>
            <w:r>
              <w:rPr>
                <w:b/>
                <w:sz w:val="18"/>
              </w:rPr>
              <w:t>Quick win (0–12m)</w:t>
            </w:r>
          </w:p>
        </w:tc>
        <w:tc>
          <w:tcPr>
            <w:tcW w:type="dxa" w:w="2351"/>
            <w:shd w:val="clear" w:color="auto" w:fill="EEF3F9"/>
          </w:tcPr>
          <w:p>
            <w:r>
              <w:rPr>
                <w:sz w:val="18"/>
              </w:rPr>
              <w:t>Institutional-uniform procurement from domestic garment makers; review used-clothing (mivumba) policy</w:t>
            </w:r>
          </w:p>
        </w:tc>
        <w:tc>
          <w:tcPr>
            <w:tcW w:type="dxa" w:w="2351"/>
            <w:shd w:val="clear" w:color="auto" w:fill="EEF3F9"/>
          </w:tcPr>
          <w:p>
            <w:r>
              <w:rPr>
                <w:sz w:val="18"/>
              </w:rPr>
              <w:t>MTIC, MoFPED, MDAs</w:t>
            </w:r>
          </w:p>
        </w:tc>
        <w:tc>
          <w:tcPr>
            <w:tcW w:type="dxa" w:w="2351"/>
            <w:shd w:val="clear" w:color="auto" w:fill="EEF3F9"/>
          </w:tcPr>
          <w:p>
            <w:r>
              <w:rPr>
                <w:sz w:val="18"/>
              </w:rPr>
              <w:t>Procurement / policy</w:t>
            </w:r>
          </w:p>
        </w:tc>
      </w:tr>
      <w:tr>
        <w:tc>
          <w:tcPr>
            <w:tcW w:type="dxa" w:w="2351"/>
            <w:shd w:val="clear" w:color="auto" w:fill="FFFFFF"/>
          </w:tcPr>
          <w:p>
            <w:r>
              <w:rPr>
                <w:sz w:val="18"/>
              </w:rPr>
              <w:t>Quick win (0–12m)</w:t>
            </w:r>
          </w:p>
        </w:tc>
        <w:tc>
          <w:tcPr>
            <w:tcW w:type="dxa" w:w="2351"/>
            <w:shd w:val="clear" w:color="auto" w:fill="FFFFFF"/>
          </w:tcPr>
          <w:p>
            <w:r>
              <w:rPr>
                <w:sz w:val="18"/>
              </w:rPr>
              <w:t>Cotton agronomy/seed programme to raise yields and lift ginnery utilisation from ~10%</w:t>
            </w:r>
          </w:p>
        </w:tc>
        <w:tc>
          <w:tcPr>
            <w:tcW w:type="dxa" w:w="2351"/>
            <w:shd w:val="clear" w:color="auto" w:fill="FFFFFF"/>
          </w:tcPr>
          <w:p>
            <w:r>
              <w:rPr>
                <w:sz w:val="18"/>
              </w:rPr>
              <w:t>CDO, MAAIF</w:t>
            </w:r>
          </w:p>
        </w:tc>
        <w:tc>
          <w:tcPr>
            <w:tcW w:type="dxa" w:w="2351"/>
            <w:shd w:val="clear" w:color="auto" w:fill="FFFFFF"/>
          </w:tcPr>
          <w:p>
            <w:r>
              <w:rPr>
                <w:sz w:val="18"/>
              </w:rPr>
              <w:t>Low–Medium</w:t>
            </w:r>
          </w:p>
        </w:tc>
      </w:tr>
      <w:tr>
        <w:tc>
          <w:tcPr>
            <w:tcW w:type="dxa" w:w="2351"/>
            <w:shd w:val="clear" w:color="auto" w:fill="EEF3F9"/>
          </w:tcPr>
          <w:p>
            <w:r>
              <w:rPr>
                <w:b/>
                <w:sz w:val="18"/>
              </w:rPr>
              <w:t>Reform (1–3y)</w:t>
            </w:r>
          </w:p>
        </w:tc>
        <w:tc>
          <w:tcPr>
            <w:tcW w:type="dxa" w:w="2351"/>
            <w:shd w:val="clear" w:color="auto" w:fill="EEF3F9"/>
          </w:tcPr>
          <w:p>
            <w:r>
              <w:rPr>
                <w:sz w:val="18"/>
              </w:rPr>
              <w:t>Shared wet-processing/effluent infrastructure for textile parks</w:t>
            </w:r>
          </w:p>
        </w:tc>
        <w:tc>
          <w:tcPr>
            <w:tcW w:type="dxa" w:w="2351"/>
            <w:shd w:val="clear" w:color="auto" w:fill="EEF3F9"/>
          </w:tcPr>
          <w:p>
            <w:r>
              <w:rPr>
                <w:sz w:val="18"/>
              </w:rPr>
              <w:t>NEMA, MTIC, UIA</w:t>
            </w:r>
          </w:p>
        </w:tc>
        <w:tc>
          <w:tcPr>
            <w:tcW w:type="dxa" w:w="2351"/>
            <w:shd w:val="clear" w:color="auto" w:fill="EEF3F9"/>
          </w:tcPr>
          <w:p>
            <w:r>
              <w:rPr>
                <w:sz w:val="18"/>
              </w:rPr>
              <w:t>Medium</w:t>
            </w:r>
          </w:p>
        </w:tc>
      </w:tr>
      <w:tr>
        <w:tc>
          <w:tcPr>
            <w:tcW w:type="dxa" w:w="2351"/>
            <w:shd w:val="clear" w:color="auto" w:fill="FFFFFF"/>
          </w:tcPr>
          <w:p>
            <w:r>
              <w:rPr>
                <w:sz w:val="18"/>
              </w:rPr>
              <w:t>Reform (1–3y)</w:t>
            </w:r>
          </w:p>
        </w:tc>
        <w:tc>
          <w:tcPr>
            <w:tcW w:type="dxa" w:w="2351"/>
            <w:shd w:val="clear" w:color="auto" w:fill="FFFFFF"/>
          </w:tcPr>
          <w:p>
            <w:r>
              <w:rPr>
                <w:sz w:val="18"/>
              </w:rPr>
              <w:t>Textile/garment skills programme</w:t>
            </w:r>
          </w:p>
        </w:tc>
        <w:tc>
          <w:tcPr>
            <w:tcW w:type="dxa" w:w="2351"/>
            <w:shd w:val="clear" w:color="auto" w:fill="FFFFFF"/>
          </w:tcPr>
          <w:p>
            <w:r>
              <w:rPr>
                <w:sz w:val="18"/>
              </w:rPr>
              <w:t>MoES, mills</w:t>
            </w:r>
          </w:p>
        </w:tc>
        <w:tc>
          <w:tcPr>
            <w:tcW w:type="dxa" w:w="2351"/>
            <w:shd w:val="clear" w:color="auto" w:fill="FFFFFF"/>
          </w:tcPr>
          <w:p>
            <w:r>
              <w:rPr>
                <w:sz w:val="18"/>
              </w:rPr>
              <w:t>Medium</w:t>
            </w:r>
          </w:p>
        </w:tc>
      </w:tr>
      <w:tr>
        <w:tc>
          <w:tcPr>
            <w:tcW w:type="dxa" w:w="2351"/>
            <w:shd w:val="clear" w:color="auto" w:fill="EEF3F9"/>
          </w:tcPr>
          <w:p>
            <w:r>
              <w:rPr>
                <w:b/>
                <w:sz w:val="18"/>
              </w:rPr>
              <w:t>Investment (3–5y)</w:t>
            </w:r>
          </w:p>
        </w:tc>
        <w:tc>
          <w:tcPr>
            <w:tcW w:type="dxa" w:w="2351"/>
            <w:shd w:val="clear" w:color="auto" w:fill="EEF3F9"/>
          </w:tcPr>
          <w:p>
            <w:r>
              <w:rPr>
                <w:sz w:val="18"/>
              </w:rPr>
              <w:t>Spinning/weaving/finishing expansion (Nytil, Fine Spinners, Lira)</w:t>
            </w:r>
          </w:p>
        </w:tc>
        <w:tc>
          <w:tcPr>
            <w:tcW w:type="dxa" w:w="2351"/>
            <w:shd w:val="clear" w:color="auto" w:fill="EEF3F9"/>
          </w:tcPr>
          <w:p>
            <w:r>
              <w:rPr>
                <w:sz w:val="18"/>
              </w:rPr>
              <w:t>Private-led + PPP</w:t>
            </w:r>
          </w:p>
        </w:tc>
        <w:tc>
          <w:tcPr>
            <w:tcW w:type="dxa" w:w="2351"/>
            <w:shd w:val="clear" w:color="auto" w:fill="EEF3F9"/>
          </w:tcPr>
          <w:p>
            <w:r>
              <w:rPr>
                <w:sz w:val="18"/>
              </w:rPr>
              <w:t>Indicative (see Ch.11)</w:t>
            </w:r>
          </w:p>
        </w:tc>
      </w:tr>
      <w:tr>
        <w:tc>
          <w:tcPr>
            <w:tcW w:type="dxa" w:w="2351"/>
            <w:shd w:val="clear" w:color="auto" w:fill="FFFFFF"/>
          </w:tcPr>
          <w:p>
            <w:r>
              <w:rPr>
                <w:sz w:val="18"/>
              </w:rPr>
              <w:t>Investment (3–5y)</w:t>
            </w:r>
          </w:p>
        </w:tc>
        <w:tc>
          <w:tcPr>
            <w:tcW w:type="dxa" w:w="2351"/>
            <w:shd w:val="clear" w:color="auto" w:fill="FFFFFF"/>
          </w:tcPr>
          <w:p>
            <w:r>
              <w:rPr>
                <w:sz w:val="18"/>
              </w:rPr>
              <w:t>Integrated, solar-powered garment park (institutional + regional export)</w:t>
            </w:r>
          </w:p>
        </w:tc>
        <w:tc>
          <w:tcPr>
            <w:tcW w:type="dxa" w:w="2351"/>
            <w:shd w:val="clear" w:color="auto" w:fill="FFFFFF"/>
          </w:tcPr>
          <w:p>
            <w:r>
              <w:rPr>
                <w:sz w:val="18"/>
              </w:rPr>
              <w:t>Private-led / PPP</w:t>
            </w:r>
          </w:p>
        </w:tc>
        <w:tc>
          <w:tcPr>
            <w:tcW w:type="dxa" w:w="2351"/>
            <w:shd w:val="clear" w:color="auto" w:fill="FFFFFF"/>
          </w:tcPr>
          <w:p>
            <w:r>
              <w:rPr>
                <w:sz w:val="18"/>
              </w:rPr>
              <w:t>Indicative (see Ch.11)</w:t>
            </w:r>
          </w:p>
        </w:tc>
      </w:tr>
    </w:tbl>
    <w:p/>
    <w:p>
      <w:r>
        <w:rPr>
          <w:i/>
        </w:rPr>
        <w:t>Sources for this chapter are listed in the consolidated References at the end of this report.</w:t>
      </w:r>
    </w:p>
    <w:p>
      <w:r>
        <w:br w:type="page"/>
      </w:r>
    </w:p>
    <w:p>
      <w:pPr>
        <w:pStyle w:val="Heading1"/>
      </w:pPr>
      <w:r>
        <w:t>Chapter 5: Pharmaceuticals Value Chain</w:t>
      </w:r>
    </w:p>
    <w:p>
      <w:r>
        <w:rPr>
          <w:b/>
        </w:rPr>
        <w:t>Report:</w:t>
      </w:r>
      <w:r>
        <w:t xml:space="preserve"> Report 2 — Textiles &amp; Garments, Pharmaceuticals, Petrochemicals &amp; Fertilizers, Sugar &amp; Confectionery, Plastics &amp; Packaging, and Cement &amp; Building Materials Value Chains</w:t>
      </w:r>
    </w:p>
    <w:p>
      <w:r>
        <w:rPr>
          <w:b/>
        </w:rPr>
        <w:t>Status:</w:t>
      </w:r>
      <w:r>
        <w:t xml:space="preserve"> Draft for validation</w:t>
      </w:r>
    </w:p>
    <w:p>
      <w:r>
        <w:rPr>
          <w:b/>
        </w:rPr>
        <w:t>Primary data source:</w:t>
      </w:r>
      <w:r>
        <w:t xml:space="preserve"> Technical Working Group (TWG) engagements with MTIC sector experts (primary); National Drug Authority (NDA) National Drug Register (June 2024); UNIDO </w:t>
      </w:r>
      <w:r>
        <w:rPr>
          <w:i/>
        </w:rPr>
        <w:t>Pharmaceutical Sector Profile — Uganda</w:t>
      </w:r>
      <w:r>
        <w:t>; UBOS; ITC TradeMap (2024). Full sources are in the consolidated References at the end of this report.</w:t>
      </w:r>
    </w:p>
    <w:p>
      <w:pPr>
        <w:pStyle w:val="Heading2"/>
      </w:pPr>
      <w:r>
        <w:t>5.0 Why Pharmaceuticals Matters for the Tenfold Growth Strategy</w:t>
      </w:r>
    </w:p>
    <w:p>
      <w:r>
        <w:t xml:space="preserve">Pharmaceuticals is a </w:t>
      </w:r>
      <w:r>
        <w:rPr>
          <w:b/>
        </w:rPr>
        <w:t>high-value, knowledge-intensive industry and a health-security imperative</w:t>
      </w:r>
      <w:r>
        <w:t xml:space="preserve">. A ten-times-larger economy needs a healthy, productive population and cannot remain ~90% dependent on imported medicines — a vulnerability the pandemic made plain. Uganda already has something rare in the region: a </w:t>
      </w:r>
      <w:r>
        <w:rPr>
          <w:b/>
        </w:rPr>
        <w:t>WHO-GMP, globally-prequalified manufacturer (Cipla QCIL)</w:t>
      </w:r>
      <w:r>
        <w:t xml:space="preserve"> exporting across Africa. Scaling local production of essential medicines substitutes a large import bill, builds resilience, and creates skilled jobs — exactly the kind of sophisticated manufacturing the tenfold ambition needs, anchored by guaranteed public and donor demand.</w:t>
      </w:r>
    </w:p>
    <w:p>
      <w:pPr>
        <w:pStyle w:val="Heading2"/>
      </w:pPr>
      <w:r>
        <w:t>5.A Value Chain Map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02B5B"/>
          </w:tcPr>
          <w:p>
            <w:r>
              <w:rPr>
                <w:b/>
                <w:color w:val="FFFFFF"/>
                <w:sz w:val="18"/>
              </w:rPr>
              <w:t>Phase</w:t>
            </w:r>
          </w:p>
        </w:tc>
        <w:tc>
          <w:tcPr>
            <w:tcW w:type="dxa" w:w="1881"/>
            <w:shd w:val="clear" w:color="auto" w:fill="002B5B"/>
          </w:tcPr>
          <w:p>
            <w:r>
              <w:rPr>
                <w:b/>
                <w:color w:val="FFFFFF"/>
                <w:sz w:val="18"/>
              </w:rPr>
              <w:t>Activity</w:t>
            </w:r>
          </w:p>
        </w:tc>
        <w:tc>
          <w:tcPr>
            <w:tcW w:type="dxa" w:w="1881"/>
            <w:shd w:val="clear" w:color="auto" w:fill="002B5B"/>
          </w:tcPr>
          <w:p>
            <w:r>
              <w:rPr>
                <w:b/>
                <w:color w:val="FFFFFF"/>
                <w:sz w:val="18"/>
              </w:rPr>
              <w:t>Main inputs</w:t>
            </w:r>
          </w:p>
        </w:tc>
        <w:tc>
          <w:tcPr>
            <w:tcW w:type="dxa" w:w="1881"/>
            <w:shd w:val="clear" w:color="auto" w:fill="002B5B"/>
          </w:tcPr>
          <w:p>
            <w:r>
              <w:rPr>
                <w:b/>
                <w:color w:val="FFFFFF"/>
                <w:sz w:val="18"/>
              </w:rPr>
              <w:t>Output</w:t>
            </w:r>
          </w:p>
        </w:tc>
        <w:tc>
          <w:tcPr>
            <w:tcW w:type="dxa" w:w="1881"/>
            <w:shd w:val="clear" w:color="auto" w:fill="002B5B"/>
          </w:tcPr>
          <w:p>
            <w:r>
              <w:rPr>
                <w:b/>
                <w:color w:val="FFFFFF"/>
                <w:sz w:val="18"/>
              </w:rPr>
              <w:t>Uganda's position</w:t>
            </w:r>
          </w:p>
        </w:tc>
      </w:tr>
      <w:tr>
        <w:tc>
          <w:tcPr>
            <w:tcW w:type="dxa" w:w="1881"/>
            <w:shd w:val="clear" w:color="auto" w:fill="EEF3F9"/>
          </w:tcPr>
          <w:p>
            <w:r>
              <w:rPr>
                <w:sz w:val="18"/>
              </w:rPr>
              <w:t>I</w:t>
            </w:r>
          </w:p>
        </w:tc>
        <w:tc>
          <w:tcPr>
            <w:tcW w:type="dxa" w:w="1881"/>
            <w:shd w:val="clear" w:color="auto" w:fill="EEF3F9"/>
          </w:tcPr>
          <w:p>
            <w:r>
              <w:rPr>
                <w:sz w:val="18"/>
              </w:rPr>
              <w:t>API &amp; excipient supply</w:t>
            </w:r>
          </w:p>
        </w:tc>
        <w:tc>
          <w:tcPr>
            <w:tcW w:type="dxa" w:w="1881"/>
            <w:shd w:val="clear" w:color="auto" w:fill="EEF3F9"/>
          </w:tcPr>
          <w:p>
            <w:r>
              <w:rPr>
                <w:sz w:val="18"/>
              </w:rPr>
              <w:t>Chemicals</w:t>
            </w:r>
          </w:p>
        </w:tc>
        <w:tc>
          <w:tcPr>
            <w:tcW w:type="dxa" w:w="1881"/>
            <w:shd w:val="clear" w:color="auto" w:fill="EEF3F9"/>
          </w:tcPr>
          <w:p>
            <w:r>
              <w:rPr>
                <w:sz w:val="18"/>
              </w:rPr>
              <w:t>APIs, excipients</w:t>
            </w:r>
          </w:p>
        </w:tc>
        <w:tc>
          <w:tcPr>
            <w:tcW w:type="dxa" w:w="1881"/>
            <w:shd w:val="clear" w:color="auto" w:fill="EEF3F9"/>
          </w:tcPr>
          <w:p>
            <w:r>
              <w:rPr>
                <w:b/>
                <w:sz w:val="18"/>
              </w:rPr>
              <w:t>Gap</w:t>
            </w:r>
            <w:r>
              <w:rPr>
                <w:sz w:val="18"/>
              </w:rPr>
              <w:t xml:space="preserve"> — almost all imported</w:t>
            </w:r>
          </w:p>
        </w:tc>
      </w:tr>
      <w:tr>
        <w:tc>
          <w:tcPr>
            <w:tcW w:type="dxa" w:w="1881"/>
            <w:shd w:val="clear" w:color="auto" w:fill="FFFFFF"/>
          </w:tcPr>
          <w:p>
            <w:r>
              <w:rPr>
                <w:sz w:val="18"/>
              </w:rPr>
              <w:t>II</w:t>
            </w:r>
          </w:p>
        </w:tc>
        <w:tc>
          <w:tcPr>
            <w:tcW w:type="dxa" w:w="1881"/>
            <w:shd w:val="clear" w:color="auto" w:fill="FFFFFF"/>
          </w:tcPr>
          <w:p>
            <w:r>
              <w:rPr>
                <w:sz w:val="18"/>
              </w:rPr>
              <w:t>Formulation / manufacturing</w:t>
            </w:r>
          </w:p>
        </w:tc>
        <w:tc>
          <w:tcPr>
            <w:tcW w:type="dxa" w:w="1881"/>
            <w:shd w:val="clear" w:color="auto" w:fill="FFFFFF"/>
          </w:tcPr>
          <w:p>
            <w:r>
              <w:rPr>
                <w:sz w:val="18"/>
              </w:rPr>
              <w:t>APIs, excipients</w:t>
            </w:r>
          </w:p>
        </w:tc>
        <w:tc>
          <w:tcPr>
            <w:tcW w:type="dxa" w:w="1881"/>
            <w:shd w:val="clear" w:color="auto" w:fill="FFFFFF"/>
          </w:tcPr>
          <w:p>
            <w:r>
              <w:rPr>
                <w:sz w:val="18"/>
              </w:rPr>
              <w:t>Tablets, capsules, syrups, injectables</w:t>
            </w:r>
          </w:p>
        </w:tc>
        <w:tc>
          <w:tcPr>
            <w:tcW w:type="dxa" w:w="1881"/>
            <w:shd w:val="clear" w:color="auto" w:fill="FFFFFF"/>
          </w:tcPr>
          <w:p>
            <w:r>
              <w:rPr>
                <w:b/>
                <w:sz w:val="18"/>
              </w:rPr>
              <w:t>Established</w:t>
            </w:r>
            <w:r>
              <w:rPr>
                <w:sz w:val="18"/>
              </w:rPr>
              <w:t xml:space="preserve"> (QCIL et al.)</w:t>
            </w:r>
          </w:p>
        </w:tc>
      </w:tr>
      <w:tr>
        <w:tc>
          <w:tcPr>
            <w:tcW w:type="dxa" w:w="1881"/>
            <w:shd w:val="clear" w:color="auto" w:fill="EEF3F9"/>
          </w:tcPr>
          <w:p>
            <w:r>
              <w:rPr>
                <w:sz w:val="18"/>
              </w:rPr>
              <w:t>III</w:t>
            </w:r>
          </w:p>
        </w:tc>
        <w:tc>
          <w:tcPr>
            <w:tcW w:type="dxa" w:w="1881"/>
            <w:shd w:val="clear" w:color="auto" w:fill="EEF3F9"/>
          </w:tcPr>
          <w:p>
            <w:r>
              <w:rPr>
                <w:sz w:val="18"/>
              </w:rPr>
              <w:t>Packaging</w:t>
            </w:r>
          </w:p>
        </w:tc>
        <w:tc>
          <w:tcPr>
            <w:tcW w:type="dxa" w:w="1881"/>
            <w:shd w:val="clear" w:color="auto" w:fill="EEF3F9"/>
          </w:tcPr>
          <w:p>
            <w:r>
              <w:rPr>
                <w:sz w:val="18"/>
              </w:rPr>
              <w:t>Bulk product</w:t>
            </w:r>
          </w:p>
        </w:tc>
        <w:tc>
          <w:tcPr>
            <w:tcW w:type="dxa" w:w="1881"/>
            <w:shd w:val="clear" w:color="auto" w:fill="EEF3F9"/>
          </w:tcPr>
          <w:p>
            <w:r>
              <w:rPr>
                <w:sz w:val="18"/>
              </w:rPr>
              <w:t>Packaged medicines</w:t>
            </w:r>
          </w:p>
        </w:tc>
        <w:tc>
          <w:tcPr>
            <w:tcW w:type="dxa" w:w="1881"/>
            <w:shd w:val="clear" w:color="auto" w:fill="EEF3F9"/>
          </w:tcPr>
          <w:p>
            <w:r>
              <w:rPr>
                <w:b/>
                <w:sz w:val="18"/>
              </w:rPr>
              <w:t>Active</w:t>
            </w:r>
          </w:p>
        </w:tc>
      </w:tr>
      <w:tr>
        <w:tc>
          <w:tcPr>
            <w:tcW w:type="dxa" w:w="1881"/>
            <w:shd w:val="clear" w:color="auto" w:fill="FFFFFF"/>
          </w:tcPr>
          <w:p>
            <w:r>
              <w:rPr>
                <w:sz w:val="18"/>
              </w:rPr>
              <w:t>IV</w:t>
            </w:r>
          </w:p>
        </w:tc>
        <w:tc>
          <w:tcPr>
            <w:tcW w:type="dxa" w:w="1881"/>
            <w:shd w:val="clear" w:color="auto" w:fill="FFFFFF"/>
          </w:tcPr>
          <w:p>
            <w:r>
              <w:rPr>
                <w:sz w:val="18"/>
              </w:rPr>
              <w:t>Distribution</w:t>
            </w:r>
          </w:p>
        </w:tc>
        <w:tc>
          <w:tcPr>
            <w:tcW w:type="dxa" w:w="1881"/>
            <w:shd w:val="clear" w:color="auto" w:fill="FFFFFF"/>
          </w:tcPr>
          <w:p>
            <w:r>
              <w:rPr>
                <w:sz w:val="18"/>
              </w:rPr>
              <w:t>Medicines</w:t>
            </w:r>
          </w:p>
        </w:tc>
        <w:tc>
          <w:tcPr>
            <w:tcW w:type="dxa" w:w="1881"/>
            <w:shd w:val="clear" w:color="auto" w:fill="FFFFFF"/>
          </w:tcPr>
          <w:p>
            <w:r>
              <w:rPr>
                <w:sz w:val="18"/>
              </w:rPr>
              <w:t>NMS/JMS/wholesale supply</w:t>
            </w:r>
          </w:p>
        </w:tc>
        <w:tc>
          <w:tcPr>
            <w:tcW w:type="dxa" w:w="1881"/>
            <w:shd w:val="clear" w:color="auto" w:fill="FFFFFF"/>
          </w:tcPr>
          <w:p>
            <w:r>
              <w:rPr>
                <w:b/>
                <w:sz w:val="18"/>
              </w:rPr>
              <w:t>Active</w:t>
            </w:r>
          </w:p>
        </w:tc>
      </w:tr>
      <w:tr>
        <w:tc>
          <w:tcPr>
            <w:tcW w:type="dxa" w:w="1881"/>
            <w:shd w:val="clear" w:color="auto" w:fill="EEF3F9"/>
          </w:tcPr>
          <w:p>
            <w:r>
              <w:rPr>
                <w:sz w:val="18"/>
              </w:rPr>
              <w:t>V</w:t>
            </w:r>
          </w:p>
        </w:tc>
        <w:tc>
          <w:tcPr>
            <w:tcW w:type="dxa" w:w="1881"/>
            <w:shd w:val="clear" w:color="auto" w:fill="EEF3F9"/>
          </w:tcPr>
          <w:p>
            <w:r>
              <w:rPr>
                <w:sz w:val="18"/>
              </w:rPr>
              <w:t>Dispensing</w:t>
            </w:r>
          </w:p>
        </w:tc>
        <w:tc>
          <w:tcPr>
            <w:tcW w:type="dxa" w:w="1881"/>
            <w:shd w:val="clear" w:color="auto" w:fill="EEF3F9"/>
          </w:tcPr>
          <w:p>
            <w:r>
              <w:rPr>
                <w:sz w:val="18"/>
              </w:rPr>
              <w:t>Medicines</w:t>
            </w:r>
          </w:p>
        </w:tc>
        <w:tc>
          <w:tcPr>
            <w:tcW w:type="dxa" w:w="1881"/>
            <w:shd w:val="clear" w:color="auto" w:fill="EEF3F9"/>
          </w:tcPr>
          <w:p>
            <w:r>
              <w:rPr>
                <w:sz w:val="18"/>
              </w:rPr>
              <w:t>Pharmacies, hospitals, patients</w:t>
            </w:r>
          </w:p>
        </w:tc>
        <w:tc>
          <w:tcPr>
            <w:tcW w:type="dxa" w:w="1881"/>
            <w:shd w:val="clear" w:color="auto" w:fill="EEF3F9"/>
          </w:tcPr>
          <w:p>
            <w:r>
              <w:rPr>
                <w:b/>
                <w:sz w:val="18"/>
              </w:rPr>
              <w:t>Active</w:t>
            </w:r>
          </w:p>
        </w:tc>
      </w:tr>
    </w:tbl>
    <w:p/>
    <w:p>
      <w:r>
        <w:rPr>
          <w:b/>
        </w:rPr>
        <w:t>Where value is captured and lost.</w:t>
      </w:r>
      <w:r>
        <w:t xml:space="preserve"> Uganda imports roughly </w:t>
      </w:r>
      <w:r>
        <w:rPr>
          <w:b/>
        </w:rPr>
        <w:t>90% of its medicines</w:t>
      </w:r>
      <w:r>
        <w:t xml:space="preserve"> (down from 96% in 2016); the medical/pharmaceutical import bill was about </w:t>
      </w:r>
      <w:r>
        <w:rPr>
          <w:b/>
        </w:rPr>
        <w:t>USD 534 million in 2023</w:t>
      </w:r>
      <w:r>
        <w:t xml:space="preserve">, with medicaments (HS 3004) imports of </w:t>
      </w:r>
      <w:r>
        <w:rPr>
          <w:b/>
        </w:rPr>
        <w:t>USD 263.4 million in 2024</w:t>
      </w:r>
      <w:r>
        <w:t xml:space="preserve"> (ITC TradeMap). The domestic market is ~USD 221m (2023). Local manufacturing adds value at formulation/packaging but depends entirely on imported APIs — the deepest structural gap.</w:t>
      </w:r>
    </w:p>
    <w:p>
      <w:pPr>
        <w:pStyle w:val="Heading2"/>
      </w:pPr>
      <w:r>
        <w:t>5.B Current Status</w:t>
      </w:r>
    </w:p>
    <w:p>
      <w:pPr>
        <w:pStyle w:val="Heading3"/>
      </w:pPr>
      <w:r>
        <w:t>Status snapshot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Indicator</w:t>
            </w:r>
          </w:p>
        </w:tc>
        <w:tc>
          <w:tcPr>
            <w:tcW w:type="dxa" w:w="3135"/>
            <w:shd w:val="clear" w:color="auto" w:fill="002B5B"/>
          </w:tcPr>
          <w:p>
            <w:r>
              <w:rPr>
                <w:b/>
                <w:color w:val="FFFFFF"/>
                <w:sz w:val="18"/>
              </w:rPr>
              <w:t>Value</w:t>
            </w:r>
          </w:p>
        </w:tc>
        <w:tc>
          <w:tcPr>
            <w:tcW w:type="dxa" w:w="3135"/>
            <w:shd w:val="clear" w:color="auto" w:fill="002B5B"/>
          </w:tcPr>
          <w:p>
            <w:r>
              <w:rPr>
                <w:b/>
                <w:color w:val="FFFFFF"/>
                <w:sz w:val="18"/>
              </w:rPr>
              <w:t>Source</w:t>
            </w:r>
          </w:p>
        </w:tc>
      </w:tr>
      <w:tr>
        <w:tc>
          <w:tcPr>
            <w:tcW w:type="dxa" w:w="3135"/>
            <w:shd w:val="clear" w:color="auto" w:fill="EEF3F9"/>
          </w:tcPr>
          <w:p>
            <w:r>
              <w:rPr>
                <w:sz w:val="18"/>
              </w:rPr>
              <w:t>Domestic market</w:t>
            </w:r>
          </w:p>
        </w:tc>
        <w:tc>
          <w:tcPr>
            <w:tcW w:type="dxa" w:w="3135"/>
            <w:shd w:val="clear" w:color="auto" w:fill="EEF3F9"/>
          </w:tcPr>
          <w:p>
            <w:r>
              <w:rPr>
                <w:sz w:val="18"/>
              </w:rPr>
              <w:t>~</w:t>
            </w:r>
            <w:r>
              <w:rPr>
                <w:b/>
                <w:sz w:val="18"/>
              </w:rPr>
              <w:t>USD 221m (2023)</w:t>
            </w:r>
            <w:r>
              <w:rPr>
                <w:sz w:val="18"/>
              </w:rPr>
              <w:t>, growing ~9.4%/yr</w:t>
            </w:r>
          </w:p>
        </w:tc>
        <w:tc>
          <w:tcPr>
            <w:tcW w:type="dxa" w:w="3135"/>
            <w:shd w:val="clear" w:color="auto" w:fill="EEF3F9"/>
          </w:tcPr>
          <w:p>
            <w:r>
              <w:rPr>
                <w:sz w:val="18"/>
              </w:rPr>
              <w:t>Statista; sector</w:t>
            </w:r>
          </w:p>
        </w:tc>
      </w:tr>
      <w:tr>
        <w:tc>
          <w:tcPr>
            <w:tcW w:type="dxa" w:w="3135"/>
            <w:shd w:val="clear" w:color="auto" w:fill="FFFFFF"/>
          </w:tcPr>
          <w:p>
            <w:r>
              <w:rPr>
                <w:sz w:val="18"/>
              </w:rPr>
              <w:t>Import dependence</w:t>
            </w:r>
          </w:p>
        </w:tc>
        <w:tc>
          <w:tcPr>
            <w:tcW w:type="dxa" w:w="3135"/>
            <w:shd w:val="clear" w:color="auto" w:fill="FFFFFF"/>
          </w:tcPr>
          <w:p>
            <w:r>
              <w:rPr>
                <w:b/>
                <w:sz w:val="18"/>
              </w:rPr>
              <w:t>~90% of medicines</w:t>
            </w:r>
            <w:r>
              <w:rPr>
                <w:sz w:val="18"/>
              </w:rPr>
              <w:t xml:space="preserve"> (was 96% in 2016)</w:t>
            </w:r>
          </w:p>
        </w:tc>
        <w:tc>
          <w:tcPr>
            <w:tcW w:type="dxa" w:w="3135"/>
            <w:shd w:val="clear" w:color="auto" w:fill="FFFFFF"/>
          </w:tcPr>
          <w:p>
            <w:r>
              <w:rPr>
                <w:sz w:val="18"/>
              </w:rPr>
              <w:t>UNIDO; sector</w:t>
            </w:r>
          </w:p>
        </w:tc>
      </w:tr>
      <w:tr>
        <w:tc>
          <w:tcPr>
            <w:tcW w:type="dxa" w:w="3135"/>
            <w:shd w:val="clear" w:color="auto" w:fill="EEF3F9"/>
          </w:tcPr>
          <w:p>
            <w:r>
              <w:rPr>
                <w:sz w:val="18"/>
              </w:rPr>
              <w:t>Medicaments imports (HS 3004)</w:t>
            </w:r>
          </w:p>
        </w:tc>
        <w:tc>
          <w:tcPr>
            <w:tcW w:type="dxa" w:w="3135"/>
            <w:shd w:val="clear" w:color="auto" w:fill="EEF3F9"/>
          </w:tcPr>
          <w:p>
            <w:r>
              <w:rPr>
                <w:b/>
                <w:sz w:val="18"/>
              </w:rPr>
              <w:t>USD 263.4m (2024)</w:t>
            </w:r>
          </w:p>
        </w:tc>
        <w:tc>
          <w:tcPr>
            <w:tcW w:type="dxa" w:w="3135"/>
            <w:shd w:val="clear" w:color="auto" w:fill="EEF3F9"/>
          </w:tcPr>
          <w:p>
            <w:r>
              <w:rPr>
                <w:sz w:val="18"/>
              </w:rPr>
              <w:t>ITC TradeMap</w:t>
            </w:r>
          </w:p>
        </w:tc>
      </w:tr>
      <w:tr>
        <w:tc>
          <w:tcPr>
            <w:tcW w:type="dxa" w:w="3135"/>
            <w:shd w:val="clear" w:color="auto" w:fill="FFFFFF"/>
          </w:tcPr>
          <w:p>
            <w:r>
              <w:rPr>
                <w:sz w:val="18"/>
              </w:rPr>
              <w:t>WHO-GMP-aligned manufacturers</w:t>
            </w:r>
          </w:p>
        </w:tc>
        <w:tc>
          <w:tcPr>
            <w:tcW w:type="dxa" w:w="3135"/>
            <w:shd w:val="clear" w:color="auto" w:fill="FFFFFF"/>
          </w:tcPr>
          <w:p>
            <w:r>
              <w:rPr>
                <w:b/>
                <w:sz w:val="18"/>
              </w:rPr>
              <w:t>6</w:t>
            </w:r>
          </w:p>
        </w:tc>
        <w:tc>
          <w:tcPr>
            <w:tcW w:type="dxa" w:w="3135"/>
            <w:shd w:val="clear" w:color="auto" w:fill="FFFFFF"/>
          </w:tcPr>
          <w:p>
            <w:r>
              <w:rPr>
                <w:sz w:val="18"/>
              </w:rPr>
              <w:t>NDA; UNIDO</w:t>
            </w:r>
          </w:p>
        </w:tc>
      </w:tr>
      <w:tr>
        <w:tc>
          <w:tcPr>
            <w:tcW w:type="dxa" w:w="3135"/>
            <w:shd w:val="clear" w:color="auto" w:fill="EEF3F9"/>
          </w:tcPr>
          <w:p>
            <w:r>
              <w:rPr>
                <w:sz w:val="18"/>
              </w:rPr>
              <w:t>Flagship</w:t>
            </w:r>
          </w:p>
        </w:tc>
        <w:tc>
          <w:tcPr>
            <w:tcW w:type="dxa" w:w="3135"/>
            <w:shd w:val="clear" w:color="auto" w:fill="EEF3F9"/>
          </w:tcPr>
          <w:p>
            <w:r>
              <w:rPr>
                <w:b/>
                <w:sz w:val="18"/>
              </w:rPr>
              <w:t>Cipla QCIL</w:t>
            </w:r>
            <w:r>
              <w:rPr>
                <w:sz w:val="18"/>
              </w:rPr>
              <w:t xml:space="preserve"> — ~1.2bn tablets/capsules/yr; ~UGX 267bn revenue (FY24/25)</w:t>
            </w:r>
          </w:p>
        </w:tc>
        <w:tc>
          <w:tcPr>
            <w:tcW w:type="dxa" w:w="3135"/>
            <w:shd w:val="clear" w:color="auto" w:fill="EEF3F9"/>
          </w:tcPr>
          <w:p>
            <w:r>
              <w:rPr>
                <w:sz w:val="18"/>
              </w:rPr>
              <w:t>QCIL; Cipla</w:t>
            </w:r>
          </w:p>
        </w:tc>
      </w:tr>
      <w:tr>
        <w:tc>
          <w:tcPr>
            <w:tcW w:type="dxa" w:w="3135"/>
            <w:shd w:val="clear" w:color="auto" w:fill="FFFFFF"/>
          </w:tcPr>
          <w:p>
            <w:r>
              <w:rPr>
                <w:sz w:val="18"/>
              </w:rPr>
              <w:t>Other manufacturers</w:t>
            </w:r>
          </w:p>
        </w:tc>
        <w:tc>
          <w:tcPr>
            <w:tcW w:type="dxa" w:w="3135"/>
            <w:shd w:val="clear" w:color="auto" w:fill="FFFFFF"/>
          </w:tcPr>
          <w:p>
            <w:r>
              <w:rPr>
                <w:sz w:val="18"/>
              </w:rPr>
              <w:t>KPI, Rene Industries, Abacus Pharma</w:t>
            </w:r>
          </w:p>
        </w:tc>
        <w:tc>
          <w:tcPr>
            <w:tcW w:type="dxa" w:w="3135"/>
            <w:shd w:val="clear" w:color="auto" w:fill="FFFFFF"/>
          </w:tcPr>
          <w:p>
            <w:r>
              <w:rPr>
                <w:sz w:val="18"/>
              </w:rPr>
              <w:t>NDA</w:t>
            </w:r>
          </w:p>
        </w:tc>
      </w:tr>
      <w:tr>
        <w:tc>
          <w:tcPr>
            <w:tcW w:type="dxa" w:w="3135"/>
            <w:shd w:val="clear" w:color="auto" w:fill="EEF3F9"/>
          </w:tcPr>
          <w:p>
            <w:r>
              <w:rPr>
                <w:sz w:val="18"/>
              </w:rPr>
              <w:t>Local pharma employment</w:t>
            </w:r>
          </w:p>
        </w:tc>
        <w:tc>
          <w:tcPr>
            <w:tcW w:type="dxa" w:w="3135"/>
            <w:shd w:val="clear" w:color="auto" w:fill="EEF3F9"/>
          </w:tcPr>
          <w:p>
            <w:r>
              <w:rPr>
                <w:sz w:val="18"/>
              </w:rPr>
              <w:t>+~42% (2017–2019)</w:t>
            </w:r>
          </w:p>
        </w:tc>
        <w:tc>
          <w:tcPr>
            <w:tcW w:type="dxa" w:w="3135"/>
            <w:shd w:val="clear" w:color="auto" w:fill="EEF3F9"/>
          </w:tcPr>
          <w:p>
            <w:r>
              <w:rPr>
                <w:sz w:val="18"/>
              </w:rPr>
              <w:t>UNIDO</w:t>
            </w:r>
          </w:p>
        </w:tc>
      </w:tr>
    </w:tbl>
    <w:p/>
    <w:p>
      <w:r>
        <w:rPr>
          <w:b/>
        </w:rPr>
        <w:t>Local manufacturing base.</w:t>
      </w:r>
      <w:r>
        <w:t xml:space="preserve"> Six </w:t>
      </w:r>
      <w:r>
        <w:rPr>
          <w:b/>
        </w:rPr>
        <w:t>WHO-GMP-aligned</w:t>
      </w:r>
      <w:r>
        <w:t xml:space="preserve"> manufacturers produce NDA-registered drugs. Flagship </w:t>
      </w:r>
      <w:r>
        <w:rPr>
          <w:b/>
        </w:rPr>
        <w:t>Cipla Quality Chemical Industries Ltd (QCIL)</w:t>
      </w:r>
      <w:r>
        <w:t xml:space="preserve"> (est. 2005) has capacity ~</w:t>
      </w:r>
      <w:r>
        <w:rPr>
          <w:b/>
        </w:rPr>
        <w:t>1.2 billion tablets/capsules per year</w:t>
      </w:r>
      <w:r>
        <w:t>, producing ARVs, antimalarials and a growing non-communicable-disease (NCD) portfolio, exporting across Africa; FY24/25 revenue ~</w:t>
      </w:r>
      <w:r>
        <w:rPr>
          <w:b/>
        </w:rPr>
        <w:t>UGX 267 billion</w:t>
      </w:r>
      <w:r>
        <w:t xml:space="preserve">. Others: </w:t>
      </w:r>
      <w:r>
        <w:rPr>
          <w:b/>
        </w:rPr>
        <w:t>KPI, Rene Industries, Abacus Pharma</w:t>
      </w:r>
      <w:r>
        <w:t>.</w:t>
      </w:r>
    </w:p>
    <w:p>
      <w:r>
        <w:rPr>
          <w:b/>
        </w:rPr>
        <w:t>Regulation.</w:t>
      </w:r>
      <w:r>
        <w:t xml:space="preserve"> The </w:t>
      </w:r>
      <w:r>
        <w:rPr>
          <w:b/>
        </w:rPr>
        <w:t>NDA</w:t>
      </w:r>
      <w:r>
        <w:t xml:space="preserve"> governs registration, importation, manufacturing standards and pharmacovigilance; the </w:t>
      </w:r>
      <w:r>
        <w:rPr>
          <w:b/>
        </w:rPr>
        <w:t>National Drug Register (June 2024)</w:t>
      </w:r>
      <w:r>
        <w:t xml:space="preserve"> is the reference.</w:t>
      </w:r>
    </w:p>
    <w:p>
      <w:r>
        <w:rPr>
          <w:b/>
        </w:rPr>
        <w:t>Trade position.</w:t>
      </w:r>
      <w:r>
        <w:t xml:space="preserve"> Medicaments (HS 3004) imports USD 263.4m dominate (India, Kenya, Europe); QCIL exports regionally but exports are small versus imports.</w:t>
      </w:r>
    </w:p>
    <w:p>
      <w:pPr>
        <w:pStyle w:val="Heading2"/>
      </w:pPr>
      <w:r>
        <w:t>5.C Market Analysis (four levels) and 2040 Projection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Level</w:t>
            </w:r>
          </w:p>
        </w:tc>
        <w:tc>
          <w:tcPr>
            <w:tcW w:type="dxa" w:w="3135"/>
            <w:shd w:val="clear" w:color="auto" w:fill="002B5B"/>
          </w:tcPr>
          <w:p>
            <w:r>
              <w:rPr>
                <w:b/>
                <w:color w:val="FFFFFF"/>
                <w:sz w:val="18"/>
              </w:rPr>
              <w:t>Size / Uganda position</w:t>
            </w:r>
          </w:p>
        </w:tc>
        <w:tc>
          <w:tcPr>
            <w:tcW w:type="dxa" w:w="3135"/>
            <w:shd w:val="clear" w:color="auto" w:fill="002B5B"/>
          </w:tcPr>
          <w:p>
            <w:r>
              <w:rPr>
                <w:b/>
                <w:color w:val="FFFFFF"/>
                <w:sz w:val="18"/>
              </w:rPr>
              <w:t>Drivers</w:t>
            </w:r>
          </w:p>
        </w:tc>
      </w:tr>
      <w:tr>
        <w:tc>
          <w:tcPr>
            <w:tcW w:type="dxa" w:w="3135"/>
            <w:shd w:val="clear" w:color="auto" w:fill="EEF3F9"/>
          </w:tcPr>
          <w:p>
            <w:r>
              <w:rPr>
                <w:b/>
                <w:sz w:val="18"/>
              </w:rPr>
              <w:t>Uganda (domestic)</w:t>
            </w:r>
          </w:p>
        </w:tc>
        <w:tc>
          <w:tcPr>
            <w:tcW w:type="dxa" w:w="3135"/>
            <w:shd w:val="clear" w:color="auto" w:fill="EEF3F9"/>
          </w:tcPr>
          <w:p>
            <w:r>
              <w:rPr>
                <w:sz w:val="18"/>
              </w:rPr>
              <w:t>~USD 221m (2023), +9.4%/yr; ~90% imported — large substitution headroom</w:t>
            </w:r>
          </w:p>
        </w:tc>
        <w:tc>
          <w:tcPr>
            <w:tcW w:type="dxa" w:w="3135"/>
            <w:shd w:val="clear" w:color="auto" w:fill="EEF3F9"/>
          </w:tcPr>
          <w:p>
            <w:r>
              <w:rPr>
                <w:sz w:val="18"/>
              </w:rPr>
              <w:t>Population, disease burden, UHC push, public/donor procurement</w:t>
            </w:r>
          </w:p>
        </w:tc>
      </w:tr>
      <w:tr>
        <w:tc>
          <w:tcPr>
            <w:tcW w:type="dxa" w:w="3135"/>
            <w:shd w:val="clear" w:color="auto" w:fill="FFFFFF"/>
          </w:tcPr>
          <w:p>
            <w:r>
              <w:rPr>
                <w:b/>
                <w:sz w:val="18"/>
              </w:rPr>
              <w:t>Regional (EAC + COMESA)</w:t>
            </w:r>
          </w:p>
        </w:tc>
        <w:tc>
          <w:tcPr>
            <w:tcW w:type="dxa" w:w="3135"/>
            <w:shd w:val="clear" w:color="auto" w:fill="FFFFFF"/>
          </w:tcPr>
          <w:p>
            <w:r>
              <w:rPr>
                <w:sz w:val="18"/>
              </w:rPr>
              <w:t>QCIL exports ARVs/antimalarials across Africa; donor disease programmes (HIV, malaria, TB) a structured market</w:t>
            </w:r>
          </w:p>
        </w:tc>
        <w:tc>
          <w:tcPr>
            <w:tcW w:type="dxa" w:w="3135"/>
            <w:shd w:val="clear" w:color="auto" w:fill="FFFFFF"/>
          </w:tcPr>
          <w:p>
            <w:r>
              <w:rPr>
                <w:sz w:val="18"/>
              </w:rPr>
              <w:t>EAC medicines harmonisation; donor demand</w:t>
            </w:r>
          </w:p>
        </w:tc>
      </w:tr>
      <w:tr>
        <w:tc>
          <w:tcPr>
            <w:tcW w:type="dxa" w:w="3135"/>
            <w:shd w:val="clear" w:color="auto" w:fill="EEF3F9"/>
          </w:tcPr>
          <w:p>
            <w:r>
              <w:rPr>
                <w:b/>
                <w:sz w:val="18"/>
              </w:rPr>
              <w:t>Continental (Africa)</w:t>
            </w:r>
          </w:p>
        </w:tc>
        <w:tc>
          <w:tcPr>
            <w:tcW w:type="dxa" w:w="3135"/>
            <w:shd w:val="clear" w:color="auto" w:fill="EEF3F9"/>
          </w:tcPr>
          <w:p>
            <w:r>
              <w:rPr>
                <w:sz w:val="18"/>
              </w:rPr>
              <w:t>Large import-met market; AfCFTA + African Medicines Agency; local-production push</w:t>
            </w:r>
          </w:p>
        </w:tc>
        <w:tc>
          <w:tcPr>
            <w:tcW w:type="dxa" w:w="3135"/>
            <w:shd w:val="clear" w:color="auto" w:fill="EEF3F9"/>
          </w:tcPr>
          <w:p>
            <w:r>
              <w:rPr>
                <w:sz w:val="18"/>
              </w:rPr>
              <w:t>Health security; AMA harmonisation</w:t>
            </w:r>
          </w:p>
        </w:tc>
      </w:tr>
      <w:tr>
        <w:tc>
          <w:tcPr>
            <w:tcW w:type="dxa" w:w="3135"/>
            <w:shd w:val="clear" w:color="auto" w:fill="FFFFFF"/>
          </w:tcPr>
          <w:p>
            <w:r>
              <w:rPr>
                <w:b/>
                <w:sz w:val="18"/>
              </w:rPr>
              <w:t>Global</w:t>
            </w:r>
          </w:p>
        </w:tc>
        <w:tc>
          <w:tcPr>
            <w:tcW w:type="dxa" w:w="3135"/>
            <w:shd w:val="clear" w:color="auto" w:fill="FFFFFF"/>
          </w:tcPr>
          <w:p>
            <w:r>
              <w:rPr>
                <w:sz w:val="18"/>
              </w:rPr>
              <w:t>WHO-prequalification opens global donor procurement for specific products (QCIL proven)</w:t>
            </w:r>
          </w:p>
        </w:tc>
        <w:tc>
          <w:tcPr>
            <w:tcW w:type="dxa" w:w="3135"/>
            <w:shd w:val="clear" w:color="auto" w:fill="FFFFFF"/>
          </w:tcPr>
          <w:p>
            <w:r>
              <w:rPr>
                <w:sz w:val="18"/>
              </w:rPr>
              <w:t>Donor-funded essential medicines</w:t>
            </w:r>
          </w:p>
        </w:tc>
      </w:tr>
    </w:tbl>
    <w:p/>
    <w:p>
      <w:pPr>
        <w:pStyle w:val="Heading3"/>
      </w:pPr>
      <w:r>
        <w:t>2040 projection — Tenfold logic</w:t>
      </w:r>
    </w:p>
    <w:p>
      <w:r>
        <w:t xml:space="preserve">At ~9.4%/yr the market roughly </w:t>
      </w:r>
      <w:r>
        <w:rPr>
          <w:b/>
        </w:rPr>
        <w:t>quadruples to ~USD 0.9–1.2 billion by 2040</w:t>
      </w:r>
      <w:r>
        <w:t xml:space="preserve">, and a ten-times-larger economy with universal-health-coverage ambitions pushes it higher. The strategic goal is to </w:t>
      </w:r>
      <w:r>
        <w:rPr>
          <w:b/>
        </w:rPr>
        <w:t>cut import dependence from ~90% toward a substantial domestic share</w:t>
      </w:r>
      <w:r>
        <w:t>, capturing that growth locally in essential generics and consumables, with donor/regional export of prequalified products. Other markets grow on business-as-usual + health-security localisation.</w:t>
      </w:r>
    </w:p>
    <w:p>
      <w:pPr>
        <w:pStyle w:val="Heading2"/>
      </w:pPr>
      <w:r>
        <w:t>5.D Binding Constraints — Weighted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w:t>
            </w:r>
          </w:p>
        </w:tc>
        <w:tc>
          <w:tcPr>
            <w:tcW w:type="dxa" w:w="2351"/>
            <w:shd w:val="clear" w:color="auto" w:fill="002B5B"/>
          </w:tcPr>
          <w:p>
            <w:r>
              <w:rPr>
                <w:b/>
                <w:color w:val="FFFFFF"/>
                <w:sz w:val="18"/>
              </w:rPr>
              <w:t>Constraint (category)</w:t>
            </w:r>
          </w:p>
        </w:tc>
        <w:tc>
          <w:tcPr>
            <w:tcW w:type="dxa" w:w="2351"/>
            <w:shd w:val="clear" w:color="auto" w:fill="002B5B"/>
          </w:tcPr>
          <w:p>
            <w:r>
              <w:rPr>
                <w:b/>
                <w:color w:val="FFFFFF"/>
                <w:sz w:val="18"/>
              </w:rPr>
              <w:t>Weight</w:t>
            </w:r>
          </w:p>
        </w:tc>
        <w:tc>
          <w:tcPr>
            <w:tcW w:type="dxa" w:w="2351"/>
            <w:shd w:val="clear" w:color="auto" w:fill="002B5B"/>
          </w:tcPr>
          <w:p>
            <w:r>
              <w:rPr>
                <w:b/>
                <w:color w:val="FFFFFF"/>
                <w:sz w:val="18"/>
              </w:rPr>
              <w:t>Evidence / gravity</w:t>
            </w:r>
          </w:p>
        </w:tc>
      </w:tr>
      <w:tr>
        <w:tc>
          <w:tcPr>
            <w:tcW w:type="dxa" w:w="2351"/>
            <w:shd w:val="clear" w:color="auto" w:fill="EEF3F9"/>
          </w:tcPr>
          <w:p>
            <w:r>
              <w:rPr>
                <w:sz w:val="18"/>
              </w:rPr>
              <w:t>1</w:t>
            </w:r>
          </w:p>
        </w:tc>
        <w:tc>
          <w:tcPr>
            <w:tcW w:type="dxa" w:w="2351"/>
            <w:shd w:val="clear" w:color="auto" w:fill="EEF3F9"/>
          </w:tcPr>
          <w:p>
            <w:r>
              <w:rPr>
                <w:b/>
                <w:sz w:val="18"/>
              </w:rPr>
              <w:t>API/excipient import dependence (inputs)</w:t>
            </w:r>
          </w:p>
        </w:tc>
        <w:tc>
          <w:tcPr>
            <w:tcW w:type="dxa" w:w="2351"/>
            <w:shd w:val="clear" w:color="auto" w:fill="EEF3F9"/>
          </w:tcPr>
          <w:p>
            <w:r>
              <w:rPr>
                <w:b/>
                <w:sz w:val="18"/>
              </w:rPr>
              <w:t>5</w:t>
            </w:r>
          </w:p>
        </w:tc>
        <w:tc>
          <w:tcPr>
            <w:tcW w:type="dxa" w:w="2351"/>
            <w:shd w:val="clear" w:color="auto" w:fill="EEF3F9"/>
          </w:tcPr>
          <w:p>
            <w:r>
              <w:rPr>
                <w:sz w:val="18"/>
              </w:rPr>
              <w:t>Near-total dependence on imported APIs — the deepest structural and supply-security risk</w:t>
            </w:r>
          </w:p>
        </w:tc>
      </w:tr>
      <w:tr>
        <w:tc>
          <w:tcPr>
            <w:tcW w:type="dxa" w:w="2351"/>
            <w:shd w:val="clear" w:color="auto" w:fill="FFFFFF"/>
          </w:tcPr>
          <w:p>
            <w:r>
              <w:rPr>
                <w:sz w:val="18"/>
              </w:rPr>
              <w:t>2</w:t>
            </w:r>
          </w:p>
        </w:tc>
        <w:tc>
          <w:tcPr>
            <w:tcW w:type="dxa" w:w="2351"/>
            <w:shd w:val="clear" w:color="auto" w:fill="FFFFFF"/>
          </w:tcPr>
          <w:p>
            <w:r>
              <w:rPr>
                <w:b/>
                <w:sz w:val="18"/>
              </w:rPr>
              <w:t>WHO-GMP / quality-systems depth (standards/technology)</w:t>
            </w:r>
          </w:p>
        </w:tc>
        <w:tc>
          <w:tcPr>
            <w:tcW w:type="dxa" w:w="2351"/>
            <w:shd w:val="clear" w:color="auto" w:fill="FFFFFF"/>
          </w:tcPr>
          <w:p>
            <w:r>
              <w:rPr>
                <w:b/>
                <w:sz w:val="18"/>
              </w:rPr>
              <w:t>5</w:t>
            </w:r>
          </w:p>
        </w:tc>
        <w:tc>
          <w:tcPr>
            <w:tcW w:type="dxa" w:w="2351"/>
            <w:shd w:val="clear" w:color="auto" w:fill="FFFFFF"/>
          </w:tcPr>
          <w:p>
            <w:r>
              <w:rPr>
                <w:sz w:val="18"/>
              </w:rPr>
              <w:t>GMP + NDA registration are the gatekeepers; capability exists (QCIL) but is concentrated; broader industry needs upgrading</w:t>
            </w:r>
          </w:p>
        </w:tc>
      </w:tr>
      <w:tr>
        <w:tc>
          <w:tcPr>
            <w:tcW w:type="dxa" w:w="2351"/>
            <w:shd w:val="clear" w:color="auto" w:fill="EEF3F9"/>
          </w:tcPr>
          <w:p>
            <w:r>
              <w:rPr>
                <w:sz w:val="18"/>
              </w:rPr>
              <w:t>3</w:t>
            </w:r>
          </w:p>
        </w:tc>
        <w:tc>
          <w:tcPr>
            <w:tcW w:type="dxa" w:w="2351"/>
            <w:shd w:val="clear" w:color="auto" w:fill="EEF3F9"/>
          </w:tcPr>
          <w:p>
            <w:r>
              <w:rPr>
                <w:b/>
                <w:sz w:val="18"/>
              </w:rPr>
              <w:t>Capital + long regulatory lead times (finance)</w:t>
            </w:r>
          </w:p>
        </w:tc>
        <w:tc>
          <w:tcPr>
            <w:tcW w:type="dxa" w:w="2351"/>
            <w:shd w:val="clear" w:color="auto" w:fill="EEF3F9"/>
          </w:tcPr>
          <w:p>
            <w:r>
              <w:rPr>
                <w:b/>
                <w:sz w:val="18"/>
              </w:rPr>
              <w:t>4</w:t>
            </w:r>
          </w:p>
        </w:tc>
        <w:tc>
          <w:tcPr>
            <w:tcW w:type="dxa" w:w="2351"/>
            <w:shd w:val="clear" w:color="auto" w:fill="EEF3F9"/>
          </w:tcPr>
          <w:p>
            <w:r>
              <w:rPr>
                <w:sz w:val="18"/>
              </w:rPr>
              <w:t>GMP plants are capital-intensive with multi-year approval cycles; patient capital scarce</w:t>
            </w:r>
          </w:p>
        </w:tc>
      </w:tr>
      <w:tr>
        <w:tc>
          <w:tcPr>
            <w:tcW w:type="dxa" w:w="2351"/>
            <w:shd w:val="clear" w:color="auto" w:fill="FFFFFF"/>
          </w:tcPr>
          <w:p>
            <w:r>
              <w:rPr>
                <w:sz w:val="18"/>
              </w:rPr>
              <w:t>4</w:t>
            </w:r>
          </w:p>
        </w:tc>
        <w:tc>
          <w:tcPr>
            <w:tcW w:type="dxa" w:w="2351"/>
            <w:shd w:val="clear" w:color="auto" w:fill="FFFFFF"/>
          </w:tcPr>
          <w:p>
            <w:r>
              <w:rPr>
                <w:b/>
                <w:sz w:val="18"/>
              </w:rPr>
              <w:t>Procurement/market access (policy)</w:t>
            </w:r>
          </w:p>
        </w:tc>
        <w:tc>
          <w:tcPr>
            <w:tcW w:type="dxa" w:w="2351"/>
            <w:shd w:val="clear" w:color="auto" w:fill="FFFFFF"/>
          </w:tcPr>
          <w:p>
            <w:r>
              <w:rPr>
                <w:b/>
                <w:sz w:val="18"/>
              </w:rPr>
              <w:t>4</w:t>
            </w:r>
          </w:p>
        </w:tc>
        <w:tc>
          <w:tcPr>
            <w:tcW w:type="dxa" w:w="2351"/>
            <w:shd w:val="clear" w:color="auto" w:fill="FFFFFF"/>
          </w:tcPr>
          <w:p>
            <w:r>
              <w:rPr>
                <w:sz w:val="18"/>
              </w:rPr>
              <w:t>Preferential public procurement (NMS/JMS) and NDA fees decisively shape local-production viability</w:t>
            </w:r>
          </w:p>
        </w:tc>
      </w:tr>
      <w:tr>
        <w:tc>
          <w:tcPr>
            <w:tcW w:type="dxa" w:w="2351"/>
            <w:shd w:val="clear" w:color="auto" w:fill="EEF3F9"/>
          </w:tcPr>
          <w:p>
            <w:r>
              <w:rPr>
                <w:sz w:val="18"/>
              </w:rPr>
              <w:t>5</w:t>
            </w:r>
          </w:p>
        </w:tc>
        <w:tc>
          <w:tcPr>
            <w:tcW w:type="dxa" w:w="2351"/>
            <w:shd w:val="clear" w:color="auto" w:fill="EEF3F9"/>
          </w:tcPr>
          <w:p>
            <w:r>
              <w:rPr>
                <w:b/>
                <w:sz w:val="18"/>
              </w:rPr>
              <w:t>Skills (skills)</w:t>
            </w:r>
          </w:p>
        </w:tc>
        <w:tc>
          <w:tcPr>
            <w:tcW w:type="dxa" w:w="2351"/>
            <w:shd w:val="clear" w:color="auto" w:fill="EEF3F9"/>
          </w:tcPr>
          <w:p>
            <w:r>
              <w:rPr>
                <w:b/>
                <w:sz w:val="18"/>
              </w:rPr>
              <w:t>3</w:t>
            </w:r>
          </w:p>
        </w:tc>
        <w:tc>
          <w:tcPr>
            <w:tcW w:type="dxa" w:w="2351"/>
            <w:shd w:val="clear" w:color="auto" w:fill="EEF3F9"/>
          </w:tcPr>
          <w:p>
            <w:r>
              <w:rPr>
                <w:sz w:val="18"/>
              </w:rPr>
              <w:t>Pharmacists, QA/QC and regulatory-affairs specialists in short supply</w:t>
            </w:r>
          </w:p>
        </w:tc>
      </w:tr>
      <w:tr>
        <w:tc>
          <w:tcPr>
            <w:tcW w:type="dxa" w:w="2351"/>
            <w:shd w:val="clear" w:color="auto" w:fill="FFFFFF"/>
          </w:tcPr>
          <w:p>
            <w:r>
              <w:rPr>
                <w:sz w:val="18"/>
              </w:rPr>
              <w:t>6</w:t>
            </w:r>
          </w:p>
        </w:tc>
        <w:tc>
          <w:tcPr>
            <w:tcW w:type="dxa" w:w="2351"/>
            <w:shd w:val="clear" w:color="auto" w:fill="FFFFFF"/>
          </w:tcPr>
          <w:p>
            <w:r>
              <w:rPr>
                <w:b/>
                <w:sz w:val="18"/>
              </w:rPr>
              <w:t>Reliable power &amp; pharma-grade utilities (energy/water)</w:t>
            </w:r>
          </w:p>
        </w:tc>
        <w:tc>
          <w:tcPr>
            <w:tcW w:type="dxa" w:w="2351"/>
            <w:shd w:val="clear" w:color="auto" w:fill="FFFFFF"/>
          </w:tcPr>
          <w:p>
            <w:r>
              <w:rPr>
                <w:b/>
                <w:sz w:val="18"/>
              </w:rPr>
              <w:t>3</w:t>
            </w:r>
          </w:p>
        </w:tc>
        <w:tc>
          <w:tcPr>
            <w:tcW w:type="dxa" w:w="2351"/>
            <w:shd w:val="clear" w:color="auto" w:fill="FFFFFF"/>
          </w:tcPr>
          <w:p>
            <w:r>
              <w:rPr>
                <w:sz w:val="18"/>
              </w:rPr>
              <w:t>GMP needs uninterrupted clean power and pharma-grade water; backup adds cost</w:t>
            </w:r>
          </w:p>
        </w:tc>
      </w:tr>
      <w:tr>
        <w:tc>
          <w:tcPr>
            <w:tcW w:type="dxa" w:w="2351"/>
            <w:shd w:val="clear" w:color="auto" w:fill="EEF3F9"/>
          </w:tcPr>
          <w:p>
            <w:r>
              <w:rPr>
                <w:sz w:val="18"/>
              </w:rPr>
              <w:t>7</w:t>
            </w:r>
          </w:p>
        </w:tc>
        <w:tc>
          <w:tcPr>
            <w:tcW w:type="dxa" w:w="2351"/>
            <w:shd w:val="clear" w:color="auto" w:fill="EEF3F9"/>
          </w:tcPr>
          <w:p>
            <w:r>
              <w:rPr>
                <w:b/>
                <w:sz w:val="18"/>
              </w:rPr>
              <w:t>Cold-chain &amp; distribution logistics (infrastructure)</w:t>
            </w:r>
          </w:p>
        </w:tc>
        <w:tc>
          <w:tcPr>
            <w:tcW w:type="dxa" w:w="2351"/>
            <w:shd w:val="clear" w:color="auto" w:fill="EEF3F9"/>
          </w:tcPr>
          <w:p>
            <w:r>
              <w:rPr>
                <w:b/>
                <w:sz w:val="18"/>
              </w:rPr>
              <w:t>3</w:t>
            </w:r>
          </w:p>
        </w:tc>
        <w:tc>
          <w:tcPr>
            <w:tcW w:type="dxa" w:w="2351"/>
            <w:shd w:val="clear" w:color="auto" w:fill="EEF3F9"/>
          </w:tcPr>
          <w:p>
            <w:r>
              <w:rPr>
                <w:sz w:val="18"/>
              </w:rPr>
              <w:t>Cold-chain and reliable distribution required; landlocked costs raise API prices</w:t>
            </w:r>
          </w:p>
        </w:tc>
      </w:tr>
      <w:tr>
        <w:tc>
          <w:tcPr>
            <w:tcW w:type="dxa" w:w="2351"/>
            <w:shd w:val="clear" w:color="auto" w:fill="FFFFFF"/>
          </w:tcPr>
          <w:p>
            <w:r>
              <w:rPr>
                <w:sz w:val="18"/>
              </w:rPr>
              <w:t>8</w:t>
            </w:r>
          </w:p>
        </w:tc>
        <w:tc>
          <w:tcPr>
            <w:tcW w:type="dxa" w:w="2351"/>
            <w:shd w:val="clear" w:color="auto" w:fill="FFFFFF"/>
          </w:tcPr>
          <w:p>
            <w:r>
              <w:rPr>
                <w:b/>
                <w:sz w:val="18"/>
              </w:rPr>
              <w:t>Pharma waste handling (waste)</w:t>
            </w:r>
          </w:p>
        </w:tc>
        <w:tc>
          <w:tcPr>
            <w:tcW w:type="dxa" w:w="2351"/>
            <w:shd w:val="clear" w:color="auto" w:fill="FFFFFF"/>
          </w:tcPr>
          <w:p>
            <w:r>
              <w:rPr>
                <w:b/>
                <w:sz w:val="18"/>
              </w:rPr>
              <w:t>2</w:t>
            </w:r>
          </w:p>
        </w:tc>
        <w:tc>
          <w:tcPr>
            <w:tcW w:type="dxa" w:w="2351"/>
            <w:shd w:val="clear" w:color="auto" w:fill="FFFFFF"/>
          </w:tcPr>
          <w:p>
            <w:r>
              <w:rPr>
                <w:sz w:val="18"/>
              </w:rPr>
              <w:t>Incineration/effluent regulated under NEMA/NDA</w:t>
            </w:r>
          </w:p>
        </w:tc>
      </w:tr>
    </w:tbl>
    <w:p/>
    <w:p>
      <w:r>
        <w:t xml:space="preserve">The two critical constraints — </w:t>
      </w:r>
      <w:r>
        <w:rPr>
          <w:b/>
        </w:rPr>
        <w:t>API dependence</w:t>
      </w:r>
      <w:r>
        <w:t xml:space="preserve"> and </w:t>
      </w:r>
      <w:r>
        <w:rPr>
          <w:b/>
        </w:rPr>
        <w:t>GMP depth</w:t>
      </w:r>
      <w:r>
        <w:t xml:space="preserve"> — define the strategy: anchor on Uganda's proven GMP strength (QCIL) to scale finished essential medicines now, while selectively building API capability over time.</w:t>
      </w:r>
    </w:p>
    <w:p>
      <w:pPr>
        <w:pStyle w:val="Heading2"/>
      </w:pPr>
      <w:r>
        <w:t>5.E Greening &amp; Sustainability</w:t>
      </w:r>
    </w:p>
    <w:p>
      <w:r>
        <w:t xml:space="preserve">Green pharma is both a </w:t>
      </w:r>
      <w:r>
        <w:rPr>
          <w:b/>
        </w:rPr>
        <w:t>cost</w:t>
      </w:r>
      <w:r>
        <w:t xml:space="preserve"> and a </w:t>
      </w:r>
      <w:r>
        <w:rPr>
          <w:b/>
        </w:rPr>
        <w:t>compliance/market-access</w:t>
      </w:r>
      <w:r>
        <w:t xml:space="preserve"> play: GMP buyers and donors increasingly weigh environmental performance.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Dimension</w:t>
            </w:r>
          </w:p>
        </w:tc>
        <w:tc>
          <w:tcPr>
            <w:tcW w:type="dxa" w:w="4703"/>
            <w:shd w:val="clear" w:color="auto" w:fill="002B5B"/>
          </w:tcPr>
          <w:p>
            <w:r>
              <w:rPr>
                <w:b/>
                <w:color w:val="FFFFFF"/>
                <w:sz w:val="18"/>
              </w:rPr>
              <w:t>Status / opportunity</w:t>
            </w:r>
          </w:p>
        </w:tc>
      </w:tr>
      <w:tr>
        <w:tc>
          <w:tcPr>
            <w:tcW w:type="dxa" w:w="4703"/>
            <w:shd w:val="clear" w:color="auto" w:fill="EEF3F9"/>
          </w:tcPr>
          <w:p>
            <w:r>
              <w:rPr>
                <w:b/>
                <w:sz w:val="18"/>
              </w:rPr>
              <w:t>Current status</w:t>
            </w:r>
          </w:p>
        </w:tc>
        <w:tc>
          <w:tcPr>
            <w:tcW w:type="dxa" w:w="4703"/>
            <w:shd w:val="clear" w:color="auto" w:fill="EEF3F9"/>
          </w:tcPr>
          <w:p>
            <w:r>
              <w:rPr>
                <w:sz w:val="18"/>
              </w:rPr>
              <w:t>Energy- and water-intensive GMP plants; pharmaceutical waste a regulated hazard</w:t>
            </w:r>
          </w:p>
        </w:tc>
      </w:tr>
      <w:tr>
        <w:tc>
          <w:tcPr>
            <w:tcW w:type="dxa" w:w="4703"/>
            <w:shd w:val="clear" w:color="auto" w:fill="FFFFFF"/>
          </w:tcPr>
          <w:p>
            <w:r>
              <w:rPr>
                <w:b/>
                <w:sz w:val="18"/>
              </w:rPr>
              <w:t>Current solutions</w:t>
            </w:r>
          </w:p>
        </w:tc>
        <w:tc>
          <w:tcPr>
            <w:tcW w:type="dxa" w:w="4703"/>
            <w:shd w:val="clear" w:color="auto" w:fill="FFFFFF"/>
          </w:tcPr>
          <w:p>
            <w:r>
              <w:rPr>
                <w:sz w:val="18"/>
              </w:rPr>
              <w:t>NEMA/NDA waste rules; incineration; QCIL's modern facility standards</w:t>
            </w:r>
          </w:p>
        </w:tc>
      </w:tr>
      <w:tr>
        <w:tc>
          <w:tcPr>
            <w:tcW w:type="dxa" w:w="4703"/>
            <w:shd w:val="clear" w:color="auto" w:fill="EEF3F9"/>
          </w:tcPr>
          <w:p>
            <w:r>
              <w:rPr>
                <w:b/>
                <w:sz w:val="18"/>
              </w:rPr>
              <w:t>Emerging solutions (competitiveness enablers)</w:t>
            </w:r>
          </w:p>
        </w:tc>
        <w:tc>
          <w:tcPr>
            <w:tcW w:type="dxa" w:w="4703"/>
            <w:shd w:val="clear" w:color="auto" w:fill="EEF3F9"/>
          </w:tcPr>
          <w:p>
            <w:r>
              <w:rPr>
                <w:sz w:val="18"/>
              </w:rPr>
              <w:t xml:space="preserve">(1) </w:t>
            </w:r>
            <w:r>
              <w:rPr>
                <w:b/>
                <w:sz w:val="18"/>
              </w:rPr>
              <w:t>Solar + reliable power</w:t>
            </w:r>
            <w:r>
              <w:rPr>
                <w:sz w:val="18"/>
              </w:rPr>
              <w:t xml:space="preserve"> and energy-efficient HVAC for GMP plants (cuts the high utility cost); (2) </w:t>
            </w:r>
            <w:r>
              <w:rPr>
                <w:b/>
                <w:sz w:val="18"/>
              </w:rPr>
              <w:t>pharma-grade water recycling</w:t>
            </w:r>
            <w:r>
              <w:rPr>
                <w:sz w:val="18"/>
              </w:rPr>
              <w:t xml:space="preserve">; (3) </w:t>
            </w:r>
            <w:r>
              <w:rPr>
                <w:b/>
                <w:sz w:val="18"/>
              </w:rPr>
              <w:t>green chemistry</w:t>
            </w:r>
            <w:r>
              <w:rPr>
                <w:sz w:val="18"/>
              </w:rPr>
              <w:t xml:space="preserve"> for any local API/excipient; (4) </w:t>
            </w:r>
            <w:r>
              <w:rPr>
                <w:b/>
                <w:sz w:val="18"/>
              </w:rPr>
              <w:t>proper take-back and incineration</w:t>
            </w:r>
            <w:r>
              <w:rPr>
                <w:sz w:val="18"/>
              </w:rPr>
              <w:t xml:space="preserve"> of pharmaceutical waste</w:t>
            </w:r>
          </w:p>
        </w:tc>
      </w:tr>
    </w:tbl>
    <w:p/>
    <w:p>
      <w:r>
        <w:rPr>
          <w:b/>
        </w:rPr>
        <w:t>Why it pays:</w:t>
      </w:r>
      <w:r>
        <w:t xml:space="preserve"> lower utility costs improve GMP-product competitiveness, and demonstrable environmental compliance eases WHO-prequalification and donor procurement.</w:t>
      </w:r>
    </w:p>
    <w:p>
      <w:pPr>
        <w:pStyle w:val="Heading2"/>
      </w:pPr>
      <w:r>
        <w:t>5.F Prioritized Products — through the Tenfold Lens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02B5B"/>
          </w:tcPr>
          <w:p>
            <w:r>
              <w:rPr>
                <w:b/>
                <w:color w:val="FFFFFF"/>
                <w:sz w:val="18"/>
              </w:rPr>
              <w:t>Product / sub-sector</w:t>
            </w:r>
          </w:p>
        </w:tc>
        <w:tc>
          <w:tcPr>
            <w:tcW w:type="dxa" w:w="1176"/>
            <w:shd w:val="clear" w:color="auto" w:fill="002B5B"/>
          </w:tcPr>
          <w:p>
            <w:r>
              <w:rPr>
                <w:b/>
                <w:color w:val="FFFFFF"/>
                <w:sz w:val="18"/>
              </w:rPr>
              <w:t>Market</w:t>
            </w:r>
          </w:p>
        </w:tc>
        <w:tc>
          <w:tcPr>
            <w:tcW w:type="dxa" w:w="1176"/>
            <w:shd w:val="clear" w:color="auto" w:fill="002B5B"/>
          </w:tcPr>
          <w:p>
            <w:r>
              <w:rPr>
                <w:b/>
                <w:color w:val="FFFFFF"/>
                <w:sz w:val="18"/>
              </w:rPr>
              <w:t>Comp. adv.</w:t>
            </w:r>
          </w:p>
        </w:tc>
        <w:tc>
          <w:tcPr>
            <w:tcW w:type="dxa" w:w="1176"/>
            <w:shd w:val="clear" w:color="auto" w:fill="002B5B"/>
          </w:tcPr>
          <w:p>
            <w:r>
              <w:rPr>
                <w:b/>
                <w:color w:val="FFFFFF"/>
                <w:sz w:val="18"/>
              </w:rPr>
              <w:t>Feasibility</w:t>
            </w:r>
          </w:p>
        </w:tc>
        <w:tc>
          <w:tcPr>
            <w:tcW w:type="dxa" w:w="1176"/>
            <w:shd w:val="clear" w:color="auto" w:fill="002B5B"/>
          </w:tcPr>
          <w:p>
            <w:r>
              <w:rPr>
                <w:b/>
                <w:color w:val="FFFFFF"/>
                <w:sz w:val="18"/>
              </w:rPr>
              <w:t>Jobs</w:t>
            </w:r>
          </w:p>
        </w:tc>
        <w:tc>
          <w:tcPr>
            <w:tcW w:type="dxa" w:w="1176"/>
            <w:shd w:val="clear" w:color="auto" w:fill="002B5B"/>
          </w:tcPr>
          <w:p>
            <w:r>
              <w:rPr>
                <w:b/>
                <w:color w:val="FFFFFF"/>
                <w:sz w:val="18"/>
              </w:rPr>
              <w:t>Import subst.</w:t>
            </w:r>
          </w:p>
        </w:tc>
        <w:tc>
          <w:tcPr>
            <w:tcW w:type="dxa" w:w="1176"/>
            <w:shd w:val="clear" w:color="auto" w:fill="002B5B"/>
          </w:tcPr>
          <w:p>
            <w:r>
              <w:rPr>
                <w:b/>
                <w:color w:val="FFFFFF"/>
                <w:sz w:val="18"/>
              </w:rPr>
              <w:t>Green fit</w:t>
            </w:r>
          </w:p>
        </w:tc>
        <w:tc>
          <w:tcPr>
            <w:tcW w:type="dxa" w:w="1176"/>
            <w:shd w:val="clear" w:color="auto" w:fill="002B5B"/>
          </w:tcPr>
          <w:p>
            <w:r>
              <w:rPr>
                <w:b/>
                <w:color w:val="FFFFFF"/>
                <w:sz w:val="18"/>
              </w:rPr>
              <w:t>Priority</w:t>
            </w:r>
          </w:p>
        </w:tc>
      </w:tr>
      <w:tr>
        <w:tc>
          <w:tcPr>
            <w:tcW w:type="dxa" w:w="1176"/>
            <w:shd w:val="clear" w:color="auto" w:fill="EEF3F9"/>
          </w:tcPr>
          <w:p>
            <w:r>
              <w:rPr>
                <w:b/>
                <w:sz w:val="18"/>
              </w:rPr>
              <w:t>Essential generics (ARVs, antimalarials, anti-TB, NCD)</w:t>
            </w:r>
          </w:p>
        </w:tc>
        <w:tc>
          <w:tcPr>
            <w:tcW w:type="dxa" w:w="1176"/>
            <w:shd w:val="clear" w:color="auto" w:fill="EEF3F9"/>
          </w:tcPr>
          <w:p>
            <w:r>
              <w:rPr>
                <w:sz w:val="18"/>
              </w:rPr>
              <w:t>High</w:t>
            </w:r>
          </w:p>
        </w:tc>
        <w:tc>
          <w:tcPr>
            <w:tcW w:type="dxa" w:w="1176"/>
            <w:shd w:val="clear" w:color="auto" w:fill="EEF3F9"/>
          </w:tcPr>
          <w:p>
            <w:r>
              <w:rPr>
                <w:sz w:val="18"/>
              </w:rPr>
              <w:t>High (QCIL base)</w:t>
            </w:r>
          </w:p>
        </w:tc>
        <w:tc>
          <w:tcPr>
            <w:tcW w:type="dxa" w:w="1176"/>
            <w:shd w:val="clear" w:color="auto" w:fill="EEF3F9"/>
          </w:tcPr>
          <w:p>
            <w:r>
              <w:rPr>
                <w:sz w:val="18"/>
              </w:rPr>
              <w:t>Medium–High</w:t>
            </w:r>
          </w:p>
        </w:tc>
        <w:tc>
          <w:tcPr>
            <w:tcW w:type="dxa" w:w="1176"/>
            <w:shd w:val="clear" w:color="auto" w:fill="EEF3F9"/>
          </w:tcPr>
          <w:p>
            <w:r>
              <w:rPr>
                <w:sz w:val="18"/>
              </w:rPr>
              <w:t>Medium</w:t>
            </w:r>
          </w:p>
        </w:tc>
        <w:tc>
          <w:tcPr>
            <w:tcW w:type="dxa" w:w="1176"/>
            <w:shd w:val="clear" w:color="auto" w:fill="EEF3F9"/>
          </w:tcPr>
          <w:p>
            <w:r>
              <w:rPr>
                <w:sz w:val="18"/>
              </w:rPr>
              <w:t>Very high</w:t>
            </w:r>
          </w:p>
        </w:tc>
        <w:tc>
          <w:tcPr>
            <w:tcW w:type="dxa" w:w="1176"/>
            <w:shd w:val="clear" w:color="auto" w:fill="EEF3F9"/>
          </w:tcPr>
          <w:p>
            <w:r>
              <w:rPr>
                <w:sz w:val="18"/>
              </w:rPr>
              <w:t>Medium</w:t>
            </w:r>
          </w:p>
        </w:tc>
        <w:tc>
          <w:tcPr>
            <w:tcW w:type="dxa" w:w="1176"/>
            <w:shd w:val="clear" w:color="auto" w:fill="EEF3F9"/>
          </w:tcPr>
          <w:p>
            <w:r>
              <w:rPr>
                <w:b/>
                <w:sz w:val="18"/>
              </w:rPr>
              <w:t>Priority</w:t>
            </w:r>
          </w:p>
        </w:tc>
      </w:tr>
      <w:tr>
        <w:tc>
          <w:tcPr>
            <w:tcW w:type="dxa" w:w="1176"/>
            <w:shd w:val="clear" w:color="auto" w:fill="FFFFFF"/>
          </w:tcPr>
          <w:p>
            <w:r>
              <w:rPr>
                <w:b/>
                <w:sz w:val="18"/>
              </w:rPr>
              <w:t>Medical consumables &amp; basic formulations</w:t>
            </w:r>
          </w:p>
        </w:tc>
        <w:tc>
          <w:tcPr>
            <w:tcW w:type="dxa" w:w="1176"/>
            <w:shd w:val="clear" w:color="auto" w:fill="FFFFFF"/>
          </w:tcPr>
          <w:p>
            <w:r>
              <w:rPr>
                <w:sz w:val="18"/>
              </w:rPr>
              <w:t>High</w:t>
            </w:r>
          </w:p>
        </w:tc>
        <w:tc>
          <w:tcPr>
            <w:tcW w:type="dxa" w:w="1176"/>
            <w:shd w:val="clear" w:color="auto" w:fill="FFFFFF"/>
          </w:tcPr>
          <w:p>
            <w:r>
              <w:rPr>
                <w:sz w:val="18"/>
              </w:rPr>
              <w:t>Medium</w:t>
            </w:r>
          </w:p>
        </w:tc>
        <w:tc>
          <w:tcPr>
            <w:tcW w:type="dxa" w:w="1176"/>
            <w:shd w:val="clear" w:color="auto" w:fill="FFFFFF"/>
          </w:tcPr>
          <w:p>
            <w:r>
              <w:rPr>
                <w:sz w:val="18"/>
              </w:rPr>
              <w:t>High</w:t>
            </w:r>
          </w:p>
        </w:tc>
        <w:tc>
          <w:tcPr>
            <w:tcW w:type="dxa" w:w="1176"/>
            <w:shd w:val="clear" w:color="auto" w:fill="FFFFFF"/>
          </w:tcPr>
          <w:p>
            <w:r>
              <w:rPr>
                <w:sz w:val="18"/>
              </w:rPr>
              <w:t>Medium</w:t>
            </w:r>
          </w:p>
        </w:tc>
        <w:tc>
          <w:tcPr>
            <w:tcW w:type="dxa" w:w="1176"/>
            <w:shd w:val="clear" w:color="auto" w:fill="FFFFFF"/>
          </w:tcPr>
          <w:p>
            <w:r>
              <w:rPr>
                <w:sz w:val="18"/>
              </w:rPr>
              <w:t>High</w:t>
            </w:r>
          </w:p>
        </w:tc>
        <w:tc>
          <w:tcPr>
            <w:tcW w:type="dxa" w:w="1176"/>
            <w:shd w:val="clear" w:color="auto" w:fill="FFFFFF"/>
          </w:tcPr>
          <w:p>
            <w:r>
              <w:rPr>
                <w:sz w:val="18"/>
              </w:rPr>
              <w:t>Medium</w:t>
            </w:r>
          </w:p>
        </w:tc>
        <w:tc>
          <w:tcPr>
            <w:tcW w:type="dxa" w:w="1176"/>
            <w:shd w:val="clear" w:color="auto" w:fill="FFFFFF"/>
          </w:tcPr>
          <w:p>
            <w:r>
              <w:rPr>
                <w:b/>
                <w:sz w:val="18"/>
              </w:rPr>
              <w:t>Priority</w:t>
            </w:r>
          </w:p>
        </w:tc>
      </w:tr>
      <w:tr>
        <w:tc>
          <w:tcPr>
            <w:tcW w:type="dxa" w:w="1176"/>
            <w:shd w:val="clear" w:color="auto" w:fill="EEF3F9"/>
          </w:tcPr>
          <w:p>
            <w:r>
              <w:rPr>
                <w:b/>
                <w:sz w:val="18"/>
              </w:rPr>
              <w:t>Local API / excipient (selective)</w:t>
            </w:r>
          </w:p>
        </w:tc>
        <w:tc>
          <w:tcPr>
            <w:tcW w:type="dxa" w:w="1176"/>
            <w:shd w:val="clear" w:color="auto" w:fill="EEF3F9"/>
          </w:tcPr>
          <w:p>
            <w:r>
              <w:rPr>
                <w:sz w:val="18"/>
              </w:rPr>
              <w:t>Medium</w:t>
            </w:r>
          </w:p>
        </w:tc>
        <w:tc>
          <w:tcPr>
            <w:tcW w:type="dxa" w:w="1176"/>
            <w:shd w:val="clear" w:color="auto" w:fill="EEF3F9"/>
          </w:tcPr>
          <w:p>
            <w:r>
              <w:rPr>
                <w:sz w:val="18"/>
              </w:rPr>
              <w:t>Low–Med</w:t>
            </w:r>
          </w:p>
        </w:tc>
        <w:tc>
          <w:tcPr>
            <w:tcW w:type="dxa" w:w="1176"/>
            <w:shd w:val="clear" w:color="auto" w:fill="EEF3F9"/>
          </w:tcPr>
          <w:p>
            <w:r>
              <w:rPr>
                <w:sz w:val="18"/>
              </w:rPr>
              <w:t>Low–Med</w:t>
            </w:r>
          </w:p>
        </w:tc>
        <w:tc>
          <w:tcPr>
            <w:tcW w:type="dxa" w:w="1176"/>
            <w:shd w:val="clear" w:color="auto" w:fill="EEF3F9"/>
          </w:tcPr>
          <w:p>
            <w:r>
              <w:rPr>
                <w:sz w:val="18"/>
              </w:rPr>
              <w:t>Medium</w:t>
            </w:r>
          </w:p>
        </w:tc>
        <w:tc>
          <w:tcPr>
            <w:tcW w:type="dxa" w:w="1176"/>
            <w:shd w:val="clear" w:color="auto" w:fill="EEF3F9"/>
          </w:tcPr>
          <w:p>
            <w:r>
              <w:rPr>
                <w:sz w:val="18"/>
              </w:rPr>
              <w:t>High (supply security)</w:t>
            </w:r>
          </w:p>
        </w:tc>
        <w:tc>
          <w:tcPr>
            <w:tcW w:type="dxa" w:w="1176"/>
            <w:shd w:val="clear" w:color="auto" w:fill="EEF3F9"/>
          </w:tcPr>
          <w:p>
            <w:r>
              <w:rPr>
                <w:sz w:val="18"/>
              </w:rPr>
              <w:t>Medium</w:t>
            </w:r>
          </w:p>
        </w:tc>
        <w:tc>
          <w:tcPr>
            <w:tcW w:type="dxa" w:w="1176"/>
            <w:shd w:val="clear" w:color="auto" w:fill="EEF3F9"/>
          </w:tcPr>
          <w:p>
            <w:r>
              <w:rPr>
                <w:b/>
                <w:sz w:val="18"/>
              </w:rPr>
              <w:t>Priority (strategic, longer-term)</w:t>
            </w:r>
          </w:p>
        </w:tc>
      </w:tr>
      <w:tr>
        <w:tc>
          <w:tcPr>
            <w:tcW w:type="dxa" w:w="1176"/>
            <w:shd w:val="clear" w:color="auto" w:fill="FFFFFF"/>
          </w:tcPr>
          <w:p>
            <w:r>
              <w:rPr>
                <w:sz w:val="18"/>
              </w:rPr>
              <w:t>Biologics / vaccines (fill-finish)</w:t>
            </w:r>
          </w:p>
        </w:tc>
        <w:tc>
          <w:tcPr>
            <w:tcW w:type="dxa" w:w="1176"/>
            <w:shd w:val="clear" w:color="auto" w:fill="FFFFFF"/>
          </w:tcPr>
          <w:p>
            <w:r>
              <w:rPr>
                <w:sz w:val="18"/>
              </w:rPr>
              <w:t>Medium</w:t>
            </w:r>
          </w:p>
        </w:tc>
        <w:tc>
          <w:tcPr>
            <w:tcW w:type="dxa" w:w="1176"/>
            <w:shd w:val="clear" w:color="auto" w:fill="FFFFFF"/>
          </w:tcPr>
          <w:p>
            <w:r>
              <w:rPr>
                <w:sz w:val="18"/>
              </w:rPr>
              <w:t>Low–Med</w:t>
            </w:r>
          </w:p>
        </w:tc>
        <w:tc>
          <w:tcPr>
            <w:tcW w:type="dxa" w:w="1176"/>
            <w:shd w:val="clear" w:color="auto" w:fill="FFFFFF"/>
          </w:tcPr>
          <w:p>
            <w:r>
              <w:rPr>
                <w:sz w:val="18"/>
              </w:rPr>
              <w:t>Low</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sz w:val="18"/>
              </w:rPr>
              <w:t>Conditional</w:t>
            </w:r>
          </w:p>
        </w:tc>
      </w:tr>
      <w:tr>
        <w:tc>
          <w:tcPr>
            <w:tcW w:type="dxa" w:w="1176"/>
            <w:shd w:val="clear" w:color="auto" w:fill="EEF3F9"/>
          </w:tcPr>
          <w:p>
            <w:r>
              <w:rPr>
                <w:sz w:val="18"/>
              </w:rPr>
              <w:t>Full API synthesis at scale</w:t>
            </w:r>
          </w:p>
        </w:tc>
        <w:tc>
          <w:tcPr>
            <w:tcW w:type="dxa" w:w="1176"/>
            <w:shd w:val="clear" w:color="auto" w:fill="EEF3F9"/>
          </w:tcPr>
          <w:p>
            <w:r>
              <w:rPr>
                <w:sz w:val="18"/>
              </w:rPr>
              <w:t>Low</w:t>
            </w:r>
          </w:p>
        </w:tc>
        <w:tc>
          <w:tcPr>
            <w:tcW w:type="dxa" w:w="1176"/>
            <w:shd w:val="clear" w:color="auto" w:fill="EEF3F9"/>
          </w:tcPr>
          <w:p>
            <w:r>
              <w:rPr>
                <w:sz w:val="18"/>
              </w:rPr>
              <w:t>Low</w:t>
            </w:r>
          </w:p>
        </w:tc>
        <w:tc>
          <w:tcPr>
            <w:tcW w:type="dxa" w:w="1176"/>
            <w:shd w:val="clear" w:color="auto" w:fill="EEF3F9"/>
          </w:tcPr>
          <w:p>
            <w:r>
              <w:rPr>
                <w:sz w:val="18"/>
              </w:rPr>
              <w:t>Low</w:t>
            </w:r>
          </w:p>
        </w:tc>
        <w:tc>
          <w:tcPr>
            <w:tcW w:type="dxa" w:w="1176"/>
            <w:shd w:val="clear" w:color="auto" w:fill="EEF3F9"/>
          </w:tcPr>
          <w:p>
            <w:r>
              <w:rPr>
                <w:sz w:val="18"/>
              </w:rPr>
              <w:t>Medium</w:t>
            </w:r>
          </w:p>
        </w:tc>
        <w:tc>
          <w:tcPr>
            <w:tcW w:type="dxa" w:w="1176"/>
            <w:shd w:val="clear" w:color="auto" w:fill="EEF3F9"/>
          </w:tcPr>
          <w:p>
            <w:r>
              <w:rPr>
                <w:sz w:val="18"/>
              </w:rPr>
              <w:t>High</w:t>
            </w:r>
          </w:p>
        </w:tc>
        <w:tc>
          <w:tcPr>
            <w:tcW w:type="dxa" w:w="1176"/>
            <w:shd w:val="clear" w:color="auto" w:fill="EEF3F9"/>
          </w:tcPr>
          <w:p>
            <w:r>
              <w:rPr>
                <w:sz w:val="18"/>
              </w:rPr>
              <w:t>Low</w:t>
            </w:r>
          </w:p>
        </w:tc>
        <w:tc>
          <w:tcPr>
            <w:tcW w:type="dxa" w:w="1176"/>
            <w:shd w:val="clear" w:color="auto" w:fill="EEF3F9"/>
          </w:tcPr>
          <w:p>
            <w:r>
              <w:rPr>
                <w:sz w:val="18"/>
              </w:rPr>
              <w:t>Deprioritize (for now)</w:t>
            </w:r>
          </w:p>
        </w:tc>
      </w:tr>
    </w:tbl>
    <w:p/>
    <w:p>
      <w:r>
        <w:rPr>
          <w:b/>
        </w:rPr>
        <w:t>The three priorities for Pharmaceuticals:</w:t>
      </w:r>
    </w:p>
    <w:p>
      <w:pPr>
        <w:pStyle w:val="ListNumber"/>
      </w:pPr>
      <w:r>
        <w:rPr>
          <w:b/>
        </w:rPr>
        <w:t>Essential generics</w:t>
      </w:r>
      <w:r>
        <w:t xml:space="preserve"> (ARVs, antimalarials, anti-TB, priority NCD medicines) — build on QCIL's proven WHO-GMP base and guaranteed domestic + donor/regional demand; the clearest, highest-impact substitution.</w:t>
      </w:r>
    </w:p>
    <w:p>
      <w:pPr>
        <w:pStyle w:val="ListNumber"/>
      </w:pPr>
      <w:r>
        <w:rPr>
          <w:b/>
        </w:rPr>
        <w:t>Medical consumables and basic formulations</w:t>
      </w:r>
      <w:r>
        <w:t xml:space="preserve"> — feasible, job-creating, broad import substitution.</w:t>
      </w:r>
    </w:p>
    <w:p>
      <w:pPr>
        <w:pStyle w:val="ListNumber"/>
      </w:pPr>
      <w:r>
        <w:rPr>
          <w:b/>
        </w:rPr>
        <w:t>Selective local API/excipient production</w:t>
      </w:r>
      <w:r>
        <w:t xml:space="preserve"> — strategic, longer-term, to reduce the deepest dependency where volumes justify.</w:t>
      </w:r>
    </w:p>
    <w:p>
      <w:r>
        <w:rPr>
          <w:b/>
        </w:rPr>
        <w:t>Explicit deprioritization.</w:t>
      </w:r>
      <w:r>
        <w:t xml:space="preserve"> Uganda should </w:t>
      </w:r>
      <w:r>
        <w:rPr>
          <w:b/>
        </w:rPr>
        <w:t>not</w:t>
      </w:r>
      <w:r>
        <w:t xml:space="preserve"> attempt broad-spectrum API synthesis at scale now (capital- and chemistry-intensive beyond current competitiveness); vaccine fill-finish is conditional on regional initiatives. Focus on </w:t>
      </w:r>
      <w:r>
        <w:rPr>
          <w:b/>
        </w:rPr>
        <w:t>finished essential generics</w:t>
      </w:r>
      <w:r>
        <w:t xml:space="preserve"> where Uganda already competes.</w:t>
      </w:r>
    </w:p>
    <w:p>
      <w:pPr>
        <w:pStyle w:val="Heading2"/>
      </w:pPr>
      <w:r>
        <w:t>5.G Project Profiles</w:t>
      </w:r>
    </w:p>
    <w:p>
      <w:r>
        <w:rPr>
          <w:b/>
        </w:rPr>
        <w:t>P1 — Essential-generics capacity expansion (strategic anchor).</w:t>
      </w:r>
    </w:p>
    <w:p>
      <w:pPr>
        <w:pStyle w:val="ListBullet"/>
      </w:pPr>
      <w:r>
        <w:rPr>
          <w:i/>
        </w:rPr>
        <w:t>Strategic:</w:t>
      </w:r>
      <w:r>
        <w:t xml:space="preserve"> scales QCIL-class WHO-GMP output of ARVs/antimalarials/anti-TB/NCD; cuts the USD 263m import line and serves donor/regional markets.</w:t>
      </w:r>
    </w:p>
    <w:p>
      <w:pPr>
        <w:pStyle w:val="ListBullet"/>
      </w:pPr>
      <w:r>
        <w:rPr>
          <w:i/>
        </w:rPr>
        <w:t>Quick-win element:</w:t>
      </w:r>
      <w:r>
        <w:t xml:space="preserve"> preferential NMS/JMS procurement can fill capacity immediately.</w:t>
      </w:r>
    </w:p>
    <w:p>
      <w:pPr>
        <w:pStyle w:val="ListBullet"/>
      </w:pPr>
      <w:r>
        <w:rPr>
          <w:i/>
        </w:rPr>
        <w:t>Green:</w:t>
      </w:r>
      <w:r>
        <w:t xml:space="preserve"> solar/efficient GMP utilities.</w:t>
      </w:r>
    </w:p>
    <w:p>
      <w:r>
        <w:rPr>
          <w:b/>
        </w:rPr>
        <w:t>P2 — Medical consumables plant (quick win).</w:t>
      </w:r>
    </w:p>
    <w:p>
      <w:pPr>
        <w:pStyle w:val="ListBullet"/>
      </w:pPr>
      <w:r>
        <w:rPr>
          <w:i/>
        </w:rPr>
        <w:t>Strategic:</w:t>
      </w:r>
      <w:r>
        <w:t xml:space="preserve"> substitutes a broad consumables import line; job-rich; lower regulatory barrier than novel drugs.</w:t>
      </w:r>
    </w:p>
    <w:p>
      <w:pPr>
        <w:pStyle w:val="ListBullet"/>
      </w:pPr>
      <w:r>
        <w:rPr>
          <w:i/>
        </w:rPr>
        <w:t>Quick-win element:</w:t>
      </w:r>
      <w:r>
        <w:t xml:space="preserve"> shorter lead time than complex formulations.</w:t>
      </w:r>
    </w:p>
    <w:p>
      <w:pPr>
        <w:pStyle w:val="ListBullet"/>
      </w:pPr>
      <w:r>
        <w:rPr>
          <w:i/>
        </w:rPr>
        <w:t>Green:</w:t>
      </w:r>
      <w:r>
        <w:t xml:space="preserve"> energy-efficient, low-waste lines.</w:t>
      </w:r>
    </w:p>
    <w:p>
      <w:r>
        <w:rPr>
          <w:b/>
        </w:rPr>
        <w:t>P3 — Selective API/excipient facility (strategic, longer-term + green).</w:t>
      </w:r>
    </w:p>
    <w:p>
      <w:pPr>
        <w:pStyle w:val="ListBullet"/>
      </w:pPr>
      <w:r>
        <w:rPr>
          <w:i/>
        </w:rPr>
        <w:t>Strategic:</w:t>
      </w:r>
      <w:r>
        <w:t xml:space="preserve"> attacks the deepest dependency (imported APIs) for high-volume molecules.</w:t>
      </w:r>
    </w:p>
    <w:p>
      <w:pPr>
        <w:pStyle w:val="ListBullet"/>
      </w:pPr>
      <w:r>
        <w:rPr>
          <w:i/>
        </w:rPr>
        <w:t>Quick-win element:</w:t>
      </w:r>
      <w:r>
        <w:t xml:space="preserve"> start with one or two high-volume excipients/APIs.</w:t>
      </w:r>
    </w:p>
    <w:p>
      <w:pPr>
        <w:pStyle w:val="ListBullet"/>
      </w:pPr>
      <w:r>
        <w:rPr>
          <w:i/>
        </w:rPr>
        <w:t>Green:</w:t>
      </w:r>
      <w:r>
        <w:t xml:space="preserve"> green-chemistry process design.</w:t>
      </w:r>
    </w:p>
    <w:p>
      <w:pPr>
        <w:pStyle w:val="Heading2"/>
      </w:pPr>
      <w:r>
        <w:t>5.H Priority Action Matrix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Timeframe</w:t>
            </w:r>
          </w:p>
        </w:tc>
        <w:tc>
          <w:tcPr>
            <w:tcW w:type="dxa" w:w="2351"/>
            <w:shd w:val="clear" w:color="auto" w:fill="002B5B"/>
          </w:tcPr>
          <w:p>
            <w:r>
              <w:rPr>
                <w:b/>
                <w:color w:val="FFFFFF"/>
                <w:sz w:val="18"/>
              </w:rPr>
              <w:t>Action</w:t>
            </w:r>
          </w:p>
        </w:tc>
        <w:tc>
          <w:tcPr>
            <w:tcW w:type="dxa" w:w="2351"/>
            <w:shd w:val="clear" w:color="auto" w:fill="002B5B"/>
          </w:tcPr>
          <w:p>
            <w:r>
              <w:rPr>
                <w:b/>
                <w:color w:val="FFFFFF"/>
                <w:sz w:val="18"/>
              </w:rPr>
              <w:t>Lead</w:t>
            </w:r>
          </w:p>
        </w:tc>
        <w:tc>
          <w:tcPr>
            <w:tcW w:type="dxa" w:w="2351"/>
            <w:shd w:val="clear" w:color="auto" w:fill="002B5B"/>
          </w:tcPr>
          <w:p>
            <w:r>
              <w:rPr>
                <w:b/>
                <w:color w:val="FFFFFF"/>
                <w:sz w:val="18"/>
              </w:rPr>
              <w:t>Indicative cost</w:t>
            </w:r>
          </w:p>
        </w:tc>
      </w:tr>
      <w:tr>
        <w:tc>
          <w:tcPr>
            <w:tcW w:type="dxa" w:w="2351"/>
            <w:shd w:val="clear" w:color="auto" w:fill="EEF3F9"/>
          </w:tcPr>
          <w:p>
            <w:r>
              <w:rPr>
                <w:b/>
                <w:sz w:val="18"/>
              </w:rPr>
              <w:t>Quick win (0–12m)</w:t>
            </w:r>
          </w:p>
        </w:tc>
        <w:tc>
          <w:tcPr>
            <w:tcW w:type="dxa" w:w="2351"/>
            <w:shd w:val="clear" w:color="auto" w:fill="EEF3F9"/>
          </w:tcPr>
          <w:p>
            <w:r>
              <w:rPr>
                <w:sz w:val="18"/>
              </w:rPr>
              <w:t>Preferential public procurement (NMS/JMS) for locally made essential medicines</w:t>
            </w:r>
          </w:p>
        </w:tc>
        <w:tc>
          <w:tcPr>
            <w:tcW w:type="dxa" w:w="2351"/>
            <w:shd w:val="clear" w:color="auto" w:fill="EEF3F9"/>
          </w:tcPr>
          <w:p>
            <w:r>
              <w:rPr>
                <w:sz w:val="18"/>
              </w:rPr>
              <w:t>MoH, NMS, MoFPED</w:t>
            </w:r>
          </w:p>
        </w:tc>
        <w:tc>
          <w:tcPr>
            <w:tcW w:type="dxa" w:w="2351"/>
            <w:shd w:val="clear" w:color="auto" w:fill="EEF3F9"/>
          </w:tcPr>
          <w:p>
            <w:r>
              <w:rPr>
                <w:sz w:val="18"/>
              </w:rPr>
              <w:t>Procurement</w:t>
            </w:r>
          </w:p>
        </w:tc>
      </w:tr>
      <w:tr>
        <w:tc>
          <w:tcPr>
            <w:tcW w:type="dxa" w:w="2351"/>
            <w:shd w:val="clear" w:color="auto" w:fill="FFFFFF"/>
          </w:tcPr>
          <w:p>
            <w:r>
              <w:rPr>
                <w:sz w:val="18"/>
              </w:rPr>
              <w:t>Quick win (0–12m)</w:t>
            </w:r>
          </w:p>
        </w:tc>
        <w:tc>
          <w:tcPr>
            <w:tcW w:type="dxa" w:w="2351"/>
            <w:shd w:val="clear" w:color="auto" w:fill="FFFFFF"/>
          </w:tcPr>
          <w:p>
            <w:r>
              <w:rPr>
                <w:sz w:val="18"/>
              </w:rPr>
              <w:t>Streamline NDA registration/fees for local manufacturers</w:t>
            </w:r>
          </w:p>
        </w:tc>
        <w:tc>
          <w:tcPr>
            <w:tcW w:type="dxa" w:w="2351"/>
            <w:shd w:val="clear" w:color="auto" w:fill="FFFFFF"/>
          </w:tcPr>
          <w:p>
            <w:r>
              <w:rPr>
                <w:sz w:val="18"/>
              </w:rPr>
              <w:t>NDA, MTIC</w:t>
            </w:r>
          </w:p>
        </w:tc>
        <w:tc>
          <w:tcPr>
            <w:tcW w:type="dxa" w:w="2351"/>
            <w:shd w:val="clear" w:color="auto" w:fill="FFFFFF"/>
          </w:tcPr>
          <w:p>
            <w:r>
              <w:rPr>
                <w:sz w:val="18"/>
              </w:rPr>
              <w:t>Low</w:t>
            </w:r>
          </w:p>
        </w:tc>
      </w:tr>
      <w:tr>
        <w:tc>
          <w:tcPr>
            <w:tcW w:type="dxa" w:w="2351"/>
            <w:shd w:val="clear" w:color="auto" w:fill="EEF3F9"/>
          </w:tcPr>
          <w:p>
            <w:r>
              <w:rPr>
                <w:b/>
                <w:sz w:val="18"/>
              </w:rPr>
              <w:t>Reform (1–3y)</w:t>
            </w:r>
          </w:p>
        </w:tc>
        <w:tc>
          <w:tcPr>
            <w:tcW w:type="dxa" w:w="2351"/>
            <w:shd w:val="clear" w:color="auto" w:fill="EEF3F9"/>
          </w:tcPr>
          <w:p>
            <w:r>
              <w:rPr>
                <w:sz w:val="18"/>
              </w:rPr>
              <w:t>GMP-upgrade support fund for manufacturers seeking WHO-prequalification</w:t>
            </w:r>
          </w:p>
        </w:tc>
        <w:tc>
          <w:tcPr>
            <w:tcW w:type="dxa" w:w="2351"/>
            <w:shd w:val="clear" w:color="auto" w:fill="EEF3F9"/>
          </w:tcPr>
          <w:p>
            <w:r>
              <w:rPr>
                <w:sz w:val="18"/>
              </w:rPr>
              <w:t>MTIC, UDB, partners</w:t>
            </w:r>
          </w:p>
        </w:tc>
        <w:tc>
          <w:tcPr>
            <w:tcW w:type="dxa" w:w="2351"/>
            <w:shd w:val="clear" w:color="auto" w:fill="EEF3F9"/>
          </w:tcPr>
          <w:p>
            <w:r>
              <w:rPr>
                <w:sz w:val="18"/>
              </w:rPr>
              <w:t>Medium</w:t>
            </w:r>
          </w:p>
        </w:tc>
      </w:tr>
      <w:tr>
        <w:tc>
          <w:tcPr>
            <w:tcW w:type="dxa" w:w="2351"/>
            <w:shd w:val="clear" w:color="auto" w:fill="FFFFFF"/>
          </w:tcPr>
          <w:p>
            <w:r>
              <w:rPr>
                <w:sz w:val="18"/>
              </w:rPr>
              <w:t>Reform (1–3y)</w:t>
            </w:r>
          </w:p>
        </w:tc>
        <w:tc>
          <w:tcPr>
            <w:tcW w:type="dxa" w:w="2351"/>
            <w:shd w:val="clear" w:color="auto" w:fill="FFFFFF"/>
          </w:tcPr>
          <w:p>
            <w:r>
              <w:rPr>
                <w:sz w:val="18"/>
              </w:rPr>
              <w:t>Pharma skills programme (QA/QC, regulatory affairs) with Makerere</w:t>
            </w:r>
          </w:p>
        </w:tc>
        <w:tc>
          <w:tcPr>
            <w:tcW w:type="dxa" w:w="2351"/>
            <w:shd w:val="clear" w:color="auto" w:fill="FFFFFF"/>
          </w:tcPr>
          <w:p>
            <w:r>
              <w:rPr>
                <w:sz w:val="18"/>
              </w:rPr>
              <w:t>MoES, NDA</w:t>
            </w:r>
          </w:p>
        </w:tc>
        <w:tc>
          <w:tcPr>
            <w:tcW w:type="dxa" w:w="2351"/>
            <w:shd w:val="clear" w:color="auto" w:fill="FFFFFF"/>
          </w:tcPr>
          <w:p>
            <w:r>
              <w:rPr>
                <w:sz w:val="18"/>
              </w:rPr>
              <w:t>Medium</w:t>
            </w:r>
          </w:p>
        </w:tc>
      </w:tr>
      <w:tr>
        <w:tc>
          <w:tcPr>
            <w:tcW w:type="dxa" w:w="2351"/>
            <w:shd w:val="clear" w:color="auto" w:fill="EEF3F9"/>
          </w:tcPr>
          <w:p>
            <w:r>
              <w:rPr>
                <w:b/>
                <w:sz w:val="18"/>
              </w:rPr>
              <w:t>Investment (3–5y)</w:t>
            </w:r>
          </w:p>
        </w:tc>
        <w:tc>
          <w:tcPr>
            <w:tcW w:type="dxa" w:w="2351"/>
            <w:shd w:val="clear" w:color="auto" w:fill="EEF3F9"/>
          </w:tcPr>
          <w:p>
            <w:r>
              <w:rPr>
                <w:sz w:val="18"/>
              </w:rPr>
              <w:t>Expansion of GMP generics capacity (QCIL and others)</w:t>
            </w:r>
          </w:p>
        </w:tc>
        <w:tc>
          <w:tcPr>
            <w:tcW w:type="dxa" w:w="2351"/>
            <w:shd w:val="clear" w:color="auto" w:fill="EEF3F9"/>
          </w:tcPr>
          <w:p>
            <w:r>
              <w:rPr>
                <w:sz w:val="18"/>
              </w:rPr>
              <w:t>Private-led + PPP</w:t>
            </w:r>
          </w:p>
        </w:tc>
        <w:tc>
          <w:tcPr>
            <w:tcW w:type="dxa" w:w="2351"/>
            <w:shd w:val="clear" w:color="auto" w:fill="EEF3F9"/>
          </w:tcPr>
          <w:p>
            <w:r>
              <w:rPr>
                <w:sz w:val="18"/>
              </w:rPr>
              <w:t>Indicative (see Ch.11)</w:t>
            </w:r>
          </w:p>
        </w:tc>
      </w:tr>
      <w:tr>
        <w:tc>
          <w:tcPr>
            <w:tcW w:type="dxa" w:w="2351"/>
            <w:shd w:val="clear" w:color="auto" w:fill="FFFFFF"/>
          </w:tcPr>
          <w:p>
            <w:r>
              <w:rPr>
                <w:sz w:val="18"/>
              </w:rPr>
              <w:t>Investment (3–5y)</w:t>
            </w:r>
          </w:p>
        </w:tc>
        <w:tc>
          <w:tcPr>
            <w:tcW w:type="dxa" w:w="2351"/>
            <w:shd w:val="clear" w:color="auto" w:fill="FFFFFF"/>
          </w:tcPr>
          <w:p>
            <w:r>
              <w:rPr>
                <w:sz w:val="18"/>
              </w:rPr>
              <w:t>Selective API/excipient plant where volumes justify</w:t>
            </w:r>
          </w:p>
        </w:tc>
        <w:tc>
          <w:tcPr>
            <w:tcW w:type="dxa" w:w="2351"/>
            <w:shd w:val="clear" w:color="auto" w:fill="FFFFFF"/>
          </w:tcPr>
          <w:p>
            <w:r>
              <w:rPr>
                <w:sz w:val="18"/>
              </w:rPr>
              <w:t>Private-led / PPP</w:t>
            </w:r>
          </w:p>
        </w:tc>
        <w:tc>
          <w:tcPr>
            <w:tcW w:type="dxa" w:w="2351"/>
            <w:shd w:val="clear" w:color="auto" w:fill="FFFFFF"/>
          </w:tcPr>
          <w:p>
            <w:r>
              <w:rPr>
                <w:sz w:val="18"/>
              </w:rPr>
              <w:t>Indicative (see Ch.11)</w:t>
            </w:r>
          </w:p>
        </w:tc>
      </w:tr>
    </w:tbl>
    <w:p/>
    <w:p>
      <w:r>
        <w:rPr>
          <w:i/>
        </w:rPr>
        <w:t>Sources for this chapter are listed in the consolidated References at the end of this report.</w:t>
      </w:r>
    </w:p>
    <w:p>
      <w:r>
        <w:br w:type="page"/>
      </w:r>
    </w:p>
    <w:p>
      <w:pPr>
        <w:pStyle w:val="Heading1"/>
      </w:pPr>
      <w:r>
        <w:t>Chapter 6: Petrochemicals &amp; Fertilizers Value Chain</w:t>
      </w:r>
    </w:p>
    <w:p>
      <w:r>
        <w:rPr>
          <w:b/>
        </w:rPr>
        <w:t>Report:</w:t>
      </w:r>
      <w:r>
        <w:t xml:space="preserve"> Report 2 — Textiles &amp; Garments, Pharmaceuticals, Petrochemicals &amp; Fertilizers, Sugar &amp; Confectionery, Plastics &amp; Packaging, and Cement &amp; Building Materials Value Chains</w:t>
      </w:r>
    </w:p>
    <w:p>
      <w:r>
        <w:rPr>
          <w:b/>
        </w:rPr>
        <w:t>Status:</w:t>
      </w:r>
      <w:r>
        <w:t xml:space="preserve"> Draft for validation</w:t>
      </w:r>
    </w:p>
    <w:p>
      <w:r>
        <w:rPr>
          <w:b/>
        </w:rPr>
        <w:t>Primary data source:</w:t>
      </w:r>
      <w:r>
        <w:t xml:space="preserve"> Technical Working Group (TWG) engagements with MTIC sector experts (primary); Uganda National Oil Company (UNOC); Petroleum Authority of Uganda (PAU); Osukuru Industrial Complex records; UBOS; ITC TradeMap (2024). Full sources are in the consolidated References at the end of this report.</w:t>
      </w:r>
    </w:p>
    <w:p>
      <w:pPr>
        <w:pStyle w:val="Heading2"/>
      </w:pPr>
      <w:r>
        <w:t>6.0 Why Petrochemicals &amp; Fertilizers Matters for the Tenfold Growth Strategy</w:t>
      </w:r>
    </w:p>
    <w:p>
      <w:r>
        <w:t xml:space="preserve">This chain feeds two tenfold pillars at once: </w:t>
      </w:r>
      <w:r>
        <w:rPr>
          <w:b/>
        </w:rPr>
        <w:t>Minerals/energy</w:t>
      </w:r>
      <w:r>
        <w:t xml:space="preserve"> (the oil refinery and petrochemical park) and </w:t>
      </w:r>
      <w:r>
        <w:rPr>
          <w:b/>
        </w:rPr>
        <w:t>agro-industrialisation</w:t>
      </w:r>
      <w:r>
        <w:t xml:space="preserve"> (fertilizer for farm productivity). A ten-times-larger economy cannot run on imported fuels, imported plastics feedstock, and near-zero domestic fertilizer while farm yields stay low for want of nutrients. Uganda has the assets in motion — a </w:t>
      </w:r>
      <w:r>
        <w:rPr>
          <w:b/>
        </w:rPr>
        <w:t>60,000 bpd refinery and the Kabalega Petrochemical Park</w:t>
      </w:r>
      <w:r>
        <w:t xml:space="preserve"> (investment agreement signed 2025) and </w:t>
      </w:r>
      <w:r>
        <w:rPr>
          <w:b/>
        </w:rPr>
        <w:t>phosphate resources at Sukulu</w:t>
      </w:r>
      <w:r>
        <w:t xml:space="preserve"> — but petrochemicals are pre-production and fertilizer output has stalled. Sequencing these correctly (fertilizer now; petrochemicals as the refinery comes on ~2029–30) is the tenfold play.</w:t>
      </w:r>
    </w:p>
    <w:p>
      <w:pPr>
        <w:pStyle w:val="Heading2"/>
      </w:pPr>
      <w:r>
        <w:t>6.A Value Chain Map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02B5B"/>
          </w:tcPr>
          <w:p>
            <w:r>
              <w:rPr>
                <w:b/>
                <w:color w:val="FFFFFF"/>
                <w:sz w:val="18"/>
              </w:rPr>
              <w:t>Strand</w:t>
            </w:r>
          </w:p>
        </w:tc>
        <w:tc>
          <w:tcPr>
            <w:tcW w:type="dxa" w:w="1881"/>
            <w:shd w:val="clear" w:color="auto" w:fill="002B5B"/>
          </w:tcPr>
          <w:p>
            <w:r>
              <w:rPr>
                <w:b/>
                <w:color w:val="FFFFFF"/>
                <w:sz w:val="18"/>
              </w:rPr>
              <w:t>Phase</w:t>
            </w:r>
          </w:p>
        </w:tc>
        <w:tc>
          <w:tcPr>
            <w:tcW w:type="dxa" w:w="1881"/>
            <w:shd w:val="clear" w:color="auto" w:fill="002B5B"/>
          </w:tcPr>
          <w:p>
            <w:r>
              <w:rPr>
                <w:b/>
                <w:color w:val="FFFFFF"/>
                <w:sz w:val="18"/>
              </w:rPr>
              <w:t>Inputs</w:t>
            </w:r>
          </w:p>
        </w:tc>
        <w:tc>
          <w:tcPr>
            <w:tcW w:type="dxa" w:w="1881"/>
            <w:shd w:val="clear" w:color="auto" w:fill="002B5B"/>
          </w:tcPr>
          <w:p>
            <w:r>
              <w:rPr>
                <w:b/>
                <w:color w:val="FFFFFF"/>
                <w:sz w:val="18"/>
              </w:rPr>
              <w:t>Output</w:t>
            </w:r>
          </w:p>
        </w:tc>
        <w:tc>
          <w:tcPr>
            <w:tcW w:type="dxa" w:w="1881"/>
            <w:shd w:val="clear" w:color="auto" w:fill="002B5B"/>
          </w:tcPr>
          <w:p>
            <w:r>
              <w:rPr>
                <w:b/>
                <w:color w:val="FFFFFF"/>
                <w:sz w:val="18"/>
              </w:rPr>
              <w:t>Uganda's position</w:t>
            </w:r>
          </w:p>
        </w:tc>
      </w:tr>
      <w:tr>
        <w:tc>
          <w:tcPr>
            <w:tcW w:type="dxa" w:w="1881"/>
            <w:shd w:val="clear" w:color="auto" w:fill="EEF3F9"/>
          </w:tcPr>
          <w:p>
            <w:r>
              <w:rPr>
                <w:sz w:val="18"/>
              </w:rPr>
              <w:t>Petrochemicals</w:t>
            </w:r>
          </w:p>
        </w:tc>
        <w:tc>
          <w:tcPr>
            <w:tcW w:type="dxa" w:w="1881"/>
            <w:shd w:val="clear" w:color="auto" w:fill="EEF3F9"/>
          </w:tcPr>
          <w:p>
            <w:r>
              <w:rPr>
                <w:sz w:val="18"/>
              </w:rPr>
              <w:t>Refining</w:t>
            </w:r>
          </w:p>
        </w:tc>
        <w:tc>
          <w:tcPr>
            <w:tcW w:type="dxa" w:w="1881"/>
            <w:shd w:val="clear" w:color="auto" w:fill="EEF3F9"/>
          </w:tcPr>
          <w:p>
            <w:r>
              <w:rPr>
                <w:sz w:val="18"/>
              </w:rPr>
              <w:t>Crude oil</w:t>
            </w:r>
          </w:p>
        </w:tc>
        <w:tc>
          <w:tcPr>
            <w:tcW w:type="dxa" w:w="1881"/>
            <w:shd w:val="clear" w:color="auto" w:fill="EEF3F9"/>
          </w:tcPr>
          <w:p>
            <w:r>
              <w:rPr>
                <w:sz w:val="18"/>
              </w:rPr>
              <w:t>Fuels, LPG, naphtha, base chemicals</w:t>
            </w:r>
          </w:p>
        </w:tc>
        <w:tc>
          <w:tcPr>
            <w:tcW w:type="dxa" w:w="1881"/>
            <w:shd w:val="clear" w:color="auto" w:fill="EEF3F9"/>
          </w:tcPr>
          <w:p>
            <w:r>
              <w:rPr>
                <w:b/>
                <w:sz w:val="18"/>
              </w:rPr>
              <w:t>Pre-production</w:t>
            </w:r>
            <w:r>
              <w:rPr>
                <w:sz w:val="18"/>
              </w:rPr>
              <w:t xml:space="preserve"> (~2029–30)</w:t>
            </w:r>
          </w:p>
        </w:tc>
      </w:tr>
      <w:tr>
        <w:tc>
          <w:tcPr>
            <w:tcW w:type="dxa" w:w="1881"/>
            <w:shd w:val="clear" w:color="auto" w:fill="FFFFFF"/>
          </w:tcPr>
          <w:p>
            <w:r>
              <w:rPr>
                <w:sz w:val="18"/>
              </w:rPr>
              <w:t>Petrochemicals</w:t>
            </w:r>
          </w:p>
        </w:tc>
        <w:tc>
          <w:tcPr>
            <w:tcW w:type="dxa" w:w="1881"/>
            <w:shd w:val="clear" w:color="auto" w:fill="FFFFFF"/>
          </w:tcPr>
          <w:p>
            <w:r>
              <w:rPr>
                <w:sz w:val="18"/>
              </w:rPr>
              <w:t>Petrochemical processing</w:t>
            </w:r>
          </w:p>
        </w:tc>
        <w:tc>
          <w:tcPr>
            <w:tcW w:type="dxa" w:w="1881"/>
            <w:shd w:val="clear" w:color="auto" w:fill="FFFFFF"/>
          </w:tcPr>
          <w:p>
            <w:r>
              <w:rPr>
                <w:sz w:val="18"/>
              </w:rPr>
              <w:t>Naphtha/gas</w:t>
            </w:r>
          </w:p>
        </w:tc>
        <w:tc>
          <w:tcPr>
            <w:tcW w:type="dxa" w:w="1881"/>
            <w:shd w:val="clear" w:color="auto" w:fill="FFFFFF"/>
          </w:tcPr>
          <w:p>
            <w:r>
              <w:rPr>
                <w:sz w:val="18"/>
              </w:rPr>
              <w:t>Polymers, solvents, intermediates</w:t>
            </w:r>
          </w:p>
        </w:tc>
        <w:tc>
          <w:tcPr>
            <w:tcW w:type="dxa" w:w="1881"/>
            <w:shd w:val="clear" w:color="auto" w:fill="FFFFFF"/>
          </w:tcPr>
          <w:p>
            <w:r>
              <w:rPr>
                <w:b/>
                <w:sz w:val="18"/>
              </w:rPr>
              <w:t>Future</w:t>
            </w:r>
            <w:r>
              <w:rPr>
                <w:sz w:val="18"/>
              </w:rPr>
              <w:t xml:space="preserve"> (Kabalega park)</w:t>
            </w:r>
          </w:p>
        </w:tc>
      </w:tr>
      <w:tr>
        <w:tc>
          <w:tcPr>
            <w:tcW w:type="dxa" w:w="1881"/>
            <w:shd w:val="clear" w:color="auto" w:fill="EEF3F9"/>
          </w:tcPr>
          <w:p>
            <w:r>
              <w:rPr>
                <w:sz w:val="18"/>
              </w:rPr>
              <w:t>Fertilizers</w:t>
            </w:r>
          </w:p>
        </w:tc>
        <w:tc>
          <w:tcPr>
            <w:tcW w:type="dxa" w:w="1881"/>
            <w:shd w:val="clear" w:color="auto" w:fill="EEF3F9"/>
          </w:tcPr>
          <w:p>
            <w:r>
              <w:rPr>
                <w:sz w:val="18"/>
              </w:rPr>
              <w:t>Phosphate mining &amp; processing</w:t>
            </w:r>
          </w:p>
        </w:tc>
        <w:tc>
          <w:tcPr>
            <w:tcW w:type="dxa" w:w="1881"/>
            <w:shd w:val="clear" w:color="auto" w:fill="EEF3F9"/>
          </w:tcPr>
          <w:p>
            <w:r>
              <w:rPr>
                <w:sz w:val="18"/>
              </w:rPr>
              <w:t>Phosphate rock, sulphur</w:t>
            </w:r>
          </w:p>
        </w:tc>
        <w:tc>
          <w:tcPr>
            <w:tcW w:type="dxa" w:w="1881"/>
            <w:shd w:val="clear" w:color="auto" w:fill="EEF3F9"/>
          </w:tcPr>
          <w:p>
            <w:r>
              <w:rPr>
                <w:sz w:val="18"/>
              </w:rPr>
              <w:t>Phosphate fertilizer, sulphuric acid</w:t>
            </w:r>
          </w:p>
        </w:tc>
        <w:tc>
          <w:tcPr>
            <w:tcW w:type="dxa" w:w="1881"/>
            <w:shd w:val="clear" w:color="auto" w:fill="EEF3F9"/>
          </w:tcPr>
          <w:p>
            <w:r>
              <w:rPr>
                <w:b/>
                <w:sz w:val="18"/>
              </w:rPr>
              <w:t>Stalled</w:t>
            </w:r>
            <w:r>
              <w:rPr>
                <w:sz w:val="18"/>
              </w:rPr>
              <w:t xml:space="preserve"> (Sukulu)</w:t>
            </w:r>
          </w:p>
        </w:tc>
      </w:tr>
      <w:tr>
        <w:tc>
          <w:tcPr>
            <w:tcW w:type="dxa" w:w="1881"/>
            <w:shd w:val="clear" w:color="auto" w:fill="FFFFFF"/>
          </w:tcPr>
          <w:p>
            <w:r>
              <w:rPr>
                <w:sz w:val="18"/>
              </w:rPr>
              <w:t>Fertilizers</w:t>
            </w:r>
          </w:p>
        </w:tc>
        <w:tc>
          <w:tcPr>
            <w:tcW w:type="dxa" w:w="1881"/>
            <w:shd w:val="clear" w:color="auto" w:fill="FFFFFF"/>
          </w:tcPr>
          <w:p>
            <w:r>
              <w:rPr>
                <w:sz w:val="18"/>
              </w:rPr>
              <w:t>Blending</w:t>
            </w:r>
          </w:p>
        </w:tc>
        <w:tc>
          <w:tcPr>
            <w:tcW w:type="dxa" w:w="1881"/>
            <w:shd w:val="clear" w:color="auto" w:fill="FFFFFF"/>
          </w:tcPr>
          <w:p>
            <w:r>
              <w:rPr>
                <w:sz w:val="18"/>
              </w:rPr>
              <w:t>Imported/local nutrients</w:t>
            </w:r>
          </w:p>
        </w:tc>
        <w:tc>
          <w:tcPr>
            <w:tcW w:type="dxa" w:w="1881"/>
            <w:shd w:val="clear" w:color="auto" w:fill="FFFFFF"/>
          </w:tcPr>
          <w:p>
            <w:r>
              <w:rPr>
                <w:sz w:val="18"/>
              </w:rPr>
              <w:t>NPK blends</w:t>
            </w:r>
          </w:p>
        </w:tc>
        <w:tc>
          <w:tcPr>
            <w:tcW w:type="dxa" w:w="1881"/>
            <w:shd w:val="clear" w:color="auto" w:fill="FFFFFF"/>
          </w:tcPr>
          <w:p>
            <w:r>
              <w:rPr>
                <w:b/>
                <w:sz w:val="18"/>
              </w:rPr>
              <w:t>Limited</w:t>
            </w:r>
          </w:p>
        </w:tc>
      </w:tr>
      <w:tr>
        <w:tc>
          <w:tcPr>
            <w:tcW w:type="dxa" w:w="1881"/>
            <w:shd w:val="clear" w:color="auto" w:fill="EEF3F9"/>
          </w:tcPr>
          <w:p>
            <w:r>
              <w:rPr>
                <w:sz w:val="18"/>
              </w:rPr>
              <w:t>Both</w:t>
            </w:r>
          </w:p>
        </w:tc>
        <w:tc>
          <w:tcPr>
            <w:tcW w:type="dxa" w:w="1881"/>
            <w:shd w:val="clear" w:color="auto" w:fill="EEF3F9"/>
          </w:tcPr>
          <w:p>
            <w:r>
              <w:rPr>
                <w:sz w:val="18"/>
              </w:rPr>
              <w:t>Market</w:t>
            </w:r>
          </w:p>
        </w:tc>
        <w:tc>
          <w:tcPr>
            <w:tcW w:type="dxa" w:w="1881"/>
            <w:shd w:val="clear" w:color="auto" w:fill="EEF3F9"/>
          </w:tcPr>
          <w:p>
            <w:r>
              <w:rPr>
                <w:sz w:val="18"/>
              </w:rPr>
              <w:t>Products</w:t>
            </w:r>
          </w:p>
        </w:tc>
        <w:tc>
          <w:tcPr>
            <w:tcW w:type="dxa" w:w="1881"/>
            <w:shd w:val="clear" w:color="auto" w:fill="EEF3F9"/>
          </w:tcPr>
          <w:p>
            <w:r>
              <w:rPr>
                <w:sz w:val="18"/>
              </w:rPr>
              <w:t>Fuel, plastics feedstock, fertilizer</w:t>
            </w:r>
          </w:p>
        </w:tc>
        <w:tc>
          <w:tcPr>
            <w:tcW w:type="dxa" w:w="1881"/>
            <w:shd w:val="clear" w:color="auto" w:fill="EEF3F9"/>
          </w:tcPr>
          <w:p>
            <w:r>
              <w:rPr>
                <w:b/>
                <w:sz w:val="18"/>
              </w:rPr>
              <w:t>Import-dependent</w:t>
            </w:r>
          </w:p>
        </w:tc>
      </w:tr>
    </w:tbl>
    <w:p/>
    <w:p>
      <w:r>
        <w:rPr>
          <w:b/>
        </w:rPr>
        <w:t>Where value is captured and lost.</w:t>
      </w:r>
      <w:r>
        <w:t xml:space="preserve"> Uganda imports refined fuels, plastics feedstock (Chapter 8 linkage), and most fertilizer. Mineral/chemical fertilizer (HS 3105) imports were ~</w:t>
      </w:r>
      <w:r>
        <w:rPr>
          <w:b/>
        </w:rPr>
        <w:t>USD 32.1 million in 2024</w:t>
      </w:r>
      <w:r>
        <w:t xml:space="preserve"> (ITC TradeMap), and total fertilizer need vastly exceeds domestic supply. The petrochemical base awaits the Kabaale refinery.</w:t>
      </w:r>
    </w:p>
    <w:p>
      <w:pPr>
        <w:pStyle w:val="Heading2"/>
      </w:pPr>
      <w:r>
        <w:t>6.B Current Status</w:t>
      </w:r>
    </w:p>
    <w:p>
      <w:pPr>
        <w:pStyle w:val="Heading3"/>
      </w:pPr>
      <w:r>
        <w:t>Status snapshot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Indicator</w:t>
            </w:r>
          </w:p>
        </w:tc>
        <w:tc>
          <w:tcPr>
            <w:tcW w:type="dxa" w:w="3135"/>
            <w:shd w:val="clear" w:color="auto" w:fill="002B5B"/>
          </w:tcPr>
          <w:p>
            <w:r>
              <w:rPr>
                <w:b/>
                <w:color w:val="FFFFFF"/>
                <w:sz w:val="18"/>
              </w:rPr>
              <w:t>Value</w:t>
            </w:r>
          </w:p>
        </w:tc>
        <w:tc>
          <w:tcPr>
            <w:tcW w:type="dxa" w:w="3135"/>
            <w:shd w:val="clear" w:color="auto" w:fill="002B5B"/>
          </w:tcPr>
          <w:p>
            <w:r>
              <w:rPr>
                <w:b/>
                <w:color w:val="FFFFFF"/>
                <w:sz w:val="18"/>
              </w:rPr>
              <w:t>Source</w:t>
            </w:r>
          </w:p>
        </w:tc>
      </w:tr>
      <w:tr>
        <w:tc>
          <w:tcPr>
            <w:tcW w:type="dxa" w:w="3135"/>
            <w:shd w:val="clear" w:color="auto" w:fill="EEF3F9"/>
          </w:tcPr>
          <w:p>
            <w:r>
              <w:rPr>
                <w:sz w:val="18"/>
              </w:rPr>
              <w:t>Refinery</w:t>
            </w:r>
          </w:p>
        </w:tc>
        <w:tc>
          <w:tcPr>
            <w:tcW w:type="dxa" w:w="3135"/>
            <w:shd w:val="clear" w:color="auto" w:fill="EEF3F9"/>
          </w:tcPr>
          <w:p>
            <w:r>
              <w:rPr>
                <w:b/>
                <w:sz w:val="18"/>
              </w:rPr>
              <w:t>Kabaale (Hoima), 60,000 bpd</w:t>
            </w:r>
            <w:r>
              <w:rPr>
                <w:sz w:val="18"/>
              </w:rPr>
              <w:t>; investment agreement Mar 2025</w:t>
            </w:r>
          </w:p>
        </w:tc>
        <w:tc>
          <w:tcPr>
            <w:tcW w:type="dxa" w:w="3135"/>
            <w:shd w:val="clear" w:color="auto" w:fill="EEF3F9"/>
          </w:tcPr>
          <w:p>
            <w:r>
              <w:rPr>
                <w:sz w:val="18"/>
              </w:rPr>
              <w:t>UNOC; PAU</w:t>
            </w:r>
          </w:p>
        </w:tc>
      </w:tr>
      <w:tr>
        <w:tc>
          <w:tcPr>
            <w:tcW w:type="dxa" w:w="3135"/>
            <w:shd w:val="clear" w:color="auto" w:fill="FFFFFF"/>
          </w:tcPr>
          <w:p>
            <w:r>
              <w:rPr>
                <w:sz w:val="18"/>
              </w:rPr>
              <w:t>Refinery investor / structure</w:t>
            </w:r>
          </w:p>
        </w:tc>
        <w:tc>
          <w:tcPr>
            <w:tcW w:type="dxa" w:w="3135"/>
            <w:shd w:val="clear" w:color="auto" w:fill="FFFFFF"/>
          </w:tcPr>
          <w:p>
            <w:r>
              <w:rPr>
                <w:b/>
                <w:sz w:val="18"/>
              </w:rPr>
              <w:t>Alpha MBM Investments (UAE)</w:t>
            </w:r>
            <w:r>
              <w:rPr>
                <w:sz w:val="18"/>
              </w:rPr>
              <w:t>, Govt ~40% via UNOC; ~USD 4bn; ops ~2029–30</w:t>
            </w:r>
          </w:p>
        </w:tc>
        <w:tc>
          <w:tcPr>
            <w:tcW w:type="dxa" w:w="3135"/>
            <w:shd w:val="clear" w:color="auto" w:fill="FFFFFF"/>
          </w:tcPr>
          <w:p>
            <w:r>
              <w:rPr>
                <w:sz w:val="18"/>
              </w:rPr>
              <w:t>UNOC; PAU</w:t>
            </w:r>
          </w:p>
        </w:tc>
      </w:tr>
      <w:tr>
        <w:tc>
          <w:tcPr>
            <w:tcW w:type="dxa" w:w="3135"/>
            <w:shd w:val="clear" w:color="auto" w:fill="EEF3F9"/>
          </w:tcPr>
          <w:p>
            <w:r>
              <w:rPr>
                <w:sz w:val="18"/>
              </w:rPr>
              <w:t>Phosphate plant</w:t>
            </w:r>
          </w:p>
        </w:tc>
        <w:tc>
          <w:tcPr>
            <w:tcW w:type="dxa" w:w="3135"/>
            <w:shd w:val="clear" w:color="auto" w:fill="EEF3F9"/>
          </w:tcPr>
          <w:p>
            <w:r>
              <w:rPr>
                <w:b/>
                <w:sz w:val="18"/>
              </w:rPr>
              <w:t>Sukulu/Osukuru (Tororo)</w:t>
            </w:r>
            <w:r>
              <w:rPr>
                <w:sz w:val="18"/>
              </w:rPr>
              <w:t xml:space="preserve">, ~100,000 t/yr design — </w:t>
            </w:r>
            <w:r>
              <w:rPr>
                <w:b/>
                <w:sz w:val="18"/>
              </w:rPr>
              <w:t>shut 2021, brief 2023, halted</w:t>
            </w:r>
          </w:p>
        </w:tc>
        <w:tc>
          <w:tcPr>
            <w:tcW w:type="dxa" w:w="3135"/>
            <w:shd w:val="clear" w:color="auto" w:fill="EEF3F9"/>
          </w:tcPr>
          <w:p>
            <w:r>
              <w:rPr>
                <w:sz w:val="18"/>
              </w:rPr>
              <w:t>Osukuru records</w:t>
            </w:r>
          </w:p>
        </w:tc>
      </w:tr>
      <w:tr>
        <w:tc>
          <w:tcPr>
            <w:tcW w:type="dxa" w:w="3135"/>
            <w:shd w:val="clear" w:color="auto" w:fill="FFFFFF"/>
          </w:tcPr>
          <w:p>
            <w:r>
              <w:rPr>
                <w:sz w:val="18"/>
              </w:rPr>
              <w:t>Fertilizer use vs need</w:t>
            </w:r>
          </w:p>
        </w:tc>
        <w:tc>
          <w:tcPr>
            <w:tcW w:type="dxa" w:w="3135"/>
            <w:shd w:val="clear" w:color="auto" w:fill="FFFFFF"/>
          </w:tcPr>
          <w:p>
            <w:r>
              <w:rPr>
                <w:b/>
                <w:sz w:val="18"/>
              </w:rPr>
              <w:t>~50,000 t imported vs ~1,000,000 t need</w:t>
            </w:r>
          </w:p>
        </w:tc>
        <w:tc>
          <w:tcPr>
            <w:tcW w:type="dxa" w:w="3135"/>
            <w:shd w:val="clear" w:color="auto" w:fill="FFFFFF"/>
          </w:tcPr>
          <w:p>
            <w:r>
              <w:rPr>
                <w:sz w:val="18"/>
              </w:rPr>
              <w:t>sector; MAAIF</w:t>
            </w:r>
          </w:p>
        </w:tc>
      </w:tr>
      <w:tr>
        <w:tc>
          <w:tcPr>
            <w:tcW w:type="dxa" w:w="3135"/>
            <w:shd w:val="clear" w:color="auto" w:fill="EEF3F9"/>
          </w:tcPr>
          <w:p>
            <w:r>
              <w:rPr>
                <w:sz w:val="18"/>
              </w:rPr>
              <w:t>Fertilizer imports (HS 3105)</w:t>
            </w:r>
          </w:p>
        </w:tc>
        <w:tc>
          <w:tcPr>
            <w:tcW w:type="dxa" w:w="3135"/>
            <w:shd w:val="clear" w:color="auto" w:fill="EEF3F9"/>
          </w:tcPr>
          <w:p>
            <w:r>
              <w:rPr>
                <w:sz w:val="18"/>
              </w:rPr>
              <w:t>~USD 32.1m (2024)</w:t>
            </w:r>
          </w:p>
        </w:tc>
        <w:tc>
          <w:tcPr>
            <w:tcW w:type="dxa" w:w="3135"/>
            <w:shd w:val="clear" w:color="auto" w:fill="EEF3F9"/>
          </w:tcPr>
          <w:p>
            <w:r>
              <w:rPr>
                <w:sz w:val="18"/>
              </w:rPr>
              <w:t>ITC TradeMap</w:t>
            </w:r>
          </w:p>
        </w:tc>
      </w:tr>
    </w:tbl>
    <w:p/>
    <w:p>
      <w:r>
        <w:rPr>
          <w:b/>
        </w:rPr>
        <w:t>Petrochemicals (pre-production).</w:t>
      </w:r>
      <w:r>
        <w:t xml:space="preserve"> Anchored on the </w:t>
      </w:r>
      <w:r>
        <w:rPr>
          <w:b/>
        </w:rPr>
        <w:t>Kabaale refinery (60,000 bpd)</w:t>
      </w:r>
      <w:r>
        <w:t xml:space="preserve"> and </w:t>
      </w:r>
      <w:r>
        <w:rPr>
          <w:b/>
        </w:rPr>
        <w:t>Kabalega Petrochemical Industrial Park</w:t>
      </w:r>
      <w:r>
        <w:t xml:space="preserve">; </w:t>
      </w:r>
      <w:r>
        <w:rPr>
          <w:b/>
        </w:rPr>
        <w:t>March 2025 implementation agreement with Alpha MBM Investments (UAE)</w:t>
      </w:r>
      <w:r>
        <w:t xml:space="preserve"> (Government ~40% via UNOC), ~USD 4bn, operations ~</w:t>
      </w:r>
      <w:r>
        <w:rPr>
          <w:b/>
        </w:rPr>
        <w:t>2029–30</w:t>
      </w:r>
      <w:r>
        <w:t xml:space="preserve"> (UNOC; PAU). Until then, all polymers and refined products are imported.</w:t>
      </w:r>
    </w:p>
    <w:p>
      <w:r>
        <w:rPr>
          <w:b/>
        </w:rPr>
        <w:t>Fertilizers (stalled).</w:t>
      </w:r>
      <w:r>
        <w:t xml:space="preserve"> The </w:t>
      </w:r>
      <w:r>
        <w:rPr>
          <w:b/>
        </w:rPr>
        <w:t>Sukulu/Osukuru complex</w:t>
      </w:r>
      <w:r>
        <w:t xml:space="preserve"> (Guangzhou Dongsong), commissioned 2018 with ~100,000 t/yr phosphate-fertilizer design (plus sulphuric-acid and steel units), </w:t>
      </w:r>
      <w:r>
        <w:rPr>
          <w:b/>
        </w:rPr>
        <w:t>shut in 2021 after losing financing, briefly resumed in 2023, then halted</w:t>
      </w:r>
      <w:r>
        <w:t>. Uganda imports ~</w:t>
      </w:r>
      <w:r>
        <w:rPr>
          <w:b/>
        </w:rPr>
        <w:t>50,000 t</w:t>
      </w:r>
      <w:r>
        <w:t xml:space="preserve"> of fertilizer against an estimated need approaching </w:t>
      </w:r>
      <w:r>
        <w:rPr>
          <w:b/>
        </w:rPr>
        <w:t>1 million tonnes</w:t>
      </w:r>
      <w:r>
        <w:t xml:space="preserve"> for effective agricultural intensification.</w:t>
      </w:r>
    </w:p>
    <w:p>
      <w:pPr>
        <w:pStyle w:val="Heading2"/>
      </w:pPr>
      <w:r>
        <w:t>6.C Market Analysis (four levels) and 2040 Projection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Level</w:t>
            </w:r>
          </w:p>
        </w:tc>
        <w:tc>
          <w:tcPr>
            <w:tcW w:type="dxa" w:w="3135"/>
            <w:shd w:val="clear" w:color="auto" w:fill="002B5B"/>
          </w:tcPr>
          <w:p>
            <w:r>
              <w:rPr>
                <w:b/>
                <w:color w:val="FFFFFF"/>
                <w:sz w:val="18"/>
              </w:rPr>
              <w:t>Size / Uganda position</w:t>
            </w:r>
          </w:p>
        </w:tc>
        <w:tc>
          <w:tcPr>
            <w:tcW w:type="dxa" w:w="3135"/>
            <w:shd w:val="clear" w:color="auto" w:fill="002B5B"/>
          </w:tcPr>
          <w:p>
            <w:r>
              <w:rPr>
                <w:b/>
                <w:color w:val="FFFFFF"/>
                <w:sz w:val="18"/>
              </w:rPr>
              <w:t>Drivers</w:t>
            </w:r>
          </w:p>
        </w:tc>
      </w:tr>
      <w:tr>
        <w:tc>
          <w:tcPr>
            <w:tcW w:type="dxa" w:w="3135"/>
            <w:shd w:val="clear" w:color="auto" w:fill="EEF3F9"/>
          </w:tcPr>
          <w:p>
            <w:r>
              <w:rPr>
                <w:b/>
                <w:sz w:val="18"/>
              </w:rPr>
              <w:t>Uganda (domestic)</w:t>
            </w:r>
          </w:p>
        </w:tc>
        <w:tc>
          <w:tcPr>
            <w:tcW w:type="dxa" w:w="3135"/>
            <w:shd w:val="clear" w:color="auto" w:fill="EEF3F9"/>
          </w:tcPr>
          <w:p>
            <w:r>
              <w:rPr>
                <w:sz w:val="18"/>
              </w:rPr>
              <w:t>Huge unmet fertilizer demand (~50,000 t vs ~1m t need); fuel &amp; plastics-feedstock demand large but awaiting refinery</w:t>
            </w:r>
          </w:p>
        </w:tc>
        <w:tc>
          <w:tcPr>
            <w:tcW w:type="dxa" w:w="3135"/>
            <w:shd w:val="clear" w:color="auto" w:fill="EEF3F9"/>
          </w:tcPr>
          <w:p>
            <w:r>
              <w:rPr>
                <w:sz w:val="18"/>
              </w:rPr>
              <w:t>Agricultural intensification; industrialisation; motorisation</w:t>
            </w:r>
          </w:p>
        </w:tc>
      </w:tr>
      <w:tr>
        <w:tc>
          <w:tcPr>
            <w:tcW w:type="dxa" w:w="3135"/>
            <w:shd w:val="clear" w:color="auto" w:fill="FFFFFF"/>
          </w:tcPr>
          <w:p>
            <w:r>
              <w:rPr>
                <w:b/>
                <w:sz w:val="18"/>
              </w:rPr>
              <w:t>Regional (EAC + COMESA)</w:t>
            </w:r>
          </w:p>
        </w:tc>
        <w:tc>
          <w:tcPr>
            <w:tcW w:type="dxa" w:w="3135"/>
            <w:shd w:val="clear" w:color="auto" w:fill="FFFFFF"/>
          </w:tcPr>
          <w:p>
            <w:r>
              <w:rPr>
                <w:sz w:val="18"/>
              </w:rPr>
              <w:t>A functioning refinery would supply regional fuel/petrochemicals; fertilizer blending could serve regional agriculture (post-2029)</w:t>
            </w:r>
          </w:p>
        </w:tc>
        <w:tc>
          <w:tcPr>
            <w:tcW w:type="dxa" w:w="3135"/>
            <w:shd w:val="clear" w:color="auto" w:fill="FFFFFF"/>
          </w:tcPr>
          <w:p>
            <w:r>
              <w:rPr>
                <w:sz w:val="18"/>
              </w:rPr>
              <w:t>Regional fuel deficit; agriculture</w:t>
            </w:r>
          </w:p>
        </w:tc>
      </w:tr>
      <w:tr>
        <w:tc>
          <w:tcPr>
            <w:tcW w:type="dxa" w:w="3135"/>
            <w:shd w:val="clear" w:color="auto" w:fill="EEF3F9"/>
          </w:tcPr>
          <w:p>
            <w:r>
              <w:rPr>
                <w:b/>
                <w:sz w:val="18"/>
              </w:rPr>
              <w:t>Continental (Africa)</w:t>
            </w:r>
          </w:p>
        </w:tc>
        <w:tc>
          <w:tcPr>
            <w:tcW w:type="dxa" w:w="3135"/>
            <w:shd w:val="clear" w:color="auto" w:fill="EEF3F9"/>
          </w:tcPr>
          <w:p>
            <w:r>
              <w:rPr>
                <w:sz w:val="18"/>
              </w:rPr>
              <w:t>Africa is a large fertilizer importer; AfCFTA access</w:t>
            </w:r>
          </w:p>
        </w:tc>
        <w:tc>
          <w:tcPr>
            <w:tcW w:type="dxa" w:w="3135"/>
            <w:shd w:val="clear" w:color="auto" w:fill="EEF3F9"/>
          </w:tcPr>
          <w:p>
            <w:r>
              <w:rPr>
                <w:sz w:val="18"/>
              </w:rPr>
              <w:t>Food-security drive; fertilizer localisation</w:t>
            </w:r>
          </w:p>
        </w:tc>
      </w:tr>
      <w:tr>
        <w:tc>
          <w:tcPr>
            <w:tcW w:type="dxa" w:w="3135"/>
            <w:shd w:val="clear" w:color="auto" w:fill="FFFFFF"/>
          </w:tcPr>
          <w:p>
            <w:r>
              <w:rPr>
                <w:b/>
                <w:sz w:val="18"/>
              </w:rPr>
              <w:t>Global</w:t>
            </w:r>
          </w:p>
        </w:tc>
        <w:tc>
          <w:tcPr>
            <w:tcW w:type="dxa" w:w="3135"/>
            <w:shd w:val="clear" w:color="auto" w:fill="FFFFFF"/>
          </w:tcPr>
          <w:p>
            <w:r>
              <w:rPr>
                <w:sz w:val="18"/>
              </w:rPr>
              <w:t>Not relevant medium-term; chain is about domestic/regional substitution</w:t>
            </w:r>
          </w:p>
        </w:tc>
        <w:tc>
          <w:tcPr>
            <w:tcW w:type="dxa" w:w="3135"/>
            <w:shd w:val="clear" w:color="auto" w:fill="FFFFFF"/>
          </w:tcPr>
          <w:p>
            <w:r>
              <w:rPr>
                <w:sz w:val="18"/>
              </w:rPr>
              <w:t>—</w:t>
            </w:r>
          </w:p>
        </w:tc>
      </w:tr>
    </w:tbl>
    <w:p/>
    <w:p>
      <w:pPr>
        <w:pStyle w:val="Heading3"/>
      </w:pPr>
      <w:r>
        <w:t>2040 projection — Tenfold logic</w:t>
      </w:r>
    </w:p>
    <w:p>
      <w:r>
        <w:t xml:space="preserve">Agricultural intensification toward tenfold farm output implies fertilizer demand rising from today's ~1m t </w:t>
      </w:r>
      <w:r>
        <w:rPr>
          <w:i/>
        </w:rPr>
        <w:t>need</w:t>
      </w:r>
      <w:r>
        <w:t xml:space="preserve"> toward </w:t>
      </w:r>
      <w:r>
        <w:rPr>
          <w:b/>
        </w:rPr>
        <w:t>~1.5–2 million tonnes a year by 2040</w:t>
      </w:r>
      <w:r>
        <w:t xml:space="preserve">, while a refinery + petrochemical park would localise a large fuels-and-polymers market (feedstock for the Plastics chain, Chapter 8). The sequence is decisive: </w:t>
      </w:r>
      <w:r>
        <w:rPr>
          <w:b/>
        </w:rPr>
        <w:t>fertilizer first</w:t>
      </w:r>
      <w:r>
        <w:t xml:space="preserve"> (food security can't wait for 2029), </w:t>
      </w:r>
      <w:r>
        <w:rPr>
          <w:b/>
        </w:rPr>
        <w:t>petrochemicals as the refinery comes online</w:t>
      </w:r>
      <w:r>
        <w:t>. Other markets grow on business-as-usual.</w:t>
      </w:r>
    </w:p>
    <w:p>
      <w:pPr>
        <w:pStyle w:val="Heading2"/>
      </w:pPr>
      <w:r>
        <w:t>6.D Binding Constraints — Weighted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w:t>
            </w:r>
          </w:p>
        </w:tc>
        <w:tc>
          <w:tcPr>
            <w:tcW w:type="dxa" w:w="2351"/>
            <w:shd w:val="clear" w:color="auto" w:fill="002B5B"/>
          </w:tcPr>
          <w:p>
            <w:r>
              <w:rPr>
                <w:b/>
                <w:color w:val="FFFFFF"/>
                <w:sz w:val="18"/>
              </w:rPr>
              <w:t>Constraint (category)</w:t>
            </w:r>
          </w:p>
        </w:tc>
        <w:tc>
          <w:tcPr>
            <w:tcW w:type="dxa" w:w="2351"/>
            <w:shd w:val="clear" w:color="auto" w:fill="002B5B"/>
          </w:tcPr>
          <w:p>
            <w:r>
              <w:rPr>
                <w:b/>
                <w:color w:val="FFFFFF"/>
                <w:sz w:val="18"/>
              </w:rPr>
              <w:t>Weight</w:t>
            </w:r>
          </w:p>
        </w:tc>
        <w:tc>
          <w:tcPr>
            <w:tcW w:type="dxa" w:w="2351"/>
            <w:shd w:val="clear" w:color="auto" w:fill="002B5B"/>
          </w:tcPr>
          <w:p>
            <w:r>
              <w:rPr>
                <w:b/>
                <w:color w:val="FFFFFF"/>
                <w:sz w:val="18"/>
              </w:rPr>
              <w:t>Evidence / gravity</w:t>
            </w:r>
          </w:p>
        </w:tc>
      </w:tr>
      <w:tr>
        <w:tc>
          <w:tcPr>
            <w:tcW w:type="dxa" w:w="2351"/>
            <w:shd w:val="clear" w:color="auto" w:fill="EEF3F9"/>
          </w:tcPr>
          <w:p>
            <w:r>
              <w:rPr>
                <w:sz w:val="18"/>
              </w:rPr>
              <w:t>1</w:t>
            </w:r>
          </w:p>
        </w:tc>
        <w:tc>
          <w:tcPr>
            <w:tcW w:type="dxa" w:w="2351"/>
            <w:shd w:val="clear" w:color="auto" w:fill="EEF3F9"/>
          </w:tcPr>
          <w:p>
            <w:r>
              <w:rPr>
                <w:b/>
                <w:sz w:val="18"/>
              </w:rPr>
              <w:t>Stalled phosphate processing / fertilizer supply (inputs)</w:t>
            </w:r>
          </w:p>
        </w:tc>
        <w:tc>
          <w:tcPr>
            <w:tcW w:type="dxa" w:w="2351"/>
            <w:shd w:val="clear" w:color="auto" w:fill="EEF3F9"/>
          </w:tcPr>
          <w:p>
            <w:r>
              <w:rPr>
                <w:b/>
                <w:sz w:val="18"/>
              </w:rPr>
              <w:t>5</w:t>
            </w:r>
          </w:p>
        </w:tc>
        <w:tc>
          <w:tcPr>
            <w:tcW w:type="dxa" w:w="2351"/>
            <w:shd w:val="clear" w:color="auto" w:fill="EEF3F9"/>
          </w:tcPr>
          <w:p>
            <w:r>
              <w:rPr>
                <w:sz w:val="18"/>
              </w:rPr>
              <w:t>Sukulu shut since 2021/23; ~50,000 t vs ~1m t need — a food-security and productivity constraint</w:t>
            </w:r>
          </w:p>
        </w:tc>
      </w:tr>
      <w:tr>
        <w:tc>
          <w:tcPr>
            <w:tcW w:type="dxa" w:w="2351"/>
            <w:shd w:val="clear" w:color="auto" w:fill="FFFFFF"/>
          </w:tcPr>
          <w:p>
            <w:r>
              <w:rPr>
                <w:sz w:val="18"/>
              </w:rPr>
              <w:t>2</w:t>
            </w:r>
          </w:p>
        </w:tc>
        <w:tc>
          <w:tcPr>
            <w:tcW w:type="dxa" w:w="2351"/>
            <w:shd w:val="clear" w:color="auto" w:fill="FFFFFF"/>
          </w:tcPr>
          <w:p>
            <w:r>
              <w:rPr>
                <w:b/>
                <w:sz w:val="18"/>
              </w:rPr>
              <w:t>Very large capital + financing fragility (finance)</w:t>
            </w:r>
          </w:p>
        </w:tc>
        <w:tc>
          <w:tcPr>
            <w:tcW w:type="dxa" w:w="2351"/>
            <w:shd w:val="clear" w:color="auto" w:fill="FFFFFF"/>
          </w:tcPr>
          <w:p>
            <w:r>
              <w:rPr>
                <w:b/>
                <w:sz w:val="18"/>
              </w:rPr>
              <w:t>5</w:t>
            </w:r>
          </w:p>
        </w:tc>
        <w:tc>
          <w:tcPr>
            <w:tcW w:type="dxa" w:w="2351"/>
            <w:shd w:val="clear" w:color="auto" w:fill="FFFFFF"/>
          </w:tcPr>
          <w:p>
            <w:r>
              <w:rPr>
                <w:sz w:val="18"/>
              </w:rPr>
              <w:t>Refinery ~USD 4bn; Sukulu's collapse shows financing fragility; both strands capital-intensive</w:t>
            </w:r>
          </w:p>
        </w:tc>
      </w:tr>
      <w:tr>
        <w:tc>
          <w:tcPr>
            <w:tcW w:type="dxa" w:w="2351"/>
            <w:shd w:val="clear" w:color="auto" w:fill="EEF3F9"/>
          </w:tcPr>
          <w:p>
            <w:r>
              <w:rPr>
                <w:sz w:val="18"/>
              </w:rPr>
              <w:t>3</w:t>
            </w:r>
          </w:p>
        </w:tc>
        <w:tc>
          <w:tcPr>
            <w:tcW w:type="dxa" w:w="2351"/>
            <w:shd w:val="clear" w:color="auto" w:fill="EEF3F9"/>
          </w:tcPr>
          <w:p>
            <w:r>
              <w:rPr>
                <w:b/>
                <w:sz w:val="18"/>
              </w:rPr>
              <w:t>Feedstock timing — refinery pre-2029 (inputs/sequencing)</w:t>
            </w:r>
          </w:p>
        </w:tc>
        <w:tc>
          <w:tcPr>
            <w:tcW w:type="dxa" w:w="2351"/>
            <w:shd w:val="clear" w:color="auto" w:fill="EEF3F9"/>
          </w:tcPr>
          <w:p>
            <w:r>
              <w:rPr>
                <w:b/>
                <w:sz w:val="18"/>
              </w:rPr>
              <w:t>4</w:t>
            </w:r>
          </w:p>
        </w:tc>
        <w:tc>
          <w:tcPr>
            <w:tcW w:type="dxa" w:w="2351"/>
            <w:shd w:val="clear" w:color="auto" w:fill="EEF3F9"/>
          </w:tcPr>
          <w:p>
            <w:r>
              <w:rPr>
                <w:sz w:val="18"/>
              </w:rPr>
              <w:t>No domestic petrochemical feedstock until ~2029–30; premature downstream investment is risky</w:t>
            </w:r>
          </w:p>
        </w:tc>
      </w:tr>
      <w:tr>
        <w:tc>
          <w:tcPr>
            <w:tcW w:type="dxa" w:w="2351"/>
            <w:shd w:val="clear" w:color="auto" w:fill="FFFFFF"/>
          </w:tcPr>
          <w:p>
            <w:r>
              <w:rPr>
                <w:sz w:val="18"/>
              </w:rPr>
              <w:t>4</w:t>
            </w:r>
          </w:p>
        </w:tc>
        <w:tc>
          <w:tcPr>
            <w:tcW w:type="dxa" w:w="2351"/>
            <w:shd w:val="clear" w:color="auto" w:fill="FFFFFF"/>
          </w:tcPr>
          <w:p>
            <w:r>
              <w:rPr>
                <w:b/>
                <w:sz w:val="18"/>
              </w:rPr>
              <w:t>Fertilizer quality &amp; distribution (standards/logistics)</w:t>
            </w:r>
          </w:p>
        </w:tc>
        <w:tc>
          <w:tcPr>
            <w:tcW w:type="dxa" w:w="2351"/>
            <w:shd w:val="clear" w:color="auto" w:fill="FFFFFF"/>
          </w:tcPr>
          <w:p>
            <w:r>
              <w:rPr>
                <w:b/>
                <w:sz w:val="18"/>
              </w:rPr>
              <w:t>4</w:t>
            </w:r>
          </w:p>
        </w:tc>
        <w:tc>
          <w:tcPr>
            <w:tcW w:type="dxa" w:w="2351"/>
            <w:shd w:val="clear" w:color="auto" w:fill="FFFFFF"/>
          </w:tcPr>
          <w:p>
            <w:r>
              <w:rPr>
                <w:sz w:val="18"/>
              </w:rPr>
              <w:t>Adulterated fertilizer a market problem (UNBS); rural distribution to farmers weak</w:t>
            </w:r>
          </w:p>
        </w:tc>
      </w:tr>
      <w:tr>
        <w:tc>
          <w:tcPr>
            <w:tcW w:type="dxa" w:w="2351"/>
            <w:shd w:val="clear" w:color="auto" w:fill="EEF3F9"/>
          </w:tcPr>
          <w:p>
            <w:r>
              <w:rPr>
                <w:sz w:val="18"/>
              </w:rPr>
              <w:t>5</w:t>
            </w:r>
          </w:p>
        </w:tc>
        <w:tc>
          <w:tcPr>
            <w:tcW w:type="dxa" w:w="2351"/>
            <w:shd w:val="clear" w:color="auto" w:fill="EEF3F9"/>
          </w:tcPr>
          <w:p>
            <w:r>
              <w:rPr>
                <w:b/>
                <w:sz w:val="18"/>
              </w:rPr>
              <w:t>Environmental management (waste)</w:t>
            </w:r>
          </w:p>
        </w:tc>
        <w:tc>
          <w:tcPr>
            <w:tcW w:type="dxa" w:w="2351"/>
            <w:shd w:val="clear" w:color="auto" w:fill="EEF3F9"/>
          </w:tcPr>
          <w:p>
            <w:r>
              <w:rPr>
                <w:b/>
                <w:sz w:val="18"/>
              </w:rPr>
              <w:t>3</w:t>
            </w:r>
          </w:p>
        </w:tc>
        <w:tc>
          <w:tcPr>
            <w:tcW w:type="dxa" w:w="2351"/>
            <w:shd w:val="clear" w:color="auto" w:fill="EEF3F9"/>
          </w:tcPr>
          <w:p>
            <w:r>
              <w:rPr>
                <w:sz w:val="18"/>
              </w:rPr>
              <w:t>Refinery emissions; phosphogypsum from phosphate processing; NEMA-regulated</w:t>
            </w:r>
          </w:p>
        </w:tc>
      </w:tr>
      <w:tr>
        <w:tc>
          <w:tcPr>
            <w:tcW w:type="dxa" w:w="2351"/>
            <w:shd w:val="clear" w:color="auto" w:fill="FFFFFF"/>
          </w:tcPr>
          <w:p>
            <w:r>
              <w:rPr>
                <w:sz w:val="18"/>
              </w:rPr>
              <w:t>6</w:t>
            </w:r>
          </w:p>
        </w:tc>
        <w:tc>
          <w:tcPr>
            <w:tcW w:type="dxa" w:w="2351"/>
            <w:shd w:val="clear" w:color="auto" w:fill="FFFFFF"/>
          </w:tcPr>
          <w:p>
            <w:r>
              <w:rPr>
                <w:b/>
                <w:sz w:val="18"/>
              </w:rPr>
              <w:t>Skills (skills)</w:t>
            </w:r>
          </w:p>
        </w:tc>
        <w:tc>
          <w:tcPr>
            <w:tcW w:type="dxa" w:w="2351"/>
            <w:shd w:val="clear" w:color="auto" w:fill="FFFFFF"/>
          </w:tcPr>
          <w:p>
            <w:r>
              <w:rPr>
                <w:b/>
                <w:sz w:val="18"/>
              </w:rPr>
              <w:t>3</w:t>
            </w:r>
          </w:p>
        </w:tc>
        <w:tc>
          <w:tcPr>
            <w:tcW w:type="dxa" w:w="2351"/>
            <w:shd w:val="clear" w:color="auto" w:fill="FFFFFF"/>
          </w:tcPr>
          <w:p>
            <w:r>
              <w:rPr>
                <w:sz w:val="18"/>
              </w:rPr>
              <w:t>Chemical/process-engineering scarce; oil sector building some capacity</w:t>
            </w:r>
          </w:p>
        </w:tc>
      </w:tr>
      <w:tr>
        <w:tc>
          <w:tcPr>
            <w:tcW w:type="dxa" w:w="2351"/>
            <w:shd w:val="clear" w:color="auto" w:fill="EEF3F9"/>
          </w:tcPr>
          <w:p>
            <w:r>
              <w:rPr>
                <w:sz w:val="18"/>
              </w:rPr>
              <w:t>7</w:t>
            </w:r>
          </w:p>
        </w:tc>
        <w:tc>
          <w:tcPr>
            <w:tcW w:type="dxa" w:w="2351"/>
            <w:shd w:val="clear" w:color="auto" w:fill="EEF3F9"/>
          </w:tcPr>
          <w:p>
            <w:r>
              <w:rPr>
                <w:b/>
                <w:sz w:val="18"/>
              </w:rPr>
              <w:t>Energy/process power (energy)</w:t>
            </w:r>
          </w:p>
        </w:tc>
        <w:tc>
          <w:tcPr>
            <w:tcW w:type="dxa" w:w="2351"/>
            <w:shd w:val="clear" w:color="auto" w:fill="EEF3F9"/>
          </w:tcPr>
          <w:p>
            <w:r>
              <w:rPr>
                <w:b/>
                <w:sz w:val="18"/>
              </w:rPr>
              <w:t>2</w:t>
            </w:r>
          </w:p>
        </w:tc>
        <w:tc>
          <w:tcPr>
            <w:tcW w:type="dxa" w:w="2351"/>
            <w:shd w:val="clear" w:color="auto" w:fill="EEF3F9"/>
          </w:tcPr>
          <w:p>
            <w:r>
              <w:rPr>
                <w:sz w:val="18"/>
              </w:rPr>
              <w:t>Refinery self-supplies; fertilizer processing needs reliable power</w:t>
            </w:r>
          </w:p>
        </w:tc>
      </w:tr>
    </w:tbl>
    <w:p/>
    <w:p>
      <w:r>
        <w:t xml:space="preserve">The near-term binding constraint is </w:t>
      </w:r>
      <w:r>
        <w:rPr>
          <w:b/>
        </w:rPr>
        <w:t>fertilizer supply</w:t>
      </w:r>
      <w:r>
        <w:t xml:space="preserve"> (resolve Sukulu or enable alternative blending); the medium-term one is </w:t>
      </w:r>
      <w:r>
        <w:rPr>
          <w:b/>
        </w:rPr>
        <w:t>sequencing petrochemicals to the refinery</w:t>
      </w:r>
      <w:r>
        <w:t xml:space="preserve"> without over-committing capital early.</w:t>
      </w:r>
    </w:p>
    <w:p>
      <w:pPr>
        <w:pStyle w:val="Heading2"/>
      </w:pPr>
      <w:r>
        <w:t>6.E Greening &amp; Sustainability</w:t>
      </w:r>
    </w:p>
    <w:p>
      <w:r>
        <w:t>This is the most carbon-exposed chain in the report — which makes greening both a licence-to-operate and a competitiveness play (CBAM increasingly prices carbon in fertilizer/fuel exports).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Dimension</w:t>
            </w:r>
          </w:p>
        </w:tc>
        <w:tc>
          <w:tcPr>
            <w:tcW w:type="dxa" w:w="4703"/>
            <w:shd w:val="clear" w:color="auto" w:fill="002B5B"/>
          </w:tcPr>
          <w:p>
            <w:r>
              <w:rPr>
                <w:b/>
                <w:color w:val="FFFFFF"/>
                <w:sz w:val="18"/>
              </w:rPr>
              <w:t>Status / opportunity</w:t>
            </w:r>
          </w:p>
        </w:tc>
      </w:tr>
      <w:tr>
        <w:tc>
          <w:tcPr>
            <w:tcW w:type="dxa" w:w="4703"/>
            <w:shd w:val="clear" w:color="auto" w:fill="EEF3F9"/>
          </w:tcPr>
          <w:p>
            <w:r>
              <w:rPr>
                <w:b/>
                <w:sz w:val="18"/>
              </w:rPr>
              <w:t>Current status</w:t>
            </w:r>
          </w:p>
        </w:tc>
        <w:tc>
          <w:tcPr>
            <w:tcW w:type="dxa" w:w="4703"/>
            <w:shd w:val="clear" w:color="auto" w:fill="EEF3F9"/>
          </w:tcPr>
          <w:p>
            <w:r>
              <w:rPr>
                <w:sz w:val="18"/>
              </w:rPr>
              <w:t>Pre-production refinery; stalled phosphate plant; high-emission processes by nature</w:t>
            </w:r>
          </w:p>
        </w:tc>
      </w:tr>
      <w:tr>
        <w:tc>
          <w:tcPr>
            <w:tcW w:type="dxa" w:w="4703"/>
            <w:shd w:val="clear" w:color="auto" w:fill="FFFFFF"/>
          </w:tcPr>
          <w:p>
            <w:r>
              <w:rPr>
                <w:b/>
                <w:sz w:val="18"/>
              </w:rPr>
              <w:t>Current solutions</w:t>
            </w:r>
          </w:p>
        </w:tc>
        <w:tc>
          <w:tcPr>
            <w:tcW w:type="dxa" w:w="4703"/>
            <w:shd w:val="clear" w:color="auto" w:fill="FFFFFF"/>
          </w:tcPr>
          <w:p>
            <w:r>
              <w:rPr>
                <w:sz w:val="18"/>
              </w:rPr>
              <w:t>NEMA environmental governance; gas-capture design intent at the refinery</w:t>
            </w:r>
          </w:p>
        </w:tc>
      </w:tr>
      <w:tr>
        <w:tc>
          <w:tcPr>
            <w:tcW w:type="dxa" w:w="4703"/>
            <w:shd w:val="clear" w:color="auto" w:fill="EEF3F9"/>
          </w:tcPr>
          <w:p>
            <w:r>
              <w:rPr>
                <w:b/>
                <w:sz w:val="18"/>
              </w:rPr>
              <w:t>Emerging solutions (competitiveness enablers)</w:t>
            </w:r>
          </w:p>
        </w:tc>
        <w:tc>
          <w:tcPr>
            <w:tcW w:type="dxa" w:w="4703"/>
            <w:shd w:val="clear" w:color="auto" w:fill="EEF3F9"/>
          </w:tcPr>
          <w:p>
            <w:r>
              <w:rPr>
                <w:sz w:val="18"/>
              </w:rPr>
              <w:t xml:space="preserve">(1) </w:t>
            </w:r>
            <w:r>
              <w:rPr>
                <w:b/>
                <w:sz w:val="18"/>
              </w:rPr>
              <w:t>Green ammonia/nitrogen fertilizer</w:t>
            </w:r>
            <w:r>
              <w:rPr>
                <w:sz w:val="18"/>
              </w:rPr>
              <w:t xml:space="preserve"> via hydro-powered electrolysis — a genuine low-carbon fertilizer route for Uganda's grid; (2) </w:t>
            </w:r>
            <w:r>
              <w:rPr>
                <w:b/>
                <w:sz w:val="18"/>
              </w:rPr>
              <w:t>gas capture (not flaring)</w:t>
            </w:r>
            <w:r>
              <w:rPr>
                <w:sz w:val="18"/>
              </w:rPr>
              <w:t xml:space="preserve"> for LPG and fertilizer feedstock; (3) </w:t>
            </w:r>
            <w:r>
              <w:rPr>
                <w:b/>
                <w:sz w:val="18"/>
              </w:rPr>
              <w:t>phosphogypsum reuse</w:t>
            </w:r>
            <w:r>
              <w:rPr>
                <w:sz w:val="18"/>
              </w:rPr>
              <w:t xml:space="preserve"> into gypsum board/cement (links to Cement, Chapter 9); (4) </w:t>
            </w:r>
            <w:r>
              <w:rPr>
                <w:b/>
                <w:sz w:val="18"/>
              </w:rPr>
              <w:t>refinery emissions control and water reuse</w:t>
            </w:r>
          </w:p>
        </w:tc>
      </w:tr>
    </w:tbl>
    <w:p/>
    <w:p>
      <w:r>
        <w:rPr>
          <w:b/>
        </w:rPr>
        <w:t>Why it pays:</w:t>
      </w:r>
      <w:r>
        <w:t xml:space="preserve"> green ammonia turns Uganda's clean hydro power into low-carbon fertilizer (import-substitution </w:t>
      </w:r>
      <w:r>
        <w:rPr>
          <w:i/>
        </w:rPr>
        <w:t>and</w:t>
      </w:r>
      <w:r>
        <w:t xml:space="preserve"> an exportable green product), and phosphogypsum reuse converts a hazardous by-product into building-materials feedstock.</w:t>
      </w:r>
    </w:p>
    <w:p>
      <w:pPr>
        <w:pStyle w:val="Heading2"/>
      </w:pPr>
      <w:r>
        <w:t>6.F Prioritized Products — through the Tenfold Lens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02B5B"/>
          </w:tcPr>
          <w:p>
            <w:r>
              <w:rPr>
                <w:b/>
                <w:color w:val="FFFFFF"/>
                <w:sz w:val="18"/>
              </w:rPr>
              <w:t>Product / sub-sector</w:t>
            </w:r>
          </w:p>
        </w:tc>
        <w:tc>
          <w:tcPr>
            <w:tcW w:type="dxa" w:w="1176"/>
            <w:shd w:val="clear" w:color="auto" w:fill="002B5B"/>
          </w:tcPr>
          <w:p>
            <w:r>
              <w:rPr>
                <w:b/>
                <w:color w:val="FFFFFF"/>
                <w:sz w:val="18"/>
              </w:rPr>
              <w:t>Market</w:t>
            </w:r>
          </w:p>
        </w:tc>
        <w:tc>
          <w:tcPr>
            <w:tcW w:type="dxa" w:w="1176"/>
            <w:shd w:val="clear" w:color="auto" w:fill="002B5B"/>
          </w:tcPr>
          <w:p>
            <w:r>
              <w:rPr>
                <w:b/>
                <w:color w:val="FFFFFF"/>
                <w:sz w:val="18"/>
              </w:rPr>
              <w:t>Comp. adv.</w:t>
            </w:r>
          </w:p>
        </w:tc>
        <w:tc>
          <w:tcPr>
            <w:tcW w:type="dxa" w:w="1176"/>
            <w:shd w:val="clear" w:color="auto" w:fill="002B5B"/>
          </w:tcPr>
          <w:p>
            <w:r>
              <w:rPr>
                <w:b/>
                <w:color w:val="FFFFFF"/>
                <w:sz w:val="18"/>
              </w:rPr>
              <w:t>Feasibility</w:t>
            </w:r>
          </w:p>
        </w:tc>
        <w:tc>
          <w:tcPr>
            <w:tcW w:type="dxa" w:w="1176"/>
            <w:shd w:val="clear" w:color="auto" w:fill="002B5B"/>
          </w:tcPr>
          <w:p>
            <w:r>
              <w:rPr>
                <w:b/>
                <w:color w:val="FFFFFF"/>
                <w:sz w:val="18"/>
              </w:rPr>
              <w:t>Jobs</w:t>
            </w:r>
          </w:p>
        </w:tc>
        <w:tc>
          <w:tcPr>
            <w:tcW w:type="dxa" w:w="1176"/>
            <w:shd w:val="clear" w:color="auto" w:fill="002B5B"/>
          </w:tcPr>
          <w:p>
            <w:r>
              <w:rPr>
                <w:b/>
                <w:color w:val="FFFFFF"/>
                <w:sz w:val="18"/>
              </w:rPr>
              <w:t>Import subst.</w:t>
            </w:r>
          </w:p>
        </w:tc>
        <w:tc>
          <w:tcPr>
            <w:tcW w:type="dxa" w:w="1176"/>
            <w:shd w:val="clear" w:color="auto" w:fill="002B5B"/>
          </w:tcPr>
          <w:p>
            <w:r>
              <w:rPr>
                <w:b/>
                <w:color w:val="FFFFFF"/>
                <w:sz w:val="18"/>
              </w:rPr>
              <w:t>Green fit</w:t>
            </w:r>
          </w:p>
        </w:tc>
        <w:tc>
          <w:tcPr>
            <w:tcW w:type="dxa" w:w="1176"/>
            <w:shd w:val="clear" w:color="auto" w:fill="002B5B"/>
          </w:tcPr>
          <w:p>
            <w:r>
              <w:rPr>
                <w:b/>
                <w:color w:val="FFFFFF"/>
                <w:sz w:val="18"/>
              </w:rPr>
              <w:t>Priority</w:t>
            </w:r>
          </w:p>
        </w:tc>
      </w:tr>
      <w:tr>
        <w:tc>
          <w:tcPr>
            <w:tcW w:type="dxa" w:w="1176"/>
            <w:shd w:val="clear" w:color="auto" w:fill="EEF3F9"/>
          </w:tcPr>
          <w:p>
            <w:r>
              <w:rPr>
                <w:b/>
                <w:sz w:val="18"/>
              </w:rPr>
              <w:t>Fertilizer (blending + phosphate revival)</w:t>
            </w:r>
          </w:p>
        </w:tc>
        <w:tc>
          <w:tcPr>
            <w:tcW w:type="dxa" w:w="1176"/>
            <w:shd w:val="clear" w:color="auto" w:fill="EEF3F9"/>
          </w:tcPr>
          <w:p>
            <w:r>
              <w:rPr>
                <w:sz w:val="18"/>
              </w:rPr>
              <w:t>Very high (unmet)</w:t>
            </w:r>
          </w:p>
        </w:tc>
        <w:tc>
          <w:tcPr>
            <w:tcW w:type="dxa" w:w="1176"/>
            <w:shd w:val="clear" w:color="auto" w:fill="EEF3F9"/>
          </w:tcPr>
          <w:p>
            <w:r>
              <w:rPr>
                <w:sz w:val="18"/>
              </w:rPr>
              <w:t>Medium (phosphate rock)</w:t>
            </w:r>
          </w:p>
        </w:tc>
        <w:tc>
          <w:tcPr>
            <w:tcW w:type="dxa" w:w="1176"/>
            <w:shd w:val="clear" w:color="auto" w:fill="EEF3F9"/>
          </w:tcPr>
          <w:p>
            <w:r>
              <w:rPr>
                <w:sz w:val="18"/>
              </w:rPr>
              <w:t>Medium</w:t>
            </w:r>
          </w:p>
        </w:tc>
        <w:tc>
          <w:tcPr>
            <w:tcW w:type="dxa" w:w="1176"/>
            <w:shd w:val="clear" w:color="auto" w:fill="EEF3F9"/>
          </w:tcPr>
          <w:p>
            <w:r>
              <w:rPr>
                <w:sz w:val="18"/>
              </w:rPr>
              <w:t>Medium</w:t>
            </w:r>
          </w:p>
        </w:tc>
        <w:tc>
          <w:tcPr>
            <w:tcW w:type="dxa" w:w="1176"/>
            <w:shd w:val="clear" w:color="auto" w:fill="EEF3F9"/>
          </w:tcPr>
          <w:p>
            <w:r>
              <w:rPr>
                <w:sz w:val="18"/>
              </w:rPr>
              <w:t>High</w:t>
            </w:r>
          </w:p>
        </w:tc>
        <w:tc>
          <w:tcPr>
            <w:tcW w:type="dxa" w:w="1176"/>
            <w:shd w:val="clear" w:color="auto" w:fill="EEF3F9"/>
          </w:tcPr>
          <w:p>
            <w:r>
              <w:rPr>
                <w:sz w:val="18"/>
              </w:rPr>
              <w:t>Medium–High (green ammonia)</w:t>
            </w:r>
          </w:p>
        </w:tc>
        <w:tc>
          <w:tcPr>
            <w:tcW w:type="dxa" w:w="1176"/>
            <w:shd w:val="clear" w:color="auto" w:fill="EEF3F9"/>
          </w:tcPr>
          <w:p>
            <w:r>
              <w:rPr>
                <w:b/>
                <w:sz w:val="18"/>
              </w:rPr>
              <w:t>Priority</w:t>
            </w:r>
          </w:p>
        </w:tc>
      </w:tr>
      <w:tr>
        <w:tc>
          <w:tcPr>
            <w:tcW w:type="dxa" w:w="1176"/>
            <w:shd w:val="clear" w:color="auto" w:fill="FFFFFF"/>
          </w:tcPr>
          <w:p>
            <w:r>
              <w:rPr>
                <w:b/>
                <w:sz w:val="18"/>
              </w:rPr>
              <w:t>Sulphuric acid &amp; industrial chemicals</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sz w:val="18"/>
              </w:rPr>
              <w:t>Low</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b/>
                <w:sz w:val="18"/>
              </w:rPr>
              <w:t>Priority (paired w/ fertilizer)</w:t>
            </w:r>
          </w:p>
        </w:tc>
      </w:tr>
      <w:tr>
        <w:tc>
          <w:tcPr>
            <w:tcW w:type="dxa" w:w="1176"/>
            <w:shd w:val="clear" w:color="auto" w:fill="EEF3F9"/>
          </w:tcPr>
          <w:p>
            <w:r>
              <w:rPr>
                <w:b/>
                <w:sz w:val="18"/>
              </w:rPr>
              <w:t>Petrochemicals / polymers (Kabalega park)</w:t>
            </w:r>
          </w:p>
        </w:tc>
        <w:tc>
          <w:tcPr>
            <w:tcW w:type="dxa" w:w="1176"/>
            <w:shd w:val="clear" w:color="auto" w:fill="EEF3F9"/>
          </w:tcPr>
          <w:p>
            <w:r>
              <w:rPr>
                <w:sz w:val="18"/>
              </w:rPr>
              <w:t>High (post-2029)</w:t>
            </w:r>
          </w:p>
        </w:tc>
        <w:tc>
          <w:tcPr>
            <w:tcW w:type="dxa" w:w="1176"/>
            <w:shd w:val="clear" w:color="auto" w:fill="EEF3F9"/>
          </w:tcPr>
          <w:p>
            <w:r>
              <w:rPr>
                <w:sz w:val="18"/>
              </w:rPr>
              <w:t>High (future feedstock)</w:t>
            </w:r>
          </w:p>
        </w:tc>
        <w:tc>
          <w:tcPr>
            <w:tcW w:type="dxa" w:w="1176"/>
            <w:shd w:val="clear" w:color="auto" w:fill="EEF3F9"/>
          </w:tcPr>
          <w:p>
            <w:r>
              <w:rPr>
                <w:sz w:val="18"/>
              </w:rPr>
              <w:t>Low now</w:t>
            </w:r>
          </w:p>
        </w:tc>
        <w:tc>
          <w:tcPr>
            <w:tcW w:type="dxa" w:w="1176"/>
            <w:shd w:val="clear" w:color="auto" w:fill="EEF3F9"/>
          </w:tcPr>
          <w:p>
            <w:r>
              <w:rPr>
                <w:sz w:val="18"/>
              </w:rPr>
              <w:t>High</w:t>
            </w:r>
          </w:p>
        </w:tc>
        <w:tc>
          <w:tcPr>
            <w:tcW w:type="dxa" w:w="1176"/>
            <w:shd w:val="clear" w:color="auto" w:fill="EEF3F9"/>
          </w:tcPr>
          <w:p>
            <w:r>
              <w:rPr>
                <w:sz w:val="18"/>
              </w:rPr>
              <w:t>Very high</w:t>
            </w:r>
          </w:p>
        </w:tc>
        <w:tc>
          <w:tcPr>
            <w:tcW w:type="dxa" w:w="1176"/>
            <w:shd w:val="clear" w:color="auto" w:fill="EEF3F9"/>
          </w:tcPr>
          <w:p>
            <w:r>
              <w:rPr>
                <w:sz w:val="18"/>
              </w:rPr>
              <w:t>Medium</w:t>
            </w:r>
          </w:p>
        </w:tc>
        <w:tc>
          <w:tcPr>
            <w:tcW w:type="dxa" w:w="1176"/>
            <w:shd w:val="clear" w:color="auto" w:fill="EEF3F9"/>
          </w:tcPr>
          <w:p>
            <w:r>
              <w:rPr>
                <w:b/>
                <w:sz w:val="18"/>
              </w:rPr>
              <w:t>Priority (medium-term, sequenced)</w:t>
            </w:r>
          </w:p>
        </w:tc>
      </w:tr>
      <w:tr>
        <w:tc>
          <w:tcPr>
            <w:tcW w:type="dxa" w:w="1176"/>
            <w:shd w:val="clear" w:color="auto" w:fill="FFFFFF"/>
          </w:tcPr>
          <w:p>
            <w:r>
              <w:rPr>
                <w:sz w:val="18"/>
              </w:rPr>
              <w:t>Large-scale refined-product export</w:t>
            </w:r>
          </w:p>
        </w:tc>
        <w:tc>
          <w:tcPr>
            <w:tcW w:type="dxa" w:w="1176"/>
            <w:shd w:val="clear" w:color="auto" w:fill="FFFFFF"/>
          </w:tcPr>
          <w:p>
            <w:r>
              <w:rPr>
                <w:sz w:val="18"/>
              </w:rPr>
              <w:t>Medium</w:t>
            </w:r>
          </w:p>
        </w:tc>
        <w:tc>
          <w:tcPr>
            <w:tcW w:type="dxa" w:w="1176"/>
            <w:shd w:val="clear" w:color="auto" w:fill="FFFFFF"/>
          </w:tcPr>
          <w:p>
            <w:r>
              <w:rPr>
                <w:sz w:val="18"/>
              </w:rPr>
              <w:t>Low now</w:t>
            </w:r>
          </w:p>
        </w:tc>
        <w:tc>
          <w:tcPr>
            <w:tcW w:type="dxa" w:w="1176"/>
            <w:shd w:val="clear" w:color="auto" w:fill="FFFFFF"/>
          </w:tcPr>
          <w:p>
            <w:r>
              <w:rPr>
                <w:sz w:val="18"/>
              </w:rPr>
              <w:t>Low</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sz w:val="18"/>
              </w:rPr>
              <w:t>Low</w:t>
            </w:r>
          </w:p>
        </w:tc>
        <w:tc>
          <w:tcPr>
            <w:tcW w:type="dxa" w:w="1176"/>
            <w:shd w:val="clear" w:color="auto" w:fill="FFFFFF"/>
          </w:tcPr>
          <w:p>
            <w:r>
              <w:rPr>
                <w:sz w:val="18"/>
              </w:rPr>
              <w:t>Conditional (post-refinery)</w:t>
            </w:r>
          </w:p>
        </w:tc>
      </w:tr>
      <w:tr>
        <w:tc>
          <w:tcPr>
            <w:tcW w:type="dxa" w:w="1176"/>
            <w:shd w:val="clear" w:color="auto" w:fill="EEF3F9"/>
          </w:tcPr>
          <w:p>
            <w:r>
              <w:rPr>
                <w:sz w:val="18"/>
              </w:rPr>
              <w:t>Greenfield specialty chemicals</w:t>
            </w:r>
          </w:p>
        </w:tc>
        <w:tc>
          <w:tcPr>
            <w:tcW w:type="dxa" w:w="1176"/>
            <w:shd w:val="clear" w:color="auto" w:fill="EEF3F9"/>
          </w:tcPr>
          <w:p>
            <w:r>
              <w:rPr>
                <w:sz w:val="18"/>
              </w:rPr>
              <w:t>Low</w:t>
            </w:r>
          </w:p>
        </w:tc>
        <w:tc>
          <w:tcPr>
            <w:tcW w:type="dxa" w:w="1176"/>
            <w:shd w:val="clear" w:color="auto" w:fill="EEF3F9"/>
          </w:tcPr>
          <w:p>
            <w:r>
              <w:rPr>
                <w:sz w:val="18"/>
              </w:rPr>
              <w:t>Low</w:t>
            </w:r>
          </w:p>
        </w:tc>
        <w:tc>
          <w:tcPr>
            <w:tcW w:type="dxa" w:w="1176"/>
            <w:shd w:val="clear" w:color="auto" w:fill="EEF3F9"/>
          </w:tcPr>
          <w:p>
            <w:r>
              <w:rPr>
                <w:sz w:val="18"/>
              </w:rPr>
              <w:t>Low</w:t>
            </w:r>
          </w:p>
        </w:tc>
        <w:tc>
          <w:tcPr>
            <w:tcW w:type="dxa" w:w="1176"/>
            <w:shd w:val="clear" w:color="auto" w:fill="EEF3F9"/>
          </w:tcPr>
          <w:p>
            <w:r>
              <w:rPr>
                <w:sz w:val="18"/>
              </w:rPr>
              <w:t>Low</w:t>
            </w:r>
          </w:p>
        </w:tc>
        <w:tc>
          <w:tcPr>
            <w:tcW w:type="dxa" w:w="1176"/>
            <w:shd w:val="clear" w:color="auto" w:fill="EEF3F9"/>
          </w:tcPr>
          <w:p>
            <w:r>
              <w:rPr>
                <w:sz w:val="18"/>
              </w:rPr>
              <w:t>Low</w:t>
            </w:r>
          </w:p>
        </w:tc>
        <w:tc>
          <w:tcPr>
            <w:tcW w:type="dxa" w:w="1176"/>
            <w:shd w:val="clear" w:color="auto" w:fill="EEF3F9"/>
          </w:tcPr>
          <w:p>
            <w:r>
              <w:rPr>
                <w:sz w:val="18"/>
              </w:rPr>
              <w:t>—</w:t>
            </w:r>
          </w:p>
        </w:tc>
        <w:tc>
          <w:tcPr>
            <w:tcW w:type="dxa" w:w="1176"/>
            <w:shd w:val="clear" w:color="auto" w:fill="EEF3F9"/>
          </w:tcPr>
          <w:p>
            <w:r>
              <w:rPr>
                <w:sz w:val="18"/>
              </w:rPr>
              <w:t>Deprioritize</w:t>
            </w:r>
          </w:p>
        </w:tc>
      </w:tr>
    </w:tbl>
    <w:p/>
    <w:p>
      <w:r>
        <w:rPr>
          <w:b/>
        </w:rPr>
        <w:t>The three priorities for Petrochemicals &amp; Fertilizers:</w:t>
      </w:r>
    </w:p>
    <w:p>
      <w:pPr>
        <w:pStyle w:val="ListNumber"/>
      </w:pPr>
      <w:r>
        <w:rPr>
          <w:b/>
        </w:rPr>
        <w:t>Fertilizer — blending plus revival/replacement of phosphate processing</w:t>
      </w:r>
      <w:r>
        <w:t xml:space="preserve"> — highest-urgency, highest-impact near-term opportunity, tied to agricultural productivity; resolve the Sukulu stall or enable alternative blending (including a green-ammonia route).</w:t>
      </w:r>
    </w:p>
    <w:p>
      <w:pPr>
        <w:pStyle w:val="ListNumber"/>
      </w:pPr>
      <w:r>
        <w:rPr>
          <w:b/>
        </w:rPr>
        <w:t>Sulphuric acid and basic industrial chemicals</w:t>
      </w:r>
      <w:r>
        <w:t xml:space="preserve"> — paired with phosphate processing; useful across industry.</w:t>
      </w:r>
    </w:p>
    <w:p>
      <w:pPr>
        <w:pStyle w:val="ListNumber"/>
      </w:pPr>
      <w:r>
        <w:rPr>
          <w:b/>
        </w:rPr>
        <w:t>Petrochemicals/polymers at Kabalega</w:t>
      </w:r>
      <w:r>
        <w:t xml:space="preserve"> — the transformational medium-term prize, sequenced to the refinery (~2029–30); prepare the park, skills and downstream plastics linkage now (Chapter 8).</w:t>
      </w:r>
    </w:p>
    <w:p>
      <w:r>
        <w:rPr>
          <w:b/>
        </w:rPr>
        <w:t>Explicit deprioritization.</w:t>
      </w:r>
      <w:r>
        <w:t xml:space="preserve"> Uganda should </w:t>
      </w:r>
      <w:r>
        <w:rPr>
          <w:b/>
        </w:rPr>
        <w:t>not</w:t>
      </w:r>
      <w:r>
        <w:t xml:space="preserve"> pursue greenfield specialty chemicals or large-scale refined-product export ahead of the refinery. Near-term focus is </w:t>
      </w:r>
      <w:r>
        <w:rPr>
          <w:b/>
        </w:rPr>
        <w:t>fertilizer for domestic agriculture</w:t>
      </w:r>
      <w:r>
        <w:t xml:space="preserve">; petrochemicals must be </w:t>
      </w:r>
      <w:r>
        <w:rPr>
          <w:b/>
        </w:rPr>
        <w:t>sequenced</w:t>
      </w:r>
      <w:r>
        <w:t>, not rushed.</w:t>
      </w:r>
    </w:p>
    <w:p>
      <w:pPr>
        <w:pStyle w:val="Heading2"/>
      </w:pPr>
      <w:r>
        <w:t>6.G Project Profiles</w:t>
      </w:r>
    </w:p>
    <w:p>
      <w:r>
        <w:rPr>
          <w:b/>
        </w:rPr>
        <w:t>P1 — Fertilizer supply: phosphate revival + blending (strategic anchor + green).</w:t>
      </w:r>
    </w:p>
    <w:p>
      <w:pPr>
        <w:pStyle w:val="ListBullet"/>
      </w:pPr>
      <w:r>
        <w:rPr>
          <w:i/>
        </w:rPr>
        <w:t>Strategic:</w:t>
      </w:r>
      <w:r>
        <w:t xml:space="preserve"> attacks the ~50,000 t vs ~1m t gap; directly raises farm productivity (agro-industrialisation).</w:t>
      </w:r>
    </w:p>
    <w:p>
      <w:pPr>
        <w:pStyle w:val="ListBullet"/>
      </w:pPr>
      <w:r>
        <w:rPr>
          <w:i/>
        </w:rPr>
        <w:t>Quick-win element:</w:t>
      </w:r>
      <w:r>
        <w:t xml:space="preserve"> expand blending and quality enforcement now; restructure/re-tender Sukulu.</w:t>
      </w:r>
    </w:p>
    <w:p>
      <w:pPr>
        <w:pStyle w:val="ListBullet"/>
      </w:pPr>
      <w:r>
        <w:rPr>
          <w:i/>
        </w:rPr>
        <w:t>Green:</w:t>
      </w:r>
      <w:r>
        <w:t xml:space="preserve"> green-ammonia (hydro electrolysis) nitrogen route; phosphogypsum reuse.</w:t>
      </w:r>
    </w:p>
    <w:p>
      <w:r>
        <w:rPr>
          <w:b/>
        </w:rPr>
        <w:t>P2 — Kabalega petrochemical park readiness (strategic, sequenced).</w:t>
      </w:r>
    </w:p>
    <w:p>
      <w:pPr>
        <w:pStyle w:val="ListBullet"/>
      </w:pPr>
      <w:r>
        <w:rPr>
          <w:i/>
        </w:rPr>
        <w:t>Strategic:</w:t>
      </w:r>
      <w:r>
        <w:t xml:space="preserve"> localises fuels and plastics feedstock once the refinery runs; anchors the Plastics chain.</w:t>
      </w:r>
    </w:p>
    <w:p>
      <w:pPr>
        <w:pStyle w:val="ListBullet"/>
      </w:pPr>
      <w:r>
        <w:rPr>
          <w:i/>
        </w:rPr>
        <w:t>Quick-win element:</w:t>
      </w:r>
      <w:r>
        <w:t xml:space="preserve"> park infrastructure, skills and downstream linkages prepared pre-2029.</w:t>
      </w:r>
    </w:p>
    <w:p>
      <w:pPr>
        <w:pStyle w:val="ListBullet"/>
      </w:pPr>
      <w:r>
        <w:rPr>
          <w:i/>
        </w:rPr>
        <w:t>Green:</w:t>
      </w:r>
      <w:r>
        <w:t xml:space="preserve"> gas capture; emissions control designed in.</w:t>
      </w:r>
    </w:p>
    <w:p>
      <w:r>
        <w:rPr>
          <w:b/>
        </w:rPr>
        <w:t>P3 — Green-ammonia pilot (green + strategic).</w:t>
      </w:r>
    </w:p>
    <w:p>
      <w:pPr>
        <w:pStyle w:val="ListBullet"/>
      </w:pPr>
      <w:r>
        <w:rPr>
          <w:i/>
        </w:rPr>
        <w:t>Strategic:</w:t>
      </w:r>
      <w:r>
        <w:t xml:space="preserve"> low-carbon nitrogen fertilizer from hydro power; import substitution + export potential.</w:t>
      </w:r>
    </w:p>
    <w:p>
      <w:pPr>
        <w:pStyle w:val="ListBullet"/>
      </w:pPr>
      <w:r>
        <w:rPr>
          <w:i/>
        </w:rPr>
        <w:t>Quick-win element:</w:t>
      </w:r>
      <w:r>
        <w:t xml:space="preserve"> modular electrolysis pilot.</w:t>
      </w:r>
    </w:p>
    <w:p>
      <w:pPr>
        <w:pStyle w:val="ListBullet"/>
      </w:pPr>
      <w:r>
        <w:rPr>
          <w:i/>
        </w:rPr>
        <w:t>Green:</w:t>
      </w:r>
      <w:r>
        <w:t xml:space="preserve"> near-zero-carbon fertilizer.</w:t>
      </w:r>
    </w:p>
    <w:p>
      <w:pPr>
        <w:pStyle w:val="Heading2"/>
      </w:pPr>
      <w:r>
        <w:t>6.H Priority Action Matrix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Timeframe</w:t>
            </w:r>
          </w:p>
        </w:tc>
        <w:tc>
          <w:tcPr>
            <w:tcW w:type="dxa" w:w="2351"/>
            <w:shd w:val="clear" w:color="auto" w:fill="002B5B"/>
          </w:tcPr>
          <w:p>
            <w:r>
              <w:rPr>
                <w:b/>
                <w:color w:val="FFFFFF"/>
                <w:sz w:val="18"/>
              </w:rPr>
              <w:t>Action</w:t>
            </w:r>
          </w:p>
        </w:tc>
        <w:tc>
          <w:tcPr>
            <w:tcW w:type="dxa" w:w="2351"/>
            <w:shd w:val="clear" w:color="auto" w:fill="002B5B"/>
          </w:tcPr>
          <w:p>
            <w:r>
              <w:rPr>
                <w:b/>
                <w:color w:val="FFFFFF"/>
                <w:sz w:val="18"/>
              </w:rPr>
              <w:t>Lead</w:t>
            </w:r>
          </w:p>
        </w:tc>
        <w:tc>
          <w:tcPr>
            <w:tcW w:type="dxa" w:w="2351"/>
            <w:shd w:val="clear" w:color="auto" w:fill="002B5B"/>
          </w:tcPr>
          <w:p>
            <w:r>
              <w:rPr>
                <w:b/>
                <w:color w:val="FFFFFF"/>
                <w:sz w:val="18"/>
              </w:rPr>
              <w:t>Indicative cost</w:t>
            </w:r>
          </w:p>
        </w:tc>
      </w:tr>
      <w:tr>
        <w:tc>
          <w:tcPr>
            <w:tcW w:type="dxa" w:w="2351"/>
            <w:shd w:val="clear" w:color="auto" w:fill="EEF3F9"/>
          </w:tcPr>
          <w:p>
            <w:r>
              <w:rPr>
                <w:b/>
                <w:sz w:val="18"/>
              </w:rPr>
              <w:t>Quick win (0–12m)</w:t>
            </w:r>
          </w:p>
        </w:tc>
        <w:tc>
          <w:tcPr>
            <w:tcW w:type="dxa" w:w="2351"/>
            <w:shd w:val="clear" w:color="auto" w:fill="EEF3F9"/>
          </w:tcPr>
          <w:p>
            <w:r>
              <w:rPr>
                <w:sz w:val="18"/>
              </w:rPr>
              <w:t>Resolve Sukulu status (restructure/re-finance/re-tender); expand fertilizer blending</w:t>
            </w:r>
          </w:p>
        </w:tc>
        <w:tc>
          <w:tcPr>
            <w:tcW w:type="dxa" w:w="2351"/>
            <w:shd w:val="clear" w:color="auto" w:fill="EEF3F9"/>
          </w:tcPr>
          <w:p>
            <w:r>
              <w:rPr>
                <w:sz w:val="18"/>
              </w:rPr>
              <w:t>MTIC, MEMD, MAAIF, UNBS</w:t>
            </w:r>
          </w:p>
        </w:tc>
        <w:tc>
          <w:tcPr>
            <w:tcW w:type="dxa" w:w="2351"/>
            <w:shd w:val="clear" w:color="auto" w:fill="EEF3F9"/>
          </w:tcPr>
          <w:p>
            <w:r>
              <w:rPr>
                <w:sz w:val="18"/>
              </w:rPr>
              <w:t>Low–Medium</w:t>
            </w:r>
          </w:p>
        </w:tc>
      </w:tr>
      <w:tr>
        <w:tc>
          <w:tcPr>
            <w:tcW w:type="dxa" w:w="2351"/>
            <w:shd w:val="clear" w:color="auto" w:fill="FFFFFF"/>
          </w:tcPr>
          <w:p>
            <w:r>
              <w:rPr>
                <w:sz w:val="18"/>
              </w:rPr>
              <w:t>Quick win (0–12m)</w:t>
            </w:r>
          </w:p>
        </w:tc>
        <w:tc>
          <w:tcPr>
            <w:tcW w:type="dxa" w:w="2351"/>
            <w:shd w:val="clear" w:color="auto" w:fill="FFFFFF"/>
          </w:tcPr>
          <w:p>
            <w:r>
              <w:rPr>
                <w:sz w:val="18"/>
              </w:rPr>
              <w:t>Fertilizer quality enforcement against adulteration</w:t>
            </w:r>
          </w:p>
        </w:tc>
        <w:tc>
          <w:tcPr>
            <w:tcW w:type="dxa" w:w="2351"/>
            <w:shd w:val="clear" w:color="auto" w:fill="FFFFFF"/>
          </w:tcPr>
          <w:p>
            <w:r>
              <w:rPr>
                <w:sz w:val="18"/>
              </w:rPr>
              <w:t>UNBS, MAAIF</w:t>
            </w:r>
          </w:p>
        </w:tc>
        <w:tc>
          <w:tcPr>
            <w:tcW w:type="dxa" w:w="2351"/>
            <w:shd w:val="clear" w:color="auto" w:fill="FFFFFF"/>
          </w:tcPr>
          <w:p>
            <w:r>
              <w:rPr>
                <w:sz w:val="18"/>
              </w:rPr>
              <w:t>Low</w:t>
            </w:r>
          </w:p>
        </w:tc>
      </w:tr>
      <w:tr>
        <w:tc>
          <w:tcPr>
            <w:tcW w:type="dxa" w:w="2351"/>
            <w:shd w:val="clear" w:color="auto" w:fill="EEF3F9"/>
          </w:tcPr>
          <w:p>
            <w:r>
              <w:rPr>
                <w:b/>
                <w:sz w:val="18"/>
              </w:rPr>
              <w:t>Reform (1–3y)</w:t>
            </w:r>
          </w:p>
        </w:tc>
        <w:tc>
          <w:tcPr>
            <w:tcW w:type="dxa" w:w="2351"/>
            <w:shd w:val="clear" w:color="auto" w:fill="EEF3F9"/>
          </w:tcPr>
          <w:p>
            <w:r>
              <w:rPr>
                <w:sz w:val="18"/>
              </w:rPr>
              <w:t>Fertilizer strategy + targeted agro-input programme to lift application rates</w:t>
            </w:r>
          </w:p>
        </w:tc>
        <w:tc>
          <w:tcPr>
            <w:tcW w:type="dxa" w:w="2351"/>
            <w:shd w:val="clear" w:color="auto" w:fill="EEF3F9"/>
          </w:tcPr>
          <w:p>
            <w:r>
              <w:rPr>
                <w:sz w:val="18"/>
              </w:rPr>
              <w:t>MAAIF, MoFPED</w:t>
            </w:r>
          </w:p>
        </w:tc>
        <w:tc>
          <w:tcPr>
            <w:tcW w:type="dxa" w:w="2351"/>
            <w:shd w:val="clear" w:color="auto" w:fill="EEF3F9"/>
          </w:tcPr>
          <w:p>
            <w:r>
              <w:rPr>
                <w:sz w:val="18"/>
              </w:rPr>
              <w:t>Medium</w:t>
            </w:r>
          </w:p>
        </w:tc>
      </w:tr>
      <w:tr>
        <w:tc>
          <w:tcPr>
            <w:tcW w:type="dxa" w:w="2351"/>
            <w:shd w:val="clear" w:color="auto" w:fill="FFFFFF"/>
          </w:tcPr>
          <w:p>
            <w:r>
              <w:rPr>
                <w:sz w:val="18"/>
              </w:rPr>
              <w:t>Reform (1–3y)</w:t>
            </w:r>
          </w:p>
        </w:tc>
        <w:tc>
          <w:tcPr>
            <w:tcW w:type="dxa" w:w="2351"/>
            <w:shd w:val="clear" w:color="auto" w:fill="FFFFFF"/>
          </w:tcPr>
          <w:p>
            <w:r>
              <w:rPr>
                <w:sz w:val="18"/>
              </w:rPr>
              <w:t>Kabalega Petrochemical Park readiness (infrastructure, plastics linkage, skills); green-ammonia feasibility</w:t>
            </w:r>
          </w:p>
        </w:tc>
        <w:tc>
          <w:tcPr>
            <w:tcW w:type="dxa" w:w="2351"/>
            <w:shd w:val="clear" w:color="auto" w:fill="FFFFFF"/>
          </w:tcPr>
          <w:p>
            <w:r>
              <w:rPr>
                <w:sz w:val="18"/>
              </w:rPr>
              <w:t>PAU, UNOC, MTIC, MEMD</w:t>
            </w:r>
          </w:p>
        </w:tc>
        <w:tc>
          <w:tcPr>
            <w:tcW w:type="dxa" w:w="2351"/>
            <w:shd w:val="clear" w:color="auto" w:fill="FFFFFF"/>
          </w:tcPr>
          <w:p>
            <w:r>
              <w:rPr>
                <w:sz w:val="18"/>
              </w:rPr>
              <w:t>Medium</w:t>
            </w:r>
          </w:p>
        </w:tc>
      </w:tr>
      <w:tr>
        <w:tc>
          <w:tcPr>
            <w:tcW w:type="dxa" w:w="2351"/>
            <w:shd w:val="clear" w:color="auto" w:fill="EEF3F9"/>
          </w:tcPr>
          <w:p>
            <w:r>
              <w:rPr>
                <w:b/>
                <w:sz w:val="18"/>
              </w:rPr>
              <w:t>Investment (3–5y)</w:t>
            </w:r>
          </w:p>
        </w:tc>
        <w:tc>
          <w:tcPr>
            <w:tcW w:type="dxa" w:w="2351"/>
            <w:shd w:val="clear" w:color="auto" w:fill="EEF3F9"/>
          </w:tcPr>
          <w:p>
            <w:r>
              <w:rPr>
                <w:sz w:val="18"/>
              </w:rPr>
              <w:t>Refinery + petrochemical park build-out (Alpha MBM agreement)</w:t>
            </w:r>
          </w:p>
        </w:tc>
        <w:tc>
          <w:tcPr>
            <w:tcW w:type="dxa" w:w="2351"/>
            <w:shd w:val="clear" w:color="auto" w:fill="EEF3F9"/>
          </w:tcPr>
          <w:p>
            <w:r>
              <w:rPr>
                <w:sz w:val="18"/>
              </w:rPr>
              <w:t>Investor + UNOC (PPP)</w:t>
            </w:r>
          </w:p>
        </w:tc>
        <w:tc>
          <w:tcPr>
            <w:tcW w:type="dxa" w:w="2351"/>
            <w:shd w:val="clear" w:color="auto" w:fill="EEF3F9"/>
          </w:tcPr>
          <w:p>
            <w:r>
              <w:rPr>
                <w:sz w:val="18"/>
              </w:rPr>
              <w:t>~USD 4bn (announced)</w:t>
            </w:r>
          </w:p>
        </w:tc>
      </w:tr>
      <w:tr>
        <w:tc>
          <w:tcPr>
            <w:tcW w:type="dxa" w:w="2351"/>
            <w:shd w:val="clear" w:color="auto" w:fill="FFFFFF"/>
          </w:tcPr>
          <w:p>
            <w:r>
              <w:rPr>
                <w:sz w:val="18"/>
              </w:rPr>
              <w:t>Investment (3–5y)</w:t>
            </w:r>
          </w:p>
        </w:tc>
        <w:tc>
          <w:tcPr>
            <w:tcW w:type="dxa" w:w="2351"/>
            <w:shd w:val="clear" w:color="auto" w:fill="FFFFFF"/>
          </w:tcPr>
          <w:p>
            <w:r>
              <w:rPr>
                <w:sz w:val="18"/>
              </w:rPr>
              <w:t>Phosphate processing revival / new blending (incl. green-ammonia) capacity</w:t>
            </w:r>
          </w:p>
        </w:tc>
        <w:tc>
          <w:tcPr>
            <w:tcW w:type="dxa" w:w="2351"/>
            <w:shd w:val="clear" w:color="auto" w:fill="FFFFFF"/>
          </w:tcPr>
          <w:p>
            <w:r>
              <w:rPr>
                <w:sz w:val="18"/>
              </w:rPr>
              <w:t>Private-led / PPP</w:t>
            </w:r>
          </w:p>
        </w:tc>
        <w:tc>
          <w:tcPr>
            <w:tcW w:type="dxa" w:w="2351"/>
            <w:shd w:val="clear" w:color="auto" w:fill="FFFFFF"/>
          </w:tcPr>
          <w:p>
            <w:r>
              <w:rPr>
                <w:sz w:val="18"/>
              </w:rPr>
              <w:t>Indicative (see Ch.11)</w:t>
            </w:r>
          </w:p>
        </w:tc>
      </w:tr>
    </w:tbl>
    <w:p/>
    <w:p>
      <w:r>
        <w:rPr>
          <w:i/>
        </w:rPr>
        <w:t>Sources for this chapter are listed in the consolidated References at the end of this report.</w:t>
      </w:r>
    </w:p>
    <w:p>
      <w:r>
        <w:br w:type="page"/>
      </w:r>
    </w:p>
    <w:p>
      <w:pPr>
        <w:pStyle w:val="Heading1"/>
      </w:pPr>
      <w:r>
        <w:t>Chapter 7: Sugar &amp; Confectionery Value Chain</w:t>
      </w:r>
    </w:p>
    <w:p>
      <w:r>
        <w:rPr>
          <w:b/>
        </w:rPr>
        <w:t>Report:</w:t>
      </w:r>
      <w:r>
        <w:t xml:space="preserve"> Report 2 — Textiles &amp; Garments, Pharmaceuticals, Petrochemicals &amp; Fertilizers, Sugar &amp; Confectionery, Plastics &amp; Packaging, and Cement &amp; Building Materials Value Chains</w:t>
      </w:r>
    </w:p>
    <w:p>
      <w:r>
        <w:rPr>
          <w:b/>
        </w:rPr>
        <w:t>Status:</w:t>
      </w:r>
      <w:r>
        <w:t xml:space="preserve"> Draft for validation</w:t>
      </w:r>
    </w:p>
    <w:p>
      <w:r>
        <w:rPr>
          <w:b/>
        </w:rPr>
        <w:t>Primary data source:</w:t>
      </w:r>
      <w:r>
        <w:t xml:space="preserve"> Technical Working Group (TWG) engagements with MTIC sector experts (primary); Uganda Sugar Manufacturers' Association (USMA); UBOS; ITC TradeMap (2024). Full sources are in the consolidated References at the end of this report.</w:t>
      </w:r>
    </w:p>
    <w:p>
      <w:pPr>
        <w:pStyle w:val="Heading2"/>
      </w:pPr>
      <w:r>
        <w:t>7.0 Why Sugar &amp; Confectionery Matters for the Tenfold Growth Strategy</w:t>
      </w:r>
    </w:p>
    <w:p>
      <w:r>
        <w:t xml:space="preserve">Sugar is Uganda's clearest agro-industrial success — a </w:t>
      </w:r>
      <w:r>
        <w:rPr>
          <w:b/>
        </w:rPr>
        <w:t>mature, competitive milling industry already in structural surplus</w:t>
      </w:r>
      <w:r>
        <w:t xml:space="preserve">. That changes the tenfold question for this chain: not "grow more cane," but </w:t>
      </w:r>
      <w:r>
        <w:rPr>
          <w:b/>
        </w:rPr>
        <w:t>"convert the surplus into higher-value, greener products"</w:t>
      </w:r>
      <w:r>
        <w:t xml:space="preserve"> — industrial sugar, ethanol, grid electricity from bagasse, and confectionery. Done well, sugar becomes a model of the Tenfold Strategy's logic: take what Uganda already produces in abundance and move it up the value chain into energy, chemicals and food products, rather than exporting a low-value commodity.</w:t>
      </w:r>
    </w:p>
    <w:p>
      <w:pPr>
        <w:pStyle w:val="Heading2"/>
      </w:pPr>
      <w:r>
        <w:t>7.A Value Chain Map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02B5B"/>
          </w:tcPr>
          <w:p>
            <w:r>
              <w:rPr>
                <w:b/>
                <w:color w:val="FFFFFF"/>
                <w:sz w:val="18"/>
              </w:rPr>
              <w:t>Phase</w:t>
            </w:r>
          </w:p>
        </w:tc>
        <w:tc>
          <w:tcPr>
            <w:tcW w:type="dxa" w:w="1881"/>
            <w:shd w:val="clear" w:color="auto" w:fill="002B5B"/>
          </w:tcPr>
          <w:p>
            <w:r>
              <w:rPr>
                <w:b/>
                <w:color w:val="FFFFFF"/>
                <w:sz w:val="18"/>
              </w:rPr>
              <w:t>Activity</w:t>
            </w:r>
          </w:p>
        </w:tc>
        <w:tc>
          <w:tcPr>
            <w:tcW w:type="dxa" w:w="1881"/>
            <w:shd w:val="clear" w:color="auto" w:fill="002B5B"/>
          </w:tcPr>
          <w:p>
            <w:r>
              <w:rPr>
                <w:b/>
                <w:color w:val="FFFFFF"/>
                <w:sz w:val="18"/>
              </w:rPr>
              <w:t>Main inputs</w:t>
            </w:r>
          </w:p>
        </w:tc>
        <w:tc>
          <w:tcPr>
            <w:tcW w:type="dxa" w:w="1881"/>
            <w:shd w:val="clear" w:color="auto" w:fill="002B5B"/>
          </w:tcPr>
          <w:p>
            <w:r>
              <w:rPr>
                <w:b/>
                <w:color w:val="FFFFFF"/>
                <w:sz w:val="18"/>
              </w:rPr>
              <w:t>Output</w:t>
            </w:r>
          </w:p>
        </w:tc>
        <w:tc>
          <w:tcPr>
            <w:tcW w:type="dxa" w:w="1881"/>
            <w:shd w:val="clear" w:color="auto" w:fill="002B5B"/>
          </w:tcPr>
          <w:p>
            <w:r>
              <w:rPr>
                <w:b/>
                <w:color w:val="FFFFFF"/>
                <w:sz w:val="18"/>
              </w:rPr>
              <w:t>Uganda's position</w:t>
            </w:r>
          </w:p>
        </w:tc>
      </w:tr>
      <w:tr>
        <w:tc>
          <w:tcPr>
            <w:tcW w:type="dxa" w:w="1881"/>
            <w:shd w:val="clear" w:color="auto" w:fill="EEF3F9"/>
          </w:tcPr>
          <w:p>
            <w:r>
              <w:rPr>
                <w:sz w:val="18"/>
              </w:rPr>
              <w:t>I</w:t>
            </w:r>
          </w:p>
        </w:tc>
        <w:tc>
          <w:tcPr>
            <w:tcW w:type="dxa" w:w="1881"/>
            <w:shd w:val="clear" w:color="auto" w:fill="EEF3F9"/>
          </w:tcPr>
          <w:p>
            <w:r>
              <w:rPr>
                <w:sz w:val="18"/>
              </w:rPr>
              <w:t>Cane growing</w:t>
            </w:r>
          </w:p>
        </w:tc>
        <w:tc>
          <w:tcPr>
            <w:tcW w:type="dxa" w:w="1881"/>
            <w:shd w:val="clear" w:color="auto" w:fill="EEF3F9"/>
          </w:tcPr>
          <w:p>
            <w:r>
              <w:rPr>
                <w:sz w:val="18"/>
              </w:rPr>
              <w:t>Land, inputs</w:t>
            </w:r>
          </w:p>
        </w:tc>
        <w:tc>
          <w:tcPr>
            <w:tcW w:type="dxa" w:w="1881"/>
            <w:shd w:val="clear" w:color="auto" w:fill="EEF3F9"/>
          </w:tcPr>
          <w:p>
            <w:r>
              <w:rPr>
                <w:sz w:val="18"/>
              </w:rPr>
              <w:t>Sugarcane</w:t>
            </w:r>
          </w:p>
        </w:tc>
        <w:tc>
          <w:tcPr>
            <w:tcW w:type="dxa" w:w="1881"/>
            <w:shd w:val="clear" w:color="auto" w:fill="EEF3F9"/>
          </w:tcPr>
          <w:p>
            <w:r>
              <w:rPr>
                <w:b/>
                <w:sz w:val="18"/>
              </w:rPr>
              <w:t>Strong</w:t>
            </w:r>
            <w:r>
              <w:rPr>
                <w:sz w:val="18"/>
              </w:rPr>
              <w:t xml:space="preserve"> (surplus)</w:t>
            </w:r>
          </w:p>
        </w:tc>
      </w:tr>
      <w:tr>
        <w:tc>
          <w:tcPr>
            <w:tcW w:type="dxa" w:w="1881"/>
            <w:shd w:val="clear" w:color="auto" w:fill="FFFFFF"/>
          </w:tcPr>
          <w:p>
            <w:r>
              <w:rPr>
                <w:sz w:val="18"/>
              </w:rPr>
              <w:t>II</w:t>
            </w:r>
          </w:p>
        </w:tc>
        <w:tc>
          <w:tcPr>
            <w:tcW w:type="dxa" w:w="1881"/>
            <w:shd w:val="clear" w:color="auto" w:fill="FFFFFF"/>
          </w:tcPr>
          <w:p>
            <w:r>
              <w:rPr>
                <w:sz w:val="18"/>
              </w:rPr>
              <w:t>Milling</w:t>
            </w:r>
          </w:p>
        </w:tc>
        <w:tc>
          <w:tcPr>
            <w:tcW w:type="dxa" w:w="1881"/>
            <w:shd w:val="clear" w:color="auto" w:fill="FFFFFF"/>
          </w:tcPr>
          <w:p>
            <w:r>
              <w:rPr>
                <w:sz w:val="18"/>
              </w:rPr>
              <w:t>Cane</w:t>
            </w:r>
          </w:p>
        </w:tc>
        <w:tc>
          <w:tcPr>
            <w:tcW w:type="dxa" w:w="1881"/>
            <w:shd w:val="clear" w:color="auto" w:fill="FFFFFF"/>
          </w:tcPr>
          <w:p>
            <w:r>
              <w:rPr>
                <w:sz w:val="18"/>
              </w:rPr>
              <w:t>Raw/brown sugar, molasses, bagasse</w:t>
            </w:r>
          </w:p>
        </w:tc>
        <w:tc>
          <w:tcPr>
            <w:tcW w:type="dxa" w:w="1881"/>
            <w:shd w:val="clear" w:color="auto" w:fill="FFFFFF"/>
          </w:tcPr>
          <w:p>
            <w:r>
              <w:rPr>
                <w:b/>
                <w:sz w:val="18"/>
              </w:rPr>
              <w:t>Mature/competitive</w:t>
            </w:r>
          </w:p>
        </w:tc>
      </w:tr>
      <w:tr>
        <w:tc>
          <w:tcPr>
            <w:tcW w:type="dxa" w:w="1881"/>
            <w:shd w:val="clear" w:color="auto" w:fill="EEF3F9"/>
          </w:tcPr>
          <w:p>
            <w:r>
              <w:rPr>
                <w:sz w:val="18"/>
              </w:rPr>
              <w:t>III</w:t>
            </w:r>
          </w:p>
        </w:tc>
        <w:tc>
          <w:tcPr>
            <w:tcW w:type="dxa" w:w="1881"/>
            <w:shd w:val="clear" w:color="auto" w:fill="EEF3F9"/>
          </w:tcPr>
          <w:p>
            <w:r>
              <w:rPr>
                <w:sz w:val="18"/>
              </w:rPr>
              <w:t>Refining</w:t>
            </w:r>
          </w:p>
        </w:tc>
        <w:tc>
          <w:tcPr>
            <w:tcW w:type="dxa" w:w="1881"/>
            <w:shd w:val="clear" w:color="auto" w:fill="EEF3F9"/>
          </w:tcPr>
          <w:p>
            <w:r>
              <w:rPr>
                <w:sz w:val="18"/>
              </w:rPr>
              <w:t>Raw sugar</w:t>
            </w:r>
          </w:p>
        </w:tc>
        <w:tc>
          <w:tcPr>
            <w:tcW w:type="dxa" w:w="1881"/>
            <w:shd w:val="clear" w:color="auto" w:fill="EEF3F9"/>
          </w:tcPr>
          <w:p>
            <w:r>
              <w:rPr>
                <w:sz w:val="18"/>
              </w:rPr>
              <w:t>Refined/industrial sugar</w:t>
            </w:r>
          </w:p>
        </w:tc>
        <w:tc>
          <w:tcPr>
            <w:tcW w:type="dxa" w:w="1881"/>
            <w:shd w:val="clear" w:color="auto" w:fill="EEF3F9"/>
          </w:tcPr>
          <w:p>
            <w:r>
              <w:rPr>
                <w:b/>
                <w:sz w:val="18"/>
              </w:rPr>
              <w:t>Gap</w:t>
            </w:r>
            <w:r>
              <w:rPr>
                <w:sz w:val="18"/>
              </w:rPr>
              <w:t xml:space="preserve"> — imported</w:t>
            </w:r>
          </w:p>
        </w:tc>
      </w:tr>
      <w:tr>
        <w:tc>
          <w:tcPr>
            <w:tcW w:type="dxa" w:w="1881"/>
            <w:shd w:val="clear" w:color="auto" w:fill="FFFFFF"/>
          </w:tcPr>
          <w:p>
            <w:r>
              <w:rPr>
                <w:sz w:val="18"/>
              </w:rPr>
              <w:t>IV</w:t>
            </w:r>
          </w:p>
        </w:tc>
        <w:tc>
          <w:tcPr>
            <w:tcW w:type="dxa" w:w="1881"/>
            <w:shd w:val="clear" w:color="auto" w:fill="FFFFFF"/>
          </w:tcPr>
          <w:p>
            <w:r>
              <w:rPr>
                <w:sz w:val="18"/>
              </w:rPr>
              <w:t>Downstream</w:t>
            </w:r>
          </w:p>
        </w:tc>
        <w:tc>
          <w:tcPr>
            <w:tcW w:type="dxa" w:w="1881"/>
            <w:shd w:val="clear" w:color="auto" w:fill="FFFFFF"/>
          </w:tcPr>
          <w:p>
            <w:r>
              <w:rPr>
                <w:sz w:val="18"/>
              </w:rPr>
              <w:t>Sugar, molasses, bagasse</w:t>
            </w:r>
          </w:p>
        </w:tc>
        <w:tc>
          <w:tcPr>
            <w:tcW w:type="dxa" w:w="1881"/>
            <w:shd w:val="clear" w:color="auto" w:fill="FFFFFF"/>
          </w:tcPr>
          <w:p>
            <w:r>
              <w:rPr>
                <w:sz w:val="18"/>
              </w:rPr>
              <w:t>Confectionery, ethanol, electricity (co-gen)</w:t>
            </w:r>
          </w:p>
        </w:tc>
        <w:tc>
          <w:tcPr>
            <w:tcW w:type="dxa" w:w="1881"/>
            <w:shd w:val="clear" w:color="auto" w:fill="FFFFFF"/>
          </w:tcPr>
          <w:p>
            <w:r>
              <w:rPr>
                <w:b/>
                <w:sz w:val="18"/>
              </w:rPr>
              <w:t>Under-exploited</w:t>
            </w:r>
          </w:p>
        </w:tc>
      </w:tr>
      <w:tr>
        <w:tc>
          <w:tcPr>
            <w:tcW w:type="dxa" w:w="1881"/>
            <w:shd w:val="clear" w:color="auto" w:fill="EEF3F9"/>
          </w:tcPr>
          <w:p>
            <w:r>
              <w:rPr>
                <w:sz w:val="18"/>
              </w:rPr>
              <w:t>V</w:t>
            </w:r>
          </w:p>
        </w:tc>
        <w:tc>
          <w:tcPr>
            <w:tcW w:type="dxa" w:w="1881"/>
            <w:shd w:val="clear" w:color="auto" w:fill="EEF3F9"/>
          </w:tcPr>
          <w:p>
            <w:r>
              <w:rPr>
                <w:sz w:val="18"/>
              </w:rPr>
              <w:t>Market</w:t>
            </w:r>
          </w:p>
        </w:tc>
        <w:tc>
          <w:tcPr>
            <w:tcW w:type="dxa" w:w="1881"/>
            <w:shd w:val="clear" w:color="auto" w:fill="EEF3F9"/>
          </w:tcPr>
          <w:p>
            <w:r>
              <w:rPr>
                <w:sz w:val="18"/>
              </w:rPr>
              <w:t>Products</w:t>
            </w:r>
          </w:p>
        </w:tc>
        <w:tc>
          <w:tcPr>
            <w:tcW w:type="dxa" w:w="1881"/>
            <w:shd w:val="clear" w:color="auto" w:fill="EEF3F9"/>
          </w:tcPr>
          <w:p>
            <w:r>
              <w:rPr>
                <w:sz w:val="18"/>
              </w:rPr>
              <w:t>Domestic + regional</w:t>
            </w:r>
          </w:p>
        </w:tc>
        <w:tc>
          <w:tcPr>
            <w:tcW w:type="dxa" w:w="1881"/>
            <w:shd w:val="clear" w:color="auto" w:fill="EEF3F9"/>
          </w:tcPr>
          <w:p>
            <w:r>
              <w:rPr>
                <w:b/>
                <w:sz w:val="18"/>
              </w:rPr>
              <w:t>Active</w:t>
            </w:r>
            <w:r>
              <w:rPr>
                <w:sz w:val="18"/>
              </w:rPr>
              <w:t>; surplus exporter</w:t>
            </w:r>
          </w:p>
        </w:tc>
      </w:tr>
    </w:tbl>
    <w:p/>
    <w:p>
      <w:r>
        <w:rPr>
          <w:b/>
        </w:rPr>
        <w:t>Where value is captured and lost.</w:t>
      </w:r>
      <w:r>
        <w:t xml:space="preserve"> Uganda produces a surplus of brown sugar yet still imports </w:t>
      </w:r>
      <w:r>
        <w:rPr>
          <w:b/>
        </w:rPr>
        <w:t>industrial/refined sugar</w:t>
      </w:r>
      <w:r>
        <w:t xml:space="preserve"> and confectionery and under-exploits downstream products (ethanol, co-generation). Sugar imports (HS 1701) were ~</w:t>
      </w:r>
      <w:r>
        <w:rPr>
          <w:b/>
        </w:rPr>
        <w:t>USD 38.1 million in 2024</w:t>
      </w:r>
      <w:r>
        <w:t xml:space="preserve"> — largely industrial sugar — even as Uganda exports surplus brown sugar regionally (ITC TradeMap). The leak here is </w:t>
      </w:r>
      <w:r>
        <w:rPr>
          <w:i/>
        </w:rPr>
        <w:t>under-diversification</w:t>
      </w:r>
      <w:r>
        <w:t>, not under-production.</w:t>
      </w:r>
    </w:p>
    <w:p>
      <w:pPr>
        <w:pStyle w:val="Heading2"/>
      </w:pPr>
      <w:r>
        <w:t>7.B Current Status</w:t>
      </w:r>
    </w:p>
    <w:p>
      <w:pPr>
        <w:pStyle w:val="Heading3"/>
      </w:pPr>
      <w:r>
        <w:t>Status snapshot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Indicator</w:t>
            </w:r>
          </w:p>
        </w:tc>
        <w:tc>
          <w:tcPr>
            <w:tcW w:type="dxa" w:w="3135"/>
            <w:shd w:val="clear" w:color="auto" w:fill="002B5B"/>
          </w:tcPr>
          <w:p>
            <w:r>
              <w:rPr>
                <w:b/>
                <w:color w:val="FFFFFF"/>
                <w:sz w:val="18"/>
              </w:rPr>
              <w:t>Value</w:t>
            </w:r>
          </w:p>
        </w:tc>
        <w:tc>
          <w:tcPr>
            <w:tcW w:type="dxa" w:w="3135"/>
            <w:shd w:val="clear" w:color="auto" w:fill="002B5B"/>
          </w:tcPr>
          <w:p>
            <w:r>
              <w:rPr>
                <w:b/>
                <w:color w:val="FFFFFF"/>
                <w:sz w:val="18"/>
              </w:rPr>
              <w:t>Source</w:t>
            </w:r>
          </w:p>
        </w:tc>
      </w:tr>
      <w:tr>
        <w:tc>
          <w:tcPr>
            <w:tcW w:type="dxa" w:w="3135"/>
            <w:shd w:val="clear" w:color="auto" w:fill="EEF3F9"/>
          </w:tcPr>
          <w:p>
            <w:r>
              <w:rPr>
                <w:sz w:val="18"/>
              </w:rPr>
              <w:t>National output</w:t>
            </w:r>
          </w:p>
        </w:tc>
        <w:tc>
          <w:tcPr>
            <w:tcW w:type="dxa" w:w="3135"/>
            <w:shd w:val="clear" w:color="auto" w:fill="EEF3F9"/>
          </w:tcPr>
          <w:p>
            <w:r>
              <w:rPr>
                <w:b/>
                <w:sz w:val="18"/>
              </w:rPr>
              <w:t>~822,000 t (2022)</w:t>
            </w:r>
            <w:r>
              <w:rPr>
                <w:sz w:val="18"/>
              </w:rPr>
              <w:t xml:space="preserve"> (~720k brown + ~102k industrial)</w:t>
            </w:r>
          </w:p>
        </w:tc>
        <w:tc>
          <w:tcPr>
            <w:tcW w:type="dxa" w:w="3135"/>
            <w:shd w:val="clear" w:color="auto" w:fill="EEF3F9"/>
          </w:tcPr>
          <w:p>
            <w:r>
              <w:rPr>
                <w:sz w:val="18"/>
              </w:rPr>
              <w:t>USMA; sector</w:t>
            </w:r>
          </w:p>
        </w:tc>
      </w:tr>
      <w:tr>
        <w:tc>
          <w:tcPr>
            <w:tcW w:type="dxa" w:w="3135"/>
            <w:shd w:val="clear" w:color="auto" w:fill="FFFFFF"/>
          </w:tcPr>
          <w:p>
            <w:r>
              <w:rPr>
                <w:sz w:val="18"/>
              </w:rPr>
              <w:t>Domestic consumption</w:t>
            </w:r>
          </w:p>
        </w:tc>
        <w:tc>
          <w:tcPr>
            <w:tcW w:type="dxa" w:w="3135"/>
            <w:shd w:val="clear" w:color="auto" w:fill="FFFFFF"/>
          </w:tcPr>
          <w:p>
            <w:r>
              <w:rPr>
                <w:sz w:val="18"/>
              </w:rPr>
              <w:t>~370,000 t</w:t>
            </w:r>
          </w:p>
        </w:tc>
        <w:tc>
          <w:tcPr>
            <w:tcW w:type="dxa" w:w="3135"/>
            <w:shd w:val="clear" w:color="auto" w:fill="FFFFFF"/>
          </w:tcPr>
          <w:p>
            <w:r>
              <w:rPr>
                <w:sz w:val="18"/>
              </w:rPr>
              <w:t>sector</w:t>
            </w:r>
          </w:p>
        </w:tc>
      </w:tr>
      <w:tr>
        <w:tc>
          <w:tcPr>
            <w:tcW w:type="dxa" w:w="3135"/>
            <w:shd w:val="clear" w:color="auto" w:fill="EEF3F9"/>
          </w:tcPr>
          <w:p>
            <w:r>
              <w:rPr>
                <w:sz w:val="18"/>
              </w:rPr>
              <w:t>Structural surplus</w:t>
            </w:r>
          </w:p>
        </w:tc>
        <w:tc>
          <w:tcPr>
            <w:tcW w:type="dxa" w:w="3135"/>
            <w:shd w:val="clear" w:color="auto" w:fill="EEF3F9"/>
          </w:tcPr>
          <w:p>
            <w:r>
              <w:rPr>
                <w:b/>
                <w:sz w:val="18"/>
              </w:rPr>
              <w:t>180,000+ t</w:t>
            </w:r>
          </w:p>
        </w:tc>
        <w:tc>
          <w:tcPr>
            <w:tcW w:type="dxa" w:w="3135"/>
            <w:shd w:val="clear" w:color="auto" w:fill="EEF3F9"/>
          </w:tcPr>
          <w:p>
            <w:r>
              <w:rPr>
                <w:sz w:val="18"/>
              </w:rPr>
              <w:t>sector</w:t>
            </w:r>
          </w:p>
        </w:tc>
      </w:tr>
      <w:tr>
        <w:tc>
          <w:tcPr>
            <w:tcW w:type="dxa" w:w="3135"/>
            <w:shd w:val="clear" w:color="auto" w:fill="FFFFFF"/>
          </w:tcPr>
          <w:p>
            <w:r>
              <w:rPr>
                <w:sz w:val="18"/>
              </w:rPr>
              <w:t>Industrial-sugar imports (HS 1701)</w:t>
            </w:r>
          </w:p>
        </w:tc>
        <w:tc>
          <w:tcPr>
            <w:tcW w:type="dxa" w:w="3135"/>
            <w:shd w:val="clear" w:color="auto" w:fill="FFFFFF"/>
          </w:tcPr>
          <w:p>
            <w:r>
              <w:rPr>
                <w:sz w:val="18"/>
              </w:rPr>
              <w:t>~USD 38.1m (2024)</w:t>
            </w:r>
          </w:p>
        </w:tc>
        <w:tc>
          <w:tcPr>
            <w:tcW w:type="dxa" w:w="3135"/>
            <w:shd w:val="clear" w:color="auto" w:fill="FFFFFF"/>
          </w:tcPr>
          <w:p>
            <w:r>
              <w:rPr>
                <w:sz w:val="18"/>
              </w:rPr>
              <w:t>ITC TradeMap</w:t>
            </w:r>
          </w:p>
        </w:tc>
      </w:tr>
      <w:tr>
        <w:tc>
          <w:tcPr>
            <w:tcW w:type="dxa" w:w="3135"/>
            <w:shd w:val="clear" w:color="auto" w:fill="EEF3F9"/>
          </w:tcPr>
          <w:p>
            <w:r>
              <w:rPr>
                <w:sz w:val="18"/>
              </w:rPr>
              <w:t>Largest miller</w:t>
            </w:r>
          </w:p>
        </w:tc>
        <w:tc>
          <w:tcPr>
            <w:tcW w:type="dxa" w:w="3135"/>
            <w:shd w:val="clear" w:color="auto" w:fill="EEF3F9"/>
          </w:tcPr>
          <w:p>
            <w:r>
              <w:rPr>
                <w:b/>
                <w:sz w:val="18"/>
              </w:rPr>
              <w:t>Kakira Sugar Works</w:t>
            </w:r>
            <w:r>
              <w:rPr>
                <w:sz w:val="18"/>
              </w:rPr>
              <w:t xml:space="preserve"> (~half of output; &gt;2m t cane/yr)</w:t>
            </w:r>
          </w:p>
        </w:tc>
        <w:tc>
          <w:tcPr>
            <w:tcW w:type="dxa" w:w="3135"/>
            <w:shd w:val="clear" w:color="auto" w:fill="EEF3F9"/>
          </w:tcPr>
          <w:p>
            <w:r>
              <w:rPr>
                <w:sz w:val="18"/>
              </w:rPr>
              <w:t>USMA; Kakira</w:t>
            </w:r>
          </w:p>
        </w:tc>
      </w:tr>
      <w:tr>
        <w:tc>
          <w:tcPr>
            <w:tcW w:type="dxa" w:w="3135"/>
            <w:shd w:val="clear" w:color="auto" w:fill="FFFFFF"/>
          </w:tcPr>
          <w:p>
            <w:r>
              <w:rPr>
                <w:sz w:val="18"/>
              </w:rPr>
              <w:t>Other majors</w:t>
            </w:r>
          </w:p>
        </w:tc>
        <w:tc>
          <w:tcPr>
            <w:tcW w:type="dxa" w:w="3135"/>
            <w:shd w:val="clear" w:color="auto" w:fill="FFFFFF"/>
          </w:tcPr>
          <w:p>
            <w:r>
              <w:rPr>
                <w:sz w:val="18"/>
              </w:rPr>
              <w:t>Kinyara (industrial sugar ~75,000 t, 2023), SCOUL, Mayuge, smaller mills</w:t>
            </w:r>
          </w:p>
        </w:tc>
        <w:tc>
          <w:tcPr>
            <w:tcW w:type="dxa" w:w="3135"/>
            <w:shd w:val="clear" w:color="auto" w:fill="FFFFFF"/>
          </w:tcPr>
          <w:p>
            <w:r>
              <w:rPr>
                <w:sz w:val="18"/>
              </w:rPr>
              <w:t>USMA</w:t>
            </w:r>
          </w:p>
        </w:tc>
      </w:tr>
    </w:tbl>
    <w:p/>
    <w:p>
      <w:r>
        <w:rPr>
          <w:b/>
        </w:rPr>
        <w:t>Production and surplus.</w:t>
      </w:r>
      <w:r>
        <w:t xml:space="preserve"> National output ~</w:t>
      </w:r>
      <w:r>
        <w:rPr>
          <w:b/>
        </w:rPr>
        <w:t>822,000 t (2022)</w:t>
      </w:r>
      <w:r>
        <w:t xml:space="preserve"> against consumption ~</w:t>
      </w:r>
      <w:r>
        <w:rPr>
          <w:b/>
        </w:rPr>
        <w:t>370,000 t</w:t>
      </w:r>
      <w:r>
        <w:t xml:space="preserve">, leaving a structural </w:t>
      </w:r>
      <w:r>
        <w:rPr>
          <w:b/>
        </w:rPr>
        <w:t>surplus of 180,000+ t</w:t>
      </w:r>
      <w:r>
        <w:t>; continued licensing of new mills has created over-supply and price pressure — the live policy issue.</w:t>
      </w:r>
    </w:p>
    <w:p>
      <w:r>
        <w:rPr>
          <w:b/>
        </w:rPr>
        <w:t>Firms.</w:t>
      </w:r>
      <w:r>
        <w:t xml:space="preserve"> </w:t>
      </w:r>
      <w:r>
        <w:rPr>
          <w:b/>
        </w:rPr>
        <w:t>Kakira Sugar Works</w:t>
      </w:r>
      <w:r>
        <w:t xml:space="preserve"> (~half of output; crushing &gt;2m t cane/yr), </w:t>
      </w:r>
      <w:r>
        <w:rPr>
          <w:b/>
        </w:rPr>
        <w:t>Kinyara Sugar</w:t>
      </w:r>
      <w:r>
        <w:t xml:space="preserve"> (industrial-sugar refinery expanded to ~75,000 t in 2023), </w:t>
      </w:r>
      <w:r>
        <w:rPr>
          <w:b/>
        </w:rPr>
        <w:t>Sugar Corporation of Uganda (SCOUL)</w:t>
      </w:r>
      <w:r>
        <w:t xml:space="preserve">, </w:t>
      </w:r>
      <w:r>
        <w:rPr>
          <w:b/>
        </w:rPr>
        <w:t>Mayuge Sugar</w:t>
      </w:r>
      <w:r>
        <w:t>, plus smaller mills.</w:t>
      </w:r>
    </w:p>
    <w:p>
      <w:r>
        <w:rPr>
          <w:b/>
        </w:rPr>
        <w:t>Downstream.</w:t>
      </w:r>
      <w:r>
        <w:t xml:space="preserve"> Molasses supports ethanol; bagasse supports co-generation (grid power); confectionery is growing but still import-supplied.</w:t>
      </w:r>
    </w:p>
    <w:p>
      <w:pPr>
        <w:pStyle w:val="Heading2"/>
      </w:pPr>
      <w:r>
        <w:t>7.C Market Analysis (four levels) and 2040 Projection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Level</w:t>
            </w:r>
          </w:p>
        </w:tc>
        <w:tc>
          <w:tcPr>
            <w:tcW w:type="dxa" w:w="3135"/>
            <w:shd w:val="clear" w:color="auto" w:fill="002B5B"/>
          </w:tcPr>
          <w:p>
            <w:r>
              <w:rPr>
                <w:b/>
                <w:color w:val="FFFFFF"/>
                <w:sz w:val="18"/>
              </w:rPr>
              <w:t>Size / Uganda position</w:t>
            </w:r>
          </w:p>
        </w:tc>
        <w:tc>
          <w:tcPr>
            <w:tcW w:type="dxa" w:w="3135"/>
            <w:shd w:val="clear" w:color="auto" w:fill="002B5B"/>
          </w:tcPr>
          <w:p>
            <w:r>
              <w:rPr>
                <w:b/>
                <w:color w:val="FFFFFF"/>
                <w:sz w:val="18"/>
              </w:rPr>
              <w:t>Drivers</w:t>
            </w:r>
          </w:p>
        </w:tc>
      </w:tr>
      <w:tr>
        <w:tc>
          <w:tcPr>
            <w:tcW w:type="dxa" w:w="3135"/>
            <w:shd w:val="clear" w:color="auto" w:fill="EEF3F9"/>
          </w:tcPr>
          <w:p>
            <w:r>
              <w:rPr>
                <w:b/>
                <w:sz w:val="18"/>
              </w:rPr>
              <w:t>Uganda (domestic)</w:t>
            </w:r>
          </w:p>
        </w:tc>
        <w:tc>
          <w:tcPr>
            <w:tcW w:type="dxa" w:w="3135"/>
            <w:shd w:val="clear" w:color="auto" w:fill="EEF3F9"/>
          </w:tcPr>
          <w:p>
            <w:r>
              <w:rPr>
                <w:sz w:val="18"/>
              </w:rPr>
              <w:t xml:space="preserve">Brown sugar over-supplied; genuine gaps in </w:t>
            </w:r>
            <w:r>
              <w:rPr>
                <w:b/>
                <w:sz w:val="18"/>
              </w:rPr>
              <w:t>industrial/refined sugar</w:t>
            </w:r>
            <w:r>
              <w:rPr>
                <w:sz w:val="18"/>
              </w:rPr>
              <w:t xml:space="preserve"> (USD 38m) and confectionery; ethanol-blending market latent</w:t>
            </w:r>
          </w:p>
        </w:tc>
        <w:tc>
          <w:tcPr>
            <w:tcW w:type="dxa" w:w="3135"/>
            <w:shd w:val="clear" w:color="auto" w:fill="EEF3F9"/>
          </w:tcPr>
          <w:p>
            <w:r>
              <w:rPr>
                <w:sz w:val="18"/>
              </w:rPr>
              <w:t>Food processing, beverages, pharma, fuel blending</w:t>
            </w:r>
          </w:p>
        </w:tc>
      </w:tr>
      <w:tr>
        <w:tc>
          <w:tcPr>
            <w:tcW w:type="dxa" w:w="3135"/>
            <w:shd w:val="clear" w:color="auto" w:fill="FFFFFF"/>
          </w:tcPr>
          <w:p>
            <w:r>
              <w:rPr>
                <w:b/>
                <w:sz w:val="18"/>
              </w:rPr>
              <w:t>Regional (EAC + COMESA)</w:t>
            </w:r>
          </w:p>
        </w:tc>
        <w:tc>
          <w:tcPr>
            <w:tcW w:type="dxa" w:w="3135"/>
            <w:shd w:val="clear" w:color="auto" w:fill="FFFFFF"/>
          </w:tcPr>
          <w:p>
            <w:r>
              <w:rPr>
                <w:sz w:val="18"/>
              </w:rPr>
              <w:t>Surplus brown sugar exported to Kenya, S. Sudan, DRC (subject to EAC dynamics); ethanol/industrial-sugar demand</w:t>
            </w:r>
          </w:p>
        </w:tc>
        <w:tc>
          <w:tcPr>
            <w:tcW w:type="dxa" w:w="3135"/>
            <w:shd w:val="clear" w:color="auto" w:fill="FFFFFF"/>
          </w:tcPr>
          <w:p>
            <w:r>
              <w:rPr>
                <w:sz w:val="18"/>
              </w:rPr>
              <w:t>Regional deficits; integration</w:t>
            </w:r>
          </w:p>
        </w:tc>
      </w:tr>
      <w:tr>
        <w:tc>
          <w:tcPr>
            <w:tcW w:type="dxa" w:w="3135"/>
            <w:shd w:val="clear" w:color="auto" w:fill="EEF3F9"/>
          </w:tcPr>
          <w:p>
            <w:r>
              <w:rPr>
                <w:b/>
                <w:sz w:val="18"/>
              </w:rPr>
              <w:t>Continental (Africa)</w:t>
            </w:r>
          </w:p>
        </w:tc>
        <w:tc>
          <w:tcPr>
            <w:tcW w:type="dxa" w:w="3135"/>
            <w:shd w:val="clear" w:color="auto" w:fill="EEF3F9"/>
          </w:tcPr>
          <w:p>
            <w:r>
              <w:rPr>
                <w:sz w:val="18"/>
              </w:rPr>
              <w:t>Net sugar-importing continent; AfCFTA access for refined/industrial sugar and ethanol</w:t>
            </w:r>
          </w:p>
        </w:tc>
        <w:tc>
          <w:tcPr>
            <w:tcW w:type="dxa" w:w="3135"/>
            <w:shd w:val="clear" w:color="auto" w:fill="EEF3F9"/>
          </w:tcPr>
          <w:p>
            <w:r>
              <w:rPr>
                <w:sz w:val="18"/>
              </w:rPr>
              <w:t>Africa demand growth</w:t>
            </w:r>
          </w:p>
        </w:tc>
      </w:tr>
      <w:tr>
        <w:tc>
          <w:tcPr>
            <w:tcW w:type="dxa" w:w="3135"/>
            <w:shd w:val="clear" w:color="auto" w:fill="FFFFFF"/>
          </w:tcPr>
          <w:p>
            <w:r>
              <w:rPr>
                <w:b/>
                <w:sz w:val="18"/>
              </w:rPr>
              <w:t>Global</w:t>
            </w:r>
          </w:p>
        </w:tc>
        <w:tc>
          <w:tcPr>
            <w:tcW w:type="dxa" w:w="3135"/>
            <w:shd w:val="clear" w:color="auto" w:fill="FFFFFF"/>
          </w:tcPr>
          <w:p>
            <w:r>
              <w:rPr>
                <w:sz w:val="18"/>
              </w:rPr>
              <w:t>Distorted, scale-driven raw-sugar market — not accessible</w:t>
            </w:r>
          </w:p>
        </w:tc>
        <w:tc>
          <w:tcPr>
            <w:tcW w:type="dxa" w:w="3135"/>
            <w:shd w:val="clear" w:color="auto" w:fill="FFFFFF"/>
          </w:tcPr>
          <w:p>
            <w:r>
              <w:rPr>
                <w:sz w:val="18"/>
              </w:rPr>
              <w:t>—</w:t>
            </w:r>
          </w:p>
        </w:tc>
      </w:tr>
    </w:tbl>
    <w:p/>
    <w:p>
      <w:pPr>
        <w:pStyle w:val="Heading3"/>
      </w:pPr>
      <w:r>
        <w:t>2040 projection — Tenfold logic</w:t>
      </w:r>
    </w:p>
    <w:p>
      <w:r>
        <w:t xml:space="preserve">A ten-times-larger economy shifts sugar's value from raw commodity to </w:t>
      </w:r>
      <w:r>
        <w:rPr>
          <w:b/>
        </w:rPr>
        <w:t>industrial sugar (food/beverage/pharma), ethanol (fuel blending as motorisation rises), grid power (bagasse co-gen), and confectionery</w:t>
      </w:r>
      <w:r>
        <w:t xml:space="preserve">. The brown-sugar surplus becomes the feedstock for these higher-value streams; by 2040 the chain's value should be dominated by downstream products, not raw sugar. Other markets grow on business-as-usual; Uganda's external plays are </w:t>
      </w:r>
      <w:r>
        <w:rPr>
          <w:b/>
        </w:rPr>
        <w:t>regional industrial sugar/ethanol</w:t>
      </w:r>
      <w:r>
        <w:t>, not global raw sugar.</w:t>
      </w:r>
    </w:p>
    <w:p>
      <w:pPr>
        <w:pStyle w:val="Heading2"/>
      </w:pPr>
      <w:r>
        <w:t>7.D Binding Constraints — Weighted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w:t>
            </w:r>
          </w:p>
        </w:tc>
        <w:tc>
          <w:tcPr>
            <w:tcW w:type="dxa" w:w="2351"/>
            <w:shd w:val="clear" w:color="auto" w:fill="002B5B"/>
          </w:tcPr>
          <w:p>
            <w:r>
              <w:rPr>
                <w:b/>
                <w:color w:val="FFFFFF"/>
                <w:sz w:val="18"/>
              </w:rPr>
              <w:t>Constraint (category)</w:t>
            </w:r>
          </w:p>
        </w:tc>
        <w:tc>
          <w:tcPr>
            <w:tcW w:type="dxa" w:w="2351"/>
            <w:shd w:val="clear" w:color="auto" w:fill="002B5B"/>
          </w:tcPr>
          <w:p>
            <w:r>
              <w:rPr>
                <w:b/>
                <w:color w:val="FFFFFF"/>
                <w:sz w:val="18"/>
              </w:rPr>
              <w:t>Weight</w:t>
            </w:r>
          </w:p>
        </w:tc>
        <w:tc>
          <w:tcPr>
            <w:tcW w:type="dxa" w:w="2351"/>
            <w:shd w:val="clear" w:color="auto" w:fill="002B5B"/>
          </w:tcPr>
          <w:p>
            <w:r>
              <w:rPr>
                <w:b/>
                <w:color w:val="FFFFFF"/>
                <w:sz w:val="18"/>
              </w:rPr>
              <w:t>Evidence / gravity</w:t>
            </w:r>
          </w:p>
        </w:tc>
      </w:tr>
      <w:tr>
        <w:tc>
          <w:tcPr>
            <w:tcW w:type="dxa" w:w="2351"/>
            <w:shd w:val="clear" w:color="auto" w:fill="EEF3F9"/>
          </w:tcPr>
          <w:p>
            <w:r>
              <w:rPr>
                <w:sz w:val="18"/>
              </w:rPr>
              <w:t>1</w:t>
            </w:r>
          </w:p>
        </w:tc>
        <w:tc>
          <w:tcPr>
            <w:tcW w:type="dxa" w:w="2351"/>
            <w:shd w:val="clear" w:color="auto" w:fill="EEF3F9"/>
          </w:tcPr>
          <w:p>
            <w:r>
              <w:rPr>
                <w:b/>
                <w:sz w:val="18"/>
              </w:rPr>
              <w:t>Over-supply / over-licensing of raw sugar (policy)</w:t>
            </w:r>
          </w:p>
        </w:tc>
        <w:tc>
          <w:tcPr>
            <w:tcW w:type="dxa" w:w="2351"/>
            <w:shd w:val="clear" w:color="auto" w:fill="EEF3F9"/>
          </w:tcPr>
          <w:p>
            <w:r>
              <w:rPr>
                <w:b/>
                <w:sz w:val="18"/>
              </w:rPr>
              <w:t>5</w:t>
            </w:r>
          </w:p>
        </w:tc>
        <w:tc>
          <w:tcPr>
            <w:tcW w:type="dxa" w:w="2351"/>
            <w:shd w:val="clear" w:color="auto" w:fill="EEF3F9"/>
          </w:tcPr>
          <w:p>
            <w:r>
              <w:rPr>
                <w:sz w:val="18"/>
              </w:rPr>
              <w:t>Surplus 180,000+ t depressing prices; continued mill licensing strains cane per mill — the central policy problem</w:t>
            </w:r>
          </w:p>
        </w:tc>
      </w:tr>
      <w:tr>
        <w:tc>
          <w:tcPr>
            <w:tcW w:type="dxa" w:w="2351"/>
            <w:shd w:val="clear" w:color="auto" w:fill="FFFFFF"/>
          </w:tcPr>
          <w:p>
            <w:r>
              <w:rPr>
                <w:sz w:val="18"/>
              </w:rPr>
              <w:t>2</w:t>
            </w:r>
          </w:p>
        </w:tc>
        <w:tc>
          <w:tcPr>
            <w:tcW w:type="dxa" w:w="2351"/>
            <w:shd w:val="clear" w:color="auto" w:fill="FFFFFF"/>
          </w:tcPr>
          <w:p>
            <w:r>
              <w:rPr>
                <w:b/>
                <w:sz w:val="18"/>
              </w:rPr>
              <w:t>Downstream capital &amp; technology (finance/technology)</w:t>
            </w:r>
          </w:p>
        </w:tc>
        <w:tc>
          <w:tcPr>
            <w:tcW w:type="dxa" w:w="2351"/>
            <w:shd w:val="clear" w:color="auto" w:fill="FFFFFF"/>
          </w:tcPr>
          <w:p>
            <w:r>
              <w:rPr>
                <w:b/>
                <w:sz w:val="18"/>
              </w:rPr>
              <w:t>4</w:t>
            </w:r>
          </w:p>
        </w:tc>
        <w:tc>
          <w:tcPr>
            <w:tcW w:type="dxa" w:w="2351"/>
            <w:shd w:val="clear" w:color="auto" w:fill="FFFFFF"/>
          </w:tcPr>
          <w:p>
            <w:r>
              <w:rPr>
                <w:sz w:val="18"/>
              </w:rPr>
              <w:t>Refining-to-industrial-grade, ethanol distilleries, confectionery need investment; milling is well-capitalised</w:t>
            </w:r>
          </w:p>
        </w:tc>
      </w:tr>
      <w:tr>
        <w:tc>
          <w:tcPr>
            <w:tcW w:type="dxa" w:w="2351"/>
            <w:shd w:val="clear" w:color="auto" w:fill="EEF3F9"/>
          </w:tcPr>
          <w:p>
            <w:r>
              <w:rPr>
                <w:sz w:val="18"/>
              </w:rPr>
              <w:t>3</w:t>
            </w:r>
          </w:p>
        </w:tc>
        <w:tc>
          <w:tcPr>
            <w:tcW w:type="dxa" w:w="2351"/>
            <w:shd w:val="clear" w:color="auto" w:fill="EEF3F9"/>
          </w:tcPr>
          <w:p>
            <w:r>
              <w:rPr>
                <w:b/>
                <w:sz w:val="18"/>
              </w:rPr>
              <w:t>Industrial-sugar quality/standards (standards)</w:t>
            </w:r>
          </w:p>
        </w:tc>
        <w:tc>
          <w:tcPr>
            <w:tcW w:type="dxa" w:w="2351"/>
            <w:shd w:val="clear" w:color="auto" w:fill="EEF3F9"/>
          </w:tcPr>
          <w:p>
            <w:r>
              <w:rPr>
                <w:b/>
                <w:sz w:val="18"/>
              </w:rPr>
              <w:t>3</w:t>
            </w:r>
          </w:p>
        </w:tc>
        <w:tc>
          <w:tcPr>
            <w:tcW w:type="dxa" w:w="2351"/>
            <w:shd w:val="clear" w:color="auto" w:fill="EEF3F9"/>
          </w:tcPr>
          <w:p>
            <w:r>
              <w:rPr>
                <w:sz w:val="18"/>
              </w:rPr>
              <w:t>Food/pharma buyers require industrial-grade specs (UNBS); current output mostly table grade</w:t>
            </w:r>
          </w:p>
        </w:tc>
      </w:tr>
      <w:tr>
        <w:tc>
          <w:tcPr>
            <w:tcW w:type="dxa" w:w="2351"/>
            <w:shd w:val="clear" w:color="auto" w:fill="FFFFFF"/>
          </w:tcPr>
          <w:p>
            <w:r>
              <w:rPr>
                <w:sz w:val="18"/>
              </w:rPr>
              <w:t>4</w:t>
            </w:r>
          </w:p>
        </w:tc>
        <w:tc>
          <w:tcPr>
            <w:tcW w:type="dxa" w:w="2351"/>
            <w:shd w:val="clear" w:color="auto" w:fill="FFFFFF"/>
          </w:tcPr>
          <w:p>
            <w:r>
              <w:rPr>
                <w:b/>
                <w:sz w:val="18"/>
              </w:rPr>
              <w:t>Grid feed-in for co-generation (policy/energy)</w:t>
            </w:r>
          </w:p>
        </w:tc>
        <w:tc>
          <w:tcPr>
            <w:tcW w:type="dxa" w:w="2351"/>
            <w:shd w:val="clear" w:color="auto" w:fill="FFFFFF"/>
          </w:tcPr>
          <w:p>
            <w:r>
              <w:rPr>
                <w:b/>
                <w:sz w:val="18"/>
              </w:rPr>
              <w:t>3</w:t>
            </w:r>
          </w:p>
        </w:tc>
        <w:tc>
          <w:tcPr>
            <w:tcW w:type="dxa" w:w="2351"/>
            <w:shd w:val="clear" w:color="auto" w:fill="FFFFFF"/>
          </w:tcPr>
          <w:p>
            <w:r>
              <w:rPr>
                <w:sz w:val="18"/>
              </w:rPr>
              <w:t>Bagasse power needs a clear feed-in/tariff framework to monetise</w:t>
            </w:r>
          </w:p>
        </w:tc>
      </w:tr>
      <w:tr>
        <w:tc>
          <w:tcPr>
            <w:tcW w:type="dxa" w:w="2351"/>
            <w:shd w:val="clear" w:color="auto" w:fill="EEF3F9"/>
          </w:tcPr>
          <w:p>
            <w:r>
              <w:rPr>
                <w:sz w:val="18"/>
              </w:rPr>
              <w:t>5</w:t>
            </w:r>
          </w:p>
        </w:tc>
        <w:tc>
          <w:tcPr>
            <w:tcW w:type="dxa" w:w="2351"/>
            <w:shd w:val="clear" w:color="auto" w:fill="EEF3F9"/>
          </w:tcPr>
          <w:p>
            <w:r>
              <w:rPr>
                <w:b/>
                <w:sz w:val="18"/>
              </w:rPr>
              <w:t>Distillery effluent (waste)</w:t>
            </w:r>
          </w:p>
        </w:tc>
        <w:tc>
          <w:tcPr>
            <w:tcW w:type="dxa" w:w="2351"/>
            <w:shd w:val="clear" w:color="auto" w:fill="EEF3F9"/>
          </w:tcPr>
          <w:p>
            <w:r>
              <w:rPr>
                <w:b/>
                <w:sz w:val="18"/>
              </w:rPr>
              <w:t>3</w:t>
            </w:r>
          </w:p>
        </w:tc>
        <w:tc>
          <w:tcPr>
            <w:tcW w:type="dxa" w:w="2351"/>
            <w:shd w:val="clear" w:color="auto" w:fill="EEF3F9"/>
          </w:tcPr>
          <w:p>
            <w:r>
              <w:rPr>
                <w:sz w:val="18"/>
              </w:rPr>
              <w:t>Vinasse and bagasse ash need management; also a circular-economy opportunity</w:t>
            </w:r>
          </w:p>
        </w:tc>
      </w:tr>
      <w:tr>
        <w:tc>
          <w:tcPr>
            <w:tcW w:type="dxa" w:w="2351"/>
            <w:shd w:val="clear" w:color="auto" w:fill="FFFFFF"/>
          </w:tcPr>
          <w:p>
            <w:r>
              <w:rPr>
                <w:sz w:val="18"/>
              </w:rPr>
              <w:t>6</w:t>
            </w:r>
          </w:p>
        </w:tc>
        <w:tc>
          <w:tcPr>
            <w:tcW w:type="dxa" w:w="2351"/>
            <w:shd w:val="clear" w:color="auto" w:fill="FFFFFF"/>
          </w:tcPr>
          <w:p>
            <w:r>
              <w:rPr>
                <w:b/>
                <w:sz w:val="18"/>
              </w:rPr>
              <w:t>Out-grower coordination &amp; cane quality (inputs)</w:t>
            </w:r>
          </w:p>
        </w:tc>
        <w:tc>
          <w:tcPr>
            <w:tcW w:type="dxa" w:w="2351"/>
            <w:shd w:val="clear" w:color="auto" w:fill="FFFFFF"/>
          </w:tcPr>
          <w:p>
            <w:r>
              <w:rPr>
                <w:b/>
                <w:sz w:val="18"/>
              </w:rPr>
              <w:t>2</w:t>
            </w:r>
          </w:p>
        </w:tc>
        <w:tc>
          <w:tcPr>
            <w:tcW w:type="dxa" w:w="2351"/>
            <w:shd w:val="clear" w:color="auto" w:fill="FFFFFF"/>
          </w:tcPr>
          <w:p>
            <w:r>
              <w:rPr>
                <w:sz w:val="18"/>
              </w:rPr>
              <w:t>Ample cane but variable quality and out-grower coordination</w:t>
            </w:r>
          </w:p>
        </w:tc>
      </w:tr>
      <w:tr>
        <w:tc>
          <w:tcPr>
            <w:tcW w:type="dxa" w:w="2351"/>
            <w:shd w:val="clear" w:color="auto" w:fill="EEF3F9"/>
          </w:tcPr>
          <w:p>
            <w:r>
              <w:rPr>
                <w:sz w:val="18"/>
              </w:rPr>
              <w:t>7</w:t>
            </w:r>
          </w:p>
        </w:tc>
        <w:tc>
          <w:tcPr>
            <w:tcW w:type="dxa" w:w="2351"/>
            <w:shd w:val="clear" w:color="auto" w:fill="EEF3F9"/>
          </w:tcPr>
          <w:p>
            <w:r>
              <w:rPr>
                <w:b/>
                <w:sz w:val="18"/>
              </w:rPr>
              <w:t>Skills (skills)</w:t>
            </w:r>
          </w:p>
        </w:tc>
        <w:tc>
          <w:tcPr>
            <w:tcW w:type="dxa" w:w="2351"/>
            <w:shd w:val="clear" w:color="auto" w:fill="EEF3F9"/>
          </w:tcPr>
          <w:p>
            <w:r>
              <w:rPr>
                <w:b/>
                <w:sz w:val="18"/>
              </w:rPr>
              <w:t>2</w:t>
            </w:r>
          </w:p>
        </w:tc>
        <w:tc>
          <w:tcPr>
            <w:tcW w:type="dxa" w:w="2351"/>
            <w:shd w:val="clear" w:color="auto" w:fill="EEF3F9"/>
          </w:tcPr>
          <w:p>
            <w:r>
              <w:rPr>
                <w:sz w:val="18"/>
              </w:rPr>
              <w:t>Food-technology/process skills for downstream diversification</w:t>
            </w:r>
          </w:p>
        </w:tc>
      </w:tr>
    </w:tbl>
    <w:p/>
    <w:p>
      <w:r>
        <w:t xml:space="preserve">The decisive lever is </w:t>
      </w:r>
      <w:r>
        <w:rPr>
          <w:b/>
        </w:rPr>
        <w:t>policy on over-supply</w:t>
      </w:r>
      <w:r>
        <w:t xml:space="preserve"> (discipline new raw-sugar licensing) paired with </w:t>
      </w:r>
      <w:r>
        <w:rPr>
          <w:b/>
        </w:rPr>
        <w:t>incentives to move downstream</w:t>
      </w:r>
      <w:r>
        <w:t xml:space="preserve"> (ethanol mandate, co-gen feed-in, industrial-sugar standards).</w:t>
      </w:r>
    </w:p>
    <w:p>
      <w:pPr>
        <w:pStyle w:val="Heading2"/>
      </w:pPr>
      <w:r>
        <w:t>7.E Greening &amp; Sustainability</w:t>
      </w:r>
    </w:p>
    <w:p>
      <w:r>
        <w:t xml:space="preserve">Sugar is potentially the </w:t>
      </w:r>
      <w:r>
        <w:rPr>
          <w:b/>
        </w:rPr>
        <w:t>greenest chain in the report</w:t>
      </w:r>
      <w:r>
        <w:t xml:space="preserve"> — its by-products are renewable energy and biofuel:</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Dimension</w:t>
            </w:r>
          </w:p>
        </w:tc>
        <w:tc>
          <w:tcPr>
            <w:tcW w:type="dxa" w:w="4703"/>
            <w:shd w:val="clear" w:color="auto" w:fill="002B5B"/>
          </w:tcPr>
          <w:p>
            <w:r>
              <w:rPr>
                <w:b/>
                <w:color w:val="FFFFFF"/>
                <w:sz w:val="18"/>
              </w:rPr>
              <w:t>Status / opportunity</w:t>
            </w:r>
          </w:p>
        </w:tc>
      </w:tr>
      <w:tr>
        <w:tc>
          <w:tcPr>
            <w:tcW w:type="dxa" w:w="4703"/>
            <w:shd w:val="clear" w:color="auto" w:fill="EEF3F9"/>
          </w:tcPr>
          <w:p>
            <w:r>
              <w:rPr>
                <w:b/>
                <w:sz w:val="18"/>
              </w:rPr>
              <w:t>Current status</w:t>
            </w:r>
          </w:p>
        </w:tc>
        <w:tc>
          <w:tcPr>
            <w:tcW w:type="dxa" w:w="4703"/>
            <w:shd w:val="clear" w:color="auto" w:fill="EEF3F9"/>
          </w:tcPr>
          <w:p>
            <w:r>
              <w:rPr>
                <w:sz w:val="18"/>
              </w:rPr>
              <w:t>Some bagasse co-generation and molasses-ethanol already exist; vinasse effluent is the main impact</w:t>
            </w:r>
          </w:p>
        </w:tc>
      </w:tr>
      <w:tr>
        <w:tc>
          <w:tcPr>
            <w:tcW w:type="dxa" w:w="4703"/>
            <w:shd w:val="clear" w:color="auto" w:fill="FFFFFF"/>
          </w:tcPr>
          <w:p>
            <w:r>
              <w:rPr>
                <w:b/>
                <w:sz w:val="18"/>
              </w:rPr>
              <w:t>Current solutions</w:t>
            </w:r>
          </w:p>
        </w:tc>
        <w:tc>
          <w:tcPr>
            <w:tcW w:type="dxa" w:w="4703"/>
            <w:shd w:val="clear" w:color="auto" w:fill="FFFFFF"/>
          </w:tcPr>
          <w:p>
            <w:r>
              <w:rPr>
                <w:sz w:val="18"/>
              </w:rPr>
              <w:t>Bagasse-to-grid co-generation (renewable power); molasses ethanol</w:t>
            </w:r>
          </w:p>
        </w:tc>
      </w:tr>
      <w:tr>
        <w:tc>
          <w:tcPr>
            <w:tcW w:type="dxa" w:w="4703"/>
            <w:shd w:val="clear" w:color="auto" w:fill="EEF3F9"/>
          </w:tcPr>
          <w:p>
            <w:r>
              <w:rPr>
                <w:b/>
                <w:sz w:val="18"/>
              </w:rPr>
              <w:t>Emerging solutions (competitiveness enablers)</w:t>
            </w:r>
          </w:p>
        </w:tc>
        <w:tc>
          <w:tcPr>
            <w:tcW w:type="dxa" w:w="4703"/>
            <w:shd w:val="clear" w:color="auto" w:fill="EEF3F9"/>
          </w:tcPr>
          <w:p>
            <w:r>
              <w:rPr>
                <w:sz w:val="18"/>
              </w:rPr>
              <w:t xml:space="preserve">(1) </w:t>
            </w:r>
            <w:r>
              <w:rPr>
                <w:b/>
                <w:sz w:val="18"/>
              </w:rPr>
              <w:t>Fuel-blending ethanol</w:t>
            </w:r>
            <w:r>
              <w:rPr>
                <w:sz w:val="18"/>
              </w:rPr>
              <w:t xml:space="preserve"> to decarbonise transport and cut fuel imports; (2) </w:t>
            </w:r>
            <w:r>
              <w:rPr>
                <w:b/>
                <w:sz w:val="18"/>
              </w:rPr>
              <w:t>expanded bagasse co-generation</w:t>
            </w:r>
            <w:r>
              <w:rPr>
                <w:sz w:val="18"/>
              </w:rPr>
              <w:t xml:space="preserve"> feeding renewable power to the grid; (3) </w:t>
            </w:r>
            <w:r>
              <w:rPr>
                <w:b/>
                <w:sz w:val="18"/>
              </w:rPr>
              <w:t>vinasse-to-biogas and bio-fertilizer</w:t>
            </w:r>
            <w:r>
              <w:rPr>
                <w:sz w:val="18"/>
              </w:rPr>
              <w:t xml:space="preserve"> (closes the loop, links to the Fertilizer chain); (4) </w:t>
            </w:r>
            <w:r>
              <w:rPr>
                <w:b/>
                <w:sz w:val="18"/>
              </w:rPr>
              <w:t>circular mill design</w:t>
            </w:r>
            <w:r>
              <w:rPr>
                <w:sz w:val="18"/>
              </w:rPr>
              <w:t xml:space="preserve"> (zero-waste)</w:t>
            </w:r>
          </w:p>
        </w:tc>
      </w:tr>
    </w:tbl>
    <w:p/>
    <w:p>
      <w:r>
        <w:rPr>
          <w:b/>
        </w:rPr>
        <w:t>Why it pays:</w:t>
      </w:r>
      <w:r>
        <w:t xml:space="preserve"> co-gen and ethanol turn waste streams into saleable energy and fuel, improving mill economics while delivering renewable power and lower transport emissions — green and profitable at once.</w:t>
      </w:r>
    </w:p>
    <w:p>
      <w:pPr>
        <w:pStyle w:val="Heading2"/>
      </w:pPr>
      <w:r>
        <w:t>7.F Prioritized Products — through the Tenfold Lens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02B5B"/>
          </w:tcPr>
          <w:p>
            <w:r>
              <w:rPr>
                <w:b/>
                <w:color w:val="FFFFFF"/>
                <w:sz w:val="18"/>
              </w:rPr>
              <w:t>Product / sub-sector</w:t>
            </w:r>
          </w:p>
        </w:tc>
        <w:tc>
          <w:tcPr>
            <w:tcW w:type="dxa" w:w="1176"/>
            <w:shd w:val="clear" w:color="auto" w:fill="002B5B"/>
          </w:tcPr>
          <w:p>
            <w:r>
              <w:rPr>
                <w:b/>
                <w:color w:val="FFFFFF"/>
                <w:sz w:val="18"/>
              </w:rPr>
              <w:t>Market</w:t>
            </w:r>
          </w:p>
        </w:tc>
        <w:tc>
          <w:tcPr>
            <w:tcW w:type="dxa" w:w="1176"/>
            <w:shd w:val="clear" w:color="auto" w:fill="002B5B"/>
          </w:tcPr>
          <w:p>
            <w:r>
              <w:rPr>
                <w:b/>
                <w:color w:val="FFFFFF"/>
                <w:sz w:val="18"/>
              </w:rPr>
              <w:t>Comp. adv.</w:t>
            </w:r>
          </w:p>
        </w:tc>
        <w:tc>
          <w:tcPr>
            <w:tcW w:type="dxa" w:w="1176"/>
            <w:shd w:val="clear" w:color="auto" w:fill="002B5B"/>
          </w:tcPr>
          <w:p>
            <w:r>
              <w:rPr>
                <w:b/>
                <w:color w:val="FFFFFF"/>
                <w:sz w:val="18"/>
              </w:rPr>
              <w:t>Feasibility</w:t>
            </w:r>
          </w:p>
        </w:tc>
        <w:tc>
          <w:tcPr>
            <w:tcW w:type="dxa" w:w="1176"/>
            <w:shd w:val="clear" w:color="auto" w:fill="002B5B"/>
          </w:tcPr>
          <w:p>
            <w:r>
              <w:rPr>
                <w:b/>
                <w:color w:val="FFFFFF"/>
                <w:sz w:val="18"/>
              </w:rPr>
              <w:t>Jobs</w:t>
            </w:r>
          </w:p>
        </w:tc>
        <w:tc>
          <w:tcPr>
            <w:tcW w:type="dxa" w:w="1176"/>
            <w:shd w:val="clear" w:color="auto" w:fill="002B5B"/>
          </w:tcPr>
          <w:p>
            <w:r>
              <w:rPr>
                <w:b/>
                <w:color w:val="FFFFFF"/>
                <w:sz w:val="18"/>
              </w:rPr>
              <w:t>Import subst.</w:t>
            </w:r>
          </w:p>
        </w:tc>
        <w:tc>
          <w:tcPr>
            <w:tcW w:type="dxa" w:w="1176"/>
            <w:shd w:val="clear" w:color="auto" w:fill="002B5B"/>
          </w:tcPr>
          <w:p>
            <w:r>
              <w:rPr>
                <w:b/>
                <w:color w:val="FFFFFF"/>
                <w:sz w:val="18"/>
              </w:rPr>
              <w:t>Green fit</w:t>
            </w:r>
          </w:p>
        </w:tc>
        <w:tc>
          <w:tcPr>
            <w:tcW w:type="dxa" w:w="1176"/>
            <w:shd w:val="clear" w:color="auto" w:fill="002B5B"/>
          </w:tcPr>
          <w:p>
            <w:r>
              <w:rPr>
                <w:b/>
                <w:color w:val="FFFFFF"/>
                <w:sz w:val="18"/>
              </w:rPr>
              <w:t>Priority</w:t>
            </w:r>
          </w:p>
        </w:tc>
      </w:tr>
      <w:tr>
        <w:tc>
          <w:tcPr>
            <w:tcW w:type="dxa" w:w="1176"/>
            <w:shd w:val="clear" w:color="auto" w:fill="EEF3F9"/>
          </w:tcPr>
          <w:p>
            <w:r>
              <w:rPr>
                <w:b/>
                <w:sz w:val="18"/>
              </w:rPr>
              <w:t>Industrial / refined sugar</w:t>
            </w:r>
          </w:p>
        </w:tc>
        <w:tc>
          <w:tcPr>
            <w:tcW w:type="dxa" w:w="1176"/>
            <w:shd w:val="clear" w:color="auto" w:fill="EEF3F9"/>
          </w:tcPr>
          <w:p>
            <w:r>
              <w:rPr>
                <w:sz w:val="18"/>
              </w:rPr>
              <w:t>High (USD 38m imports)</w:t>
            </w:r>
          </w:p>
        </w:tc>
        <w:tc>
          <w:tcPr>
            <w:tcW w:type="dxa" w:w="1176"/>
            <w:shd w:val="clear" w:color="auto" w:fill="EEF3F9"/>
          </w:tcPr>
          <w:p>
            <w:r>
              <w:rPr>
                <w:sz w:val="18"/>
              </w:rPr>
              <w:t>High (surplus cane)</w:t>
            </w:r>
          </w:p>
        </w:tc>
        <w:tc>
          <w:tcPr>
            <w:tcW w:type="dxa" w:w="1176"/>
            <w:shd w:val="clear" w:color="auto" w:fill="EEF3F9"/>
          </w:tcPr>
          <w:p>
            <w:r>
              <w:rPr>
                <w:sz w:val="18"/>
              </w:rPr>
              <w:t>High</w:t>
            </w:r>
          </w:p>
        </w:tc>
        <w:tc>
          <w:tcPr>
            <w:tcW w:type="dxa" w:w="1176"/>
            <w:shd w:val="clear" w:color="auto" w:fill="EEF3F9"/>
          </w:tcPr>
          <w:p>
            <w:r>
              <w:rPr>
                <w:sz w:val="18"/>
              </w:rPr>
              <w:t>Medium</w:t>
            </w:r>
          </w:p>
        </w:tc>
        <w:tc>
          <w:tcPr>
            <w:tcW w:type="dxa" w:w="1176"/>
            <w:shd w:val="clear" w:color="auto" w:fill="EEF3F9"/>
          </w:tcPr>
          <w:p>
            <w:r>
              <w:rPr>
                <w:sz w:val="18"/>
              </w:rPr>
              <w:t>High</w:t>
            </w:r>
          </w:p>
        </w:tc>
        <w:tc>
          <w:tcPr>
            <w:tcW w:type="dxa" w:w="1176"/>
            <w:shd w:val="clear" w:color="auto" w:fill="EEF3F9"/>
          </w:tcPr>
          <w:p>
            <w:r>
              <w:rPr>
                <w:sz w:val="18"/>
              </w:rPr>
              <w:t>Medium</w:t>
            </w:r>
          </w:p>
        </w:tc>
        <w:tc>
          <w:tcPr>
            <w:tcW w:type="dxa" w:w="1176"/>
            <w:shd w:val="clear" w:color="auto" w:fill="EEF3F9"/>
          </w:tcPr>
          <w:p>
            <w:r>
              <w:rPr>
                <w:b/>
                <w:sz w:val="18"/>
              </w:rPr>
              <w:t>Priority</w:t>
            </w:r>
          </w:p>
        </w:tc>
      </w:tr>
      <w:tr>
        <w:tc>
          <w:tcPr>
            <w:tcW w:type="dxa" w:w="1176"/>
            <w:shd w:val="clear" w:color="auto" w:fill="FFFFFF"/>
          </w:tcPr>
          <w:p>
            <w:r>
              <w:rPr>
                <w:b/>
                <w:sz w:val="18"/>
              </w:rPr>
              <w:t>Ethanol (fuel &amp; industrial)</w:t>
            </w:r>
          </w:p>
        </w:tc>
        <w:tc>
          <w:tcPr>
            <w:tcW w:type="dxa" w:w="1176"/>
            <w:shd w:val="clear" w:color="auto" w:fill="FFFFFF"/>
          </w:tcPr>
          <w:p>
            <w:r>
              <w:rPr>
                <w:sz w:val="18"/>
              </w:rPr>
              <w:t>High (blending, regional)</w:t>
            </w:r>
          </w:p>
        </w:tc>
        <w:tc>
          <w:tcPr>
            <w:tcW w:type="dxa" w:w="1176"/>
            <w:shd w:val="clear" w:color="auto" w:fill="FFFFFF"/>
          </w:tcPr>
          <w:p>
            <w:r>
              <w:rPr>
                <w:sz w:val="18"/>
              </w:rPr>
              <w:t>High (molasses)</w:t>
            </w:r>
          </w:p>
        </w:tc>
        <w:tc>
          <w:tcPr>
            <w:tcW w:type="dxa" w:w="1176"/>
            <w:shd w:val="clear" w:color="auto" w:fill="FFFFFF"/>
          </w:tcPr>
          <w:p>
            <w:r>
              <w:rPr>
                <w:sz w:val="18"/>
              </w:rPr>
              <w:t>High</w:t>
            </w:r>
          </w:p>
        </w:tc>
        <w:tc>
          <w:tcPr>
            <w:tcW w:type="dxa" w:w="1176"/>
            <w:shd w:val="clear" w:color="auto" w:fill="FFFFFF"/>
          </w:tcPr>
          <w:p>
            <w:r>
              <w:rPr>
                <w:sz w:val="18"/>
              </w:rPr>
              <w:t>Medium</w:t>
            </w:r>
          </w:p>
        </w:tc>
        <w:tc>
          <w:tcPr>
            <w:tcW w:type="dxa" w:w="1176"/>
            <w:shd w:val="clear" w:color="auto" w:fill="FFFFFF"/>
          </w:tcPr>
          <w:p>
            <w:r>
              <w:rPr>
                <w:sz w:val="18"/>
              </w:rPr>
              <w:t>High</w:t>
            </w:r>
          </w:p>
        </w:tc>
        <w:tc>
          <w:tcPr>
            <w:tcW w:type="dxa" w:w="1176"/>
            <w:shd w:val="clear" w:color="auto" w:fill="FFFFFF"/>
          </w:tcPr>
          <w:p>
            <w:r>
              <w:rPr>
                <w:sz w:val="18"/>
              </w:rPr>
              <w:t>High</w:t>
            </w:r>
          </w:p>
        </w:tc>
        <w:tc>
          <w:tcPr>
            <w:tcW w:type="dxa" w:w="1176"/>
            <w:shd w:val="clear" w:color="auto" w:fill="FFFFFF"/>
          </w:tcPr>
          <w:p>
            <w:r>
              <w:rPr>
                <w:b/>
                <w:sz w:val="18"/>
              </w:rPr>
              <w:t>Priority</w:t>
            </w:r>
          </w:p>
        </w:tc>
      </w:tr>
      <w:tr>
        <w:tc>
          <w:tcPr>
            <w:tcW w:type="dxa" w:w="1176"/>
            <w:shd w:val="clear" w:color="auto" w:fill="EEF3F9"/>
          </w:tcPr>
          <w:p>
            <w:r>
              <w:rPr>
                <w:b/>
                <w:sz w:val="18"/>
              </w:rPr>
              <w:t>Co-generation (bagasse to grid)</w:t>
            </w:r>
          </w:p>
        </w:tc>
        <w:tc>
          <w:tcPr>
            <w:tcW w:type="dxa" w:w="1176"/>
            <w:shd w:val="clear" w:color="auto" w:fill="EEF3F9"/>
          </w:tcPr>
          <w:p>
            <w:r>
              <w:rPr>
                <w:sz w:val="18"/>
              </w:rPr>
              <w:t>Medium–High</w:t>
            </w:r>
          </w:p>
        </w:tc>
        <w:tc>
          <w:tcPr>
            <w:tcW w:type="dxa" w:w="1176"/>
            <w:shd w:val="clear" w:color="auto" w:fill="EEF3F9"/>
          </w:tcPr>
          <w:p>
            <w:r>
              <w:rPr>
                <w:sz w:val="18"/>
              </w:rPr>
              <w:t>High (bagasse)</w:t>
            </w:r>
          </w:p>
        </w:tc>
        <w:tc>
          <w:tcPr>
            <w:tcW w:type="dxa" w:w="1176"/>
            <w:shd w:val="clear" w:color="auto" w:fill="EEF3F9"/>
          </w:tcPr>
          <w:p>
            <w:r>
              <w:rPr>
                <w:sz w:val="18"/>
              </w:rPr>
              <w:t>High</w:t>
            </w:r>
          </w:p>
        </w:tc>
        <w:tc>
          <w:tcPr>
            <w:tcW w:type="dxa" w:w="1176"/>
            <w:shd w:val="clear" w:color="auto" w:fill="EEF3F9"/>
          </w:tcPr>
          <w:p>
            <w:r>
              <w:rPr>
                <w:sz w:val="18"/>
              </w:rPr>
              <w:t>Low</w:t>
            </w:r>
          </w:p>
        </w:tc>
        <w:tc>
          <w:tcPr>
            <w:tcW w:type="dxa" w:w="1176"/>
            <w:shd w:val="clear" w:color="auto" w:fill="EEF3F9"/>
          </w:tcPr>
          <w:p>
            <w:r>
              <w:rPr>
                <w:sz w:val="18"/>
              </w:rPr>
              <w:t>Energy benefit</w:t>
            </w:r>
          </w:p>
        </w:tc>
        <w:tc>
          <w:tcPr>
            <w:tcW w:type="dxa" w:w="1176"/>
            <w:shd w:val="clear" w:color="auto" w:fill="EEF3F9"/>
          </w:tcPr>
          <w:p>
            <w:r>
              <w:rPr>
                <w:sz w:val="18"/>
              </w:rPr>
              <w:t>High</w:t>
            </w:r>
          </w:p>
        </w:tc>
        <w:tc>
          <w:tcPr>
            <w:tcW w:type="dxa" w:w="1176"/>
            <w:shd w:val="clear" w:color="auto" w:fill="EEF3F9"/>
          </w:tcPr>
          <w:p>
            <w:r>
              <w:rPr>
                <w:b/>
                <w:sz w:val="18"/>
              </w:rPr>
              <w:t>Priority</w:t>
            </w:r>
          </w:p>
        </w:tc>
      </w:tr>
      <w:tr>
        <w:tc>
          <w:tcPr>
            <w:tcW w:type="dxa" w:w="1176"/>
            <w:shd w:val="clear" w:color="auto" w:fill="FFFFFF"/>
          </w:tcPr>
          <w:p>
            <w:r>
              <w:rPr>
                <w:b/>
                <w:sz w:val="18"/>
              </w:rPr>
              <w:t>Confectionery</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sz w:val="18"/>
              </w:rPr>
              <w:t>High</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sz w:val="18"/>
              </w:rPr>
              <w:t>Conditional</w:t>
            </w:r>
          </w:p>
        </w:tc>
      </w:tr>
      <w:tr>
        <w:tc>
          <w:tcPr>
            <w:tcW w:type="dxa" w:w="1176"/>
            <w:shd w:val="clear" w:color="auto" w:fill="EEF3F9"/>
          </w:tcPr>
          <w:p>
            <w:r>
              <w:rPr>
                <w:sz w:val="18"/>
              </w:rPr>
              <w:t>Raw brown-sugar capacity expansion</w:t>
            </w:r>
          </w:p>
        </w:tc>
        <w:tc>
          <w:tcPr>
            <w:tcW w:type="dxa" w:w="1176"/>
            <w:shd w:val="clear" w:color="auto" w:fill="EEF3F9"/>
          </w:tcPr>
          <w:p>
            <w:r>
              <w:rPr>
                <w:sz w:val="18"/>
              </w:rPr>
              <w:t>Low (surplus)</w:t>
            </w:r>
          </w:p>
        </w:tc>
        <w:tc>
          <w:tcPr>
            <w:tcW w:type="dxa" w:w="1176"/>
            <w:shd w:val="clear" w:color="auto" w:fill="EEF3F9"/>
          </w:tcPr>
          <w:p>
            <w:r>
              <w:rPr>
                <w:sz w:val="18"/>
              </w:rPr>
              <w:t>—</w:t>
            </w:r>
          </w:p>
        </w:tc>
        <w:tc>
          <w:tcPr>
            <w:tcW w:type="dxa" w:w="1176"/>
            <w:shd w:val="clear" w:color="auto" w:fill="EEF3F9"/>
          </w:tcPr>
          <w:p>
            <w:r>
              <w:rPr>
                <w:sz w:val="18"/>
              </w:rPr>
              <w:t>—</w:t>
            </w:r>
          </w:p>
        </w:tc>
        <w:tc>
          <w:tcPr>
            <w:tcW w:type="dxa" w:w="1176"/>
            <w:shd w:val="clear" w:color="auto" w:fill="EEF3F9"/>
          </w:tcPr>
          <w:p>
            <w:r>
              <w:rPr>
                <w:sz w:val="18"/>
              </w:rPr>
              <w:t>—</w:t>
            </w:r>
          </w:p>
        </w:tc>
        <w:tc>
          <w:tcPr>
            <w:tcW w:type="dxa" w:w="1176"/>
            <w:shd w:val="clear" w:color="auto" w:fill="EEF3F9"/>
          </w:tcPr>
          <w:p>
            <w:r>
              <w:rPr>
                <w:sz w:val="18"/>
              </w:rPr>
              <w:t>—</w:t>
            </w:r>
          </w:p>
        </w:tc>
        <w:tc>
          <w:tcPr>
            <w:tcW w:type="dxa" w:w="1176"/>
            <w:shd w:val="clear" w:color="auto" w:fill="EEF3F9"/>
          </w:tcPr>
          <w:p>
            <w:r>
              <w:rPr>
                <w:sz w:val="18"/>
              </w:rPr>
              <w:t>—</w:t>
            </w:r>
          </w:p>
        </w:tc>
        <w:tc>
          <w:tcPr>
            <w:tcW w:type="dxa" w:w="1176"/>
            <w:shd w:val="clear" w:color="auto" w:fill="EEF3F9"/>
          </w:tcPr>
          <w:p>
            <w:r>
              <w:rPr>
                <w:sz w:val="18"/>
              </w:rPr>
              <w:t>Deprioritize</w:t>
            </w:r>
          </w:p>
        </w:tc>
      </w:tr>
    </w:tbl>
    <w:p/>
    <w:p>
      <w:r>
        <w:rPr>
          <w:b/>
        </w:rPr>
        <w:t>The three priorities for Sugar &amp; Confectionery:</w:t>
      </w:r>
    </w:p>
    <w:p>
      <w:pPr>
        <w:pStyle w:val="ListNumber"/>
      </w:pPr>
      <w:r>
        <w:rPr>
          <w:b/>
        </w:rPr>
        <w:t>Industrial/refined sugar</w:t>
      </w:r>
      <w:r>
        <w:t xml:space="preserve"> — substitute the USD 38m import line using surplus domestic cane; serves beverages, food processing and pharmaceuticals.</w:t>
      </w:r>
    </w:p>
    <w:p>
      <w:pPr>
        <w:pStyle w:val="ListNumber"/>
      </w:pPr>
      <w:r>
        <w:rPr>
          <w:b/>
        </w:rPr>
        <w:t>Ethanol</w:t>
      </w:r>
      <w:r>
        <w:t xml:space="preserve"> — convert molasses surplus into fuel-blending ethanol (energy security, decarbonisation) and industrial alcohol, with strong regional demand.</w:t>
      </w:r>
    </w:p>
    <w:p>
      <w:pPr>
        <w:pStyle w:val="ListNumber"/>
      </w:pPr>
      <w:r>
        <w:rPr>
          <w:b/>
        </w:rPr>
        <w:t>Co-generation</w:t>
      </w:r>
      <w:r>
        <w:t xml:space="preserve"> — monetise bagasse as renewable grid electricity, improving mill economics.</w:t>
      </w:r>
    </w:p>
    <w:p>
      <w:r>
        <w:rPr>
          <w:b/>
        </w:rPr>
        <w:t>Explicit deprioritization.</w:t>
      </w:r>
      <w:r>
        <w:t xml:space="preserve"> Uganda should </w:t>
      </w:r>
      <w:r>
        <w:rPr>
          <w:b/>
        </w:rPr>
        <w:t>not</w:t>
      </w:r>
      <w:r>
        <w:t xml:space="preserve"> license or expand additional raw </w:t>
      </w:r>
      <w:r>
        <w:rPr>
          <w:b/>
        </w:rPr>
        <w:t>brown-sugar</w:t>
      </w:r>
      <w:r>
        <w:t xml:space="preserve"> capacity — the sector is already in surplus and over-supply is depressing prices. The strategic move is </w:t>
      </w:r>
      <w:r>
        <w:rPr>
          <w:b/>
        </w:rPr>
        <w:t>downstream, not more raw sugar.</w:t>
      </w:r>
    </w:p>
    <w:p>
      <w:pPr>
        <w:pStyle w:val="Heading2"/>
      </w:pPr>
      <w:r>
        <w:t>7.G Project Profiles</w:t>
      </w:r>
    </w:p>
    <w:p>
      <w:r>
        <w:rPr>
          <w:b/>
        </w:rPr>
        <w:t>P1 — Ethanol distillery + fuel-blending programme (strategic + green).</w:t>
      </w:r>
    </w:p>
    <w:p>
      <w:pPr>
        <w:pStyle w:val="ListBullet"/>
      </w:pPr>
      <w:r>
        <w:rPr>
          <w:i/>
        </w:rPr>
        <w:t>Strategic:</w:t>
      </w:r>
      <w:r>
        <w:t xml:space="preserve"> absorbs molasses surplus; energy security; regional ethanol demand.</w:t>
      </w:r>
    </w:p>
    <w:p>
      <w:pPr>
        <w:pStyle w:val="ListBullet"/>
      </w:pPr>
      <w:r>
        <w:rPr>
          <w:i/>
        </w:rPr>
        <w:t>Quick-win element:</w:t>
      </w:r>
      <w:r>
        <w:t xml:space="preserve"> a fuel-blending mandate creates instant guaranteed demand.</w:t>
      </w:r>
    </w:p>
    <w:p>
      <w:pPr>
        <w:pStyle w:val="ListBullet"/>
      </w:pPr>
      <w:r>
        <w:rPr>
          <w:i/>
        </w:rPr>
        <w:t>Green:</w:t>
      </w:r>
      <w:r>
        <w:t xml:space="preserve"> biofuel displacing imported petrol; vinasse-to-biogas.</w:t>
      </w:r>
    </w:p>
    <w:p>
      <w:r>
        <w:rPr>
          <w:b/>
        </w:rPr>
        <w:t>P2 — Industrial-sugar refining (strategic, import-substitution).</w:t>
      </w:r>
    </w:p>
    <w:p>
      <w:pPr>
        <w:pStyle w:val="ListBullet"/>
      </w:pPr>
      <w:r>
        <w:rPr>
          <w:i/>
        </w:rPr>
        <w:t>Strategic:</w:t>
      </w:r>
      <w:r>
        <w:t xml:space="preserve"> substitutes the USD 38m industrial-sugar import line for food/beverage/pharma.</w:t>
      </w:r>
    </w:p>
    <w:p>
      <w:pPr>
        <w:pStyle w:val="ListBullet"/>
      </w:pPr>
      <w:r>
        <w:rPr>
          <w:i/>
        </w:rPr>
        <w:t>Quick-win element:</w:t>
      </w:r>
      <w:r>
        <w:t xml:space="preserve"> build on existing mills (Kinyara) and surplus cane.</w:t>
      </w:r>
    </w:p>
    <w:p>
      <w:pPr>
        <w:pStyle w:val="ListBullet"/>
      </w:pPr>
      <w:r>
        <w:rPr>
          <w:i/>
        </w:rPr>
        <w:t>Green:</w:t>
      </w:r>
      <w:r>
        <w:t xml:space="preserve"> co-located with co-gen for renewable process power.</w:t>
      </w:r>
    </w:p>
    <w:p>
      <w:r>
        <w:rPr>
          <w:b/>
        </w:rPr>
        <w:t>P3 — Bagasse co-generation expansion (green + quick win).</w:t>
      </w:r>
    </w:p>
    <w:p>
      <w:pPr>
        <w:pStyle w:val="ListBullet"/>
      </w:pPr>
      <w:r>
        <w:rPr>
          <w:i/>
        </w:rPr>
        <w:t>Strategic:</w:t>
      </w:r>
      <w:r>
        <w:t xml:space="preserve"> renewable grid power + better mill economics.</w:t>
      </w:r>
    </w:p>
    <w:p>
      <w:pPr>
        <w:pStyle w:val="ListBullet"/>
      </w:pPr>
      <w:r>
        <w:rPr>
          <w:i/>
        </w:rPr>
        <w:t>Quick-win element:</w:t>
      </w:r>
      <w:r>
        <w:t xml:space="preserve"> needs mainly a clear feed-in framework.</w:t>
      </w:r>
    </w:p>
    <w:p>
      <w:pPr>
        <w:pStyle w:val="ListBullet"/>
      </w:pPr>
      <w:r>
        <w:rPr>
          <w:i/>
        </w:rPr>
        <w:t>Green:</w:t>
      </w:r>
      <w:r>
        <w:t xml:space="preserve"> renewable electricity from a waste stream.</w:t>
      </w:r>
    </w:p>
    <w:p>
      <w:pPr>
        <w:pStyle w:val="Heading2"/>
      </w:pPr>
      <w:r>
        <w:t>7.H Priority Action Matrix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Timeframe</w:t>
            </w:r>
          </w:p>
        </w:tc>
        <w:tc>
          <w:tcPr>
            <w:tcW w:type="dxa" w:w="2351"/>
            <w:shd w:val="clear" w:color="auto" w:fill="002B5B"/>
          </w:tcPr>
          <w:p>
            <w:r>
              <w:rPr>
                <w:b/>
                <w:color w:val="FFFFFF"/>
                <w:sz w:val="18"/>
              </w:rPr>
              <w:t>Action</w:t>
            </w:r>
          </w:p>
        </w:tc>
        <w:tc>
          <w:tcPr>
            <w:tcW w:type="dxa" w:w="2351"/>
            <w:shd w:val="clear" w:color="auto" w:fill="002B5B"/>
          </w:tcPr>
          <w:p>
            <w:r>
              <w:rPr>
                <w:b/>
                <w:color w:val="FFFFFF"/>
                <w:sz w:val="18"/>
              </w:rPr>
              <w:t>Lead</w:t>
            </w:r>
          </w:p>
        </w:tc>
        <w:tc>
          <w:tcPr>
            <w:tcW w:type="dxa" w:w="2351"/>
            <w:shd w:val="clear" w:color="auto" w:fill="002B5B"/>
          </w:tcPr>
          <w:p>
            <w:r>
              <w:rPr>
                <w:b/>
                <w:color w:val="FFFFFF"/>
                <w:sz w:val="18"/>
              </w:rPr>
              <w:t>Indicative cost</w:t>
            </w:r>
          </w:p>
        </w:tc>
      </w:tr>
      <w:tr>
        <w:tc>
          <w:tcPr>
            <w:tcW w:type="dxa" w:w="2351"/>
            <w:shd w:val="clear" w:color="auto" w:fill="EEF3F9"/>
          </w:tcPr>
          <w:p>
            <w:r>
              <w:rPr>
                <w:b/>
                <w:sz w:val="18"/>
              </w:rPr>
              <w:t>Quick win (0–12m)</w:t>
            </w:r>
          </w:p>
        </w:tc>
        <w:tc>
          <w:tcPr>
            <w:tcW w:type="dxa" w:w="2351"/>
            <w:shd w:val="clear" w:color="auto" w:fill="EEF3F9"/>
          </w:tcPr>
          <w:p>
            <w:r>
              <w:rPr>
                <w:sz w:val="18"/>
              </w:rPr>
              <w:t>Licensing/zoning discipline on new raw-sugar mills to stabilise the surplus</w:t>
            </w:r>
          </w:p>
        </w:tc>
        <w:tc>
          <w:tcPr>
            <w:tcW w:type="dxa" w:w="2351"/>
            <w:shd w:val="clear" w:color="auto" w:fill="EEF3F9"/>
          </w:tcPr>
          <w:p>
            <w:r>
              <w:rPr>
                <w:sz w:val="18"/>
              </w:rPr>
              <w:t>MTIC, Sugar Board</w:t>
            </w:r>
          </w:p>
        </w:tc>
        <w:tc>
          <w:tcPr>
            <w:tcW w:type="dxa" w:w="2351"/>
            <w:shd w:val="clear" w:color="auto" w:fill="EEF3F9"/>
          </w:tcPr>
          <w:p>
            <w:r>
              <w:rPr>
                <w:sz w:val="18"/>
              </w:rPr>
              <w:t>Low (policy)</w:t>
            </w:r>
          </w:p>
        </w:tc>
      </w:tr>
      <w:tr>
        <w:tc>
          <w:tcPr>
            <w:tcW w:type="dxa" w:w="2351"/>
            <w:shd w:val="clear" w:color="auto" w:fill="FFFFFF"/>
          </w:tcPr>
          <w:p>
            <w:r>
              <w:rPr>
                <w:sz w:val="18"/>
              </w:rPr>
              <w:t>Quick win (0–12m)</w:t>
            </w:r>
          </w:p>
        </w:tc>
        <w:tc>
          <w:tcPr>
            <w:tcW w:type="dxa" w:w="2351"/>
            <w:shd w:val="clear" w:color="auto" w:fill="FFFFFF"/>
          </w:tcPr>
          <w:p>
            <w:r>
              <w:rPr>
                <w:sz w:val="18"/>
              </w:rPr>
              <w:t>Ethanol fuel-blending mandate to create guaranteed ethanol demand</w:t>
            </w:r>
          </w:p>
        </w:tc>
        <w:tc>
          <w:tcPr>
            <w:tcW w:type="dxa" w:w="2351"/>
            <w:shd w:val="clear" w:color="auto" w:fill="FFFFFF"/>
          </w:tcPr>
          <w:p>
            <w:r>
              <w:rPr>
                <w:sz w:val="18"/>
              </w:rPr>
              <w:t>MEMD, MTIC</w:t>
            </w:r>
          </w:p>
        </w:tc>
        <w:tc>
          <w:tcPr>
            <w:tcW w:type="dxa" w:w="2351"/>
            <w:shd w:val="clear" w:color="auto" w:fill="FFFFFF"/>
          </w:tcPr>
          <w:p>
            <w:r>
              <w:rPr>
                <w:sz w:val="18"/>
              </w:rPr>
              <w:t>Low (policy)</w:t>
            </w:r>
          </w:p>
        </w:tc>
      </w:tr>
      <w:tr>
        <w:tc>
          <w:tcPr>
            <w:tcW w:type="dxa" w:w="2351"/>
            <w:shd w:val="clear" w:color="auto" w:fill="EEF3F9"/>
          </w:tcPr>
          <w:p>
            <w:r>
              <w:rPr>
                <w:b/>
                <w:sz w:val="18"/>
              </w:rPr>
              <w:t>Reform (1–3y)</w:t>
            </w:r>
          </w:p>
        </w:tc>
        <w:tc>
          <w:tcPr>
            <w:tcW w:type="dxa" w:w="2351"/>
            <w:shd w:val="clear" w:color="auto" w:fill="EEF3F9"/>
          </w:tcPr>
          <w:p>
            <w:r>
              <w:rPr>
                <w:sz w:val="18"/>
              </w:rPr>
              <w:t>Industrial-sugar quality/standards alignment for food &amp; pharma buyers</w:t>
            </w:r>
          </w:p>
        </w:tc>
        <w:tc>
          <w:tcPr>
            <w:tcW w:type="dxa" w:w="2351"/>
            <w:shd w:val="clear" w:color="auto" w:fill="EEF3F9"/>
          </w:tcPr>
          <w:p>
            <w:r>
              <w:rPr>
                <w:sz w:val="18"/>
              </w:rPr>
              <w:t>UNBS, MTIC</w:t>
            </w:r>
          </w:p>
        </w:tc>
        <w:tc>
          <w:tcPr>
            <w:tcW w:type="dxa" w:w="2351"/>
            <w:shd w:val="clear" w:color="auto" w:fill="EEF3F9"/>
          </w:tcPr>
          <w:p>
            <w:r>
              <w:rPr>
                <w:sz w:val="18"/>
              </w:rPr>
              <w:t>Low–Medium</w:t>
            </w:r>
          </w:p>
        </w:tc>
      </w:tr>
      <w:tr>
        <w:tc>
          <w:tcPr>
            <w:tcW w:type="dxa" w:w="2351"/>
            <w:shd w:val="clear" w:color="auto" w:fill="FFFFFF"/>
          </w:tcPr>
          <w:p>
            <w:r>
              <w:rPr>
                <w:sz w:val="18"/>
              </w:rPr>
              <w:t>Reform (1–3y)</w:t>
            </w:r>
          </w:p>
        </w:tc>
        <w:tc>
          <w:tcPr>
            <w:tcW w:type="dxa" w:w="2351"/>
            <w:shd w:val="clear" w:color="auto" w:fill="FFFFFF"/>
          </w:tcPr>
          <w:p>
            <w:r>
              <w:rPr>
                <w:sz w:val="18"/>
              </w:rPr>
              <w:t>Grid feed-in framework for bagasse co-generation</w:t>
            </w:r>
          </w:p>
        </w:tc>
        <w:tc>
          <w:tcPr>
            <w:tcW w:type="dxa" w:w="2351"/>
            <w:shd w:val="clear" w:color="auto" w:fill="FFFFFF"/>
          </w:tcPr>
          <w:p>
            <w:r>
              <w:rPr>
                <w:sz w:val="18"/>
              </w:rPr>
              <w:t>ERA, MEMD</w:t>
            </w:r>
          </w:p>
        </w:tc>
        <w:tc>
          <w:tcPr>
            <w:tcW w:type="dxa" w:w="2351"/>
            <w:shd w:val="clear" w:color="auto" w:fill="FFFFFF"/>
          </w:tcPr>
          <w:p>
            <w:r>
              <w:rPr>
                <w:sz w:val="18"/>
              </w:rPr>
              <w:t>Medium</w:t>
            </w:r>
          </w:p>
        </w:tc>
      </w:tr>
      <w:tr>
        <w:tc>
          <w:tcPr>
            <w:tcW w:type="dxa" w:w="2351"/>
            <w:shd w:val="clear" w:color="auto" w:fill="EEF3F9"/>
          </w:tcPr>
          <w:p>
            <w:r>
              <w:rPr>
                <w:b/>
                <w:sz w:val="18"/>
              </w:rPr>
              <w:t>Investment (3–5y)</w:t>
            </w:r>
          </w:p>
        </w:tc>
        <w:tc>
          <w:tcPr>
            <w:tcW w:type="dxa" w:w="2351"/>
            <w:shd w:val="clear" w:color="auto" w:fill="EEF3F9"/>
          </w:tcPr>
          <w:p>
            <w:r>
              <w:rPr>
                <w:sz w:val="18"/>
              </w:rPr>
              <w:t>Industrial-sugar refining &amp; ethanol distillery capacity</w:t>
            </w:r>
          </w:p>
        </w:tc>
        <w:tc>
          <w:tcPr>
            <w:tcW w:type="dxa" w:w="2351"/>
            <w:shd w:val="clear" w:color="auto" w:fill="EEF3F9"/>
          </w:tcPr>
          <w:p>
            <w:r>
              <w:rPr>
                <w:sz w:val="18"/>
              </w:rPr>
              <w:t>Private-led</w:t>
            </w:r>
          </w:p>
        </w:tc>
        <w:tc>
          <w:tcPr>
            <w:tcW w:type="dxa" w:w="2351"/>
            <w:shd w:val="clear" w:color="auto" w:fill="EEF3F9"/>
          </w:tcPr>
          <w:p>
            <w:r>
              <w:rPr>
                <w:sz w:val="18"/>
              </w:rPr>
              <w:t>Indicative (see Ch.11)</w:t>
            </w:r>
          </w:p>
        </w:tc>
      </w:tr>
      <w:tr>
        <w:tc>
          <w:tcPr>
            <w:tcW w:type="dxa" w:w="2351"/>
            <w:shd w:val="clear" w:color="auto" w:fill="FFFFFF"/>
          </w:tcPr>
          <w:p>
            <w:r>
              <w:rPr>
                <w:sz w:val="18"/>
              </w:rPr>
              <w:t>Investment (3–5y)</w:t>
            </w:r>
          </w:p>
        </w:tc>
        <w:tc>
          <w:tcPr>
            <w:tcW w:type="dxa" w:w="2351"/>
            <w:shd w:val="clear" w:color="auto" w:fill="FFFFFF"/>
          </w:tcPr>
          <w:p>
            <w:r>
              <w:rPr>
                <w:sz w:val="18"/>
              </w:rPr>
              <w:t>Confectionery manufacturing</w:t>
            </w:r>
          </w:p>
        </w:tc>
        <w:tc>
          <w:tcPr>
            <w:tcW w:type="dxa" w:w="2351"/>
            <w:shd w:val="clear" w:color="auto" w:fill="FFFFFF"/>
          </w:tcPr>
          <w:p>
            <w:r>
              <w:rPr>
                <w:sz w:val="18"/>
              </w:rPr>
              <w:t>Private-led</w:t>
            </w:r>
          </w:p>
        </w:tc>
        <w:tc>
          <w:tcPr>
            <w:tcW w:type="dxa" w:w="2351"/>
            <w:shd w:val="clear" w:color="auto" w:fill="FFFFFF"/>
          </w:tcPr>
          <w:p>
            <w:r>
              <w:rPr>
                <w:sz w:val="18"/>
              </w:rPr>
              <w:t>Indicative (see Ch.11)</w:t>
            </w:r>
          </w:p>
        </w:tc>
      </w:tr>
    </w:tbl>
    <w:p/>
    <w:p>
      <w:r>
        <w:rPr>
          <w:i/>
        </w:rPr>
        <w:t>Sources for this chapter are listed in the consolidated References at the end of this report.</w:t>
      </w:r>
    </w:p>
    <w:p>
      <w:r>
        <w:br w:type="page"/>
      </w:r>
    </w:p>
    <w:p>
      <w:pPr>
        <w:pStyle w:val="Heading1"/>
      </w:pPr>
      <w:r>
        <w:t>Chapter 8: Plastics &amp; Packaging Value Chain</w:t>
      </w:r>
    </w:p>
    <w:p>
      <w:r>
        <w:rPr>
          <w:b/>
        </w:rPr>
        <w:t>Report:</w:t>
      </w:r>
      <w:r>
        <w:t xml:space="preserve"> Report 2 — Textiles &amp; Garments, Pharmaceuticals, Petrochemicals &amp; Fertilizers, Sugar &amp; Confectionery, Plastics &amp; Packaging, and Cement &amp; Building Materials Value Chains</w:t>
      </w:r>
    </w:p>
    <w:p>
      <w:r>
        <w:rPr>
          <w:b/>
        </w:rPr>
        <w:t>Status:</w:t>
      </w:r>
      <w:r>
        <w:t xml:space="preserve"> Draft for validation</w:t>
      </w:r>
    </w:p>
    <w:p>
      <w:r>
        <w:rPr>
          <w:b/>
        </w:rPr>
        <w:t>Primary data source:</w:t>
      </w:r>
      <w:r>
        <w:t xml:space="preserve"> Technical Working Group (TWG) engagements with MTIC sector experts (primary); NEMA </w:t>
      </w:r>
      <w:r>
        <w:rPr>
          <w:i/>
        </w:rPr>
        <w:t>National Strategy for Plastics Circularity 2023–2028</w:t>
      </w:r>
      <w:r>
        <w:t>; UNBS certified-manufacturer registers; UBOS; ITC TradeMap (2024). Full sources are in the consolidated References at the end of this report.</w:t>
      </w:r>
    </w:p>
    <w:p>
      <w:pPr>
        <w:pStyle w:val="Heading2"/>
      </w:pPr>
      <w:r>
        <w:t>8.0 Why Plastics &amp; Packaging Matters for the Tenfold Growth Strategy</w:t>
      </w:r>
    </w:p>
    <w:p>
      <w:r>
        <w:t xml:space="preserve">Packaging is an enabling industry for </w:t>
      </w:r>
      <w:r>
        <w:rPr>
          <w:i/>
        </w:rPr>
        <w:t>every other</w:t>
      </w:r>
      <w:r>
        <w:t xml:space="preserve"> manufacturing chain — food, beverages, sugar, fertilizer, cement and pharmaceuticals all need it. A ten-times-larger manufacturing economy needs a ten-times-larger packaging base, and it cannot be built on 100% imported resin and imported finished packaging. The tenfold play here is twofold: </w:t>
      </w:r>
      <w:r>
        <w:rPr>
          <w:b/>
        </w:rPr>
        <w:t>substitute the packaging import bill with higher-value domestic conversion</w:t>
      </w:r>
      <w:r>
        <w:t xml:space="preserve">, and </w:t>
      </w:r>
      <w:r>
        <w:rPr>
          <w:b/>
        </w:rPr>
        <w:t>build circularity</w:t>
      </w:r>
      <w:r>
        <w:t xml:space="preserve"> — turning Uganda's large plastic-waste stream into domestic feedstock — so growth does not mean proportionally more pollution. The 2025 move toward a single-use-bag ban reshapes the sector toward exactly this: recycled content, durable packaging, and alternatives.</w:t>
      </w:r>
    </w:p>
    <w:p>
      <w:pPr>
        <w:pStyle w:val="Heading2"/>
      </w:pPr>
      <w:r>
        <w:t>8.A Value Chain Map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02B5B"/>
          </w:tcPr>
          <w:p>
            <w:r>
              <w:rPr>
                <w:b/>
                <w:color w:val="FFFFFF"/>
                <w:sz w:val="18"/>
              </w:rPr>
              <w:t>Phase</w:t>
            </w:r>
          </w:p>
        </w:tc>
        <w:tc>
          <w:tcPr>
            <w:tcW w:type="dxa" w:w="1881"/>
            <w:shd w:val="clear" w:color="auto" w:fill="002B5B"/>
          </w:tcPr>
          <w:p>
            <w:r>
              <w:rPr>
                <w:b/>
                <w:color w:val="FFFFFF"/>
                <w:sz w:val="18"/>
              </w:rPr>
              <w:t>Activity</w:t>
            </w:r>
          </w:p>
        </w:tc>
        <w:tc>
          <w:tcPr>
            <w:tcW w:type="dxa" w:w="1881"/>
            <w:shd w:val="clear" w:color="auto" w:fill="002B5B"/>
          </w:tcPr>
          <w:p>
            <w:r>
              <w:rPr>
                <w:b/>
                <w:color w:val="FFFFFF"/>
                <w:sz w:val="18"/>
              </w:rPr>
              <w:t>Main inputs</w:t>
            </w:r>
          </w:p>
        </w:tc>
        <w:tc>
          <w:tcPr>
            <w:tcW w:type="dxa" w:w="1881"/>
            <w:shd w:val="clear" w:color="auto" w:fill="002B5B"/>
          </w:tcPr>
          <w:p>
            <w:r>
              <w:rPr>
                <w:b/>
                <w:color w:val="FFFFFF"/>
                <w:sz w:val="18"/>
              </w:rPr>
              <w:t>Output</w:t>
            </w:r>
          </w:p>
        </w:tc>
        <w:tc>
          <w:tcPr>
            <w:tcW w:type="dxa" w:w="1881"/>
            <w:shd w:val="clear" w:color="auto" w:fill="002B5B"/>
          </w:tcPr>
          <w:p>
            <w:r>
              <w:rPr>
                <w:b/>
                <w:color w:val="FFFFFF"/>
                <w:sz w:val="18"/>
              </w:rPr>
              <w:t>Uganda's position</w:t>
            </w:r>
          </w:p>
        </w:tc>
      </w:tr>
      <w:tr>
        <w:tc>
          <w:tcPr>
            <w:tcW w:type="dxa" w:w="1881"/>
            <w:shd w:val="clear" w:color="auto" w:fill="EEF3F9"/>
          </w:tcPr>
          <w:p>
            <w:r>
              <w:rPr>
                <w:sz w:val="18"/>
              </w:rPr>
              <w:t>I</w:t>
            </w:r>
          </w:p>
        </w:tc>
        <w:tc>
          <w:tcPr>
            <w:tcW w:type="dxa" w:w="1881"/>
            <w:shd w:val="clear" w:color="auto" w:fill="EEF3F9"/>
          </w:tcPr>
          <w:p>
            <w:r>
              <w:rPr>
                <w:sz w:val="18"/>
              </w:rPr>
              <w:t>Resin / feedstock</w:t>
            </w:r>
          </w:p>
        </w:tc>
        <w:tc>
          <w:tcPr>
            <w:tcW w:type="dxa" w:w="1881"/>
            <w:shd w:val="clear" w:color="auto" w:fill="EEF3F9"/>
          </w:tcPr>
          <w:p>
            <w:r>
              <w:rPr>
                <w:sz w:val="18"/>
              </w:rPr>
              <w:t>Petrochemicals (imported)</w:t>
            </w:r>
          </w:p>
        </w:tc>
        <w:tc>
          <w:tcPr>
            <w:tcW w:type="dxa" w:w="1881"/>
            <w:shd w:val="clear" w:color="auto" w:fill="EEF3F9"/>
          </w:tcPr>
          <w:p>
            <w:r>
              <w:rPr>
                <w:sz w:val="18"/>
              </w:rPr>
              <w:t>PE, PP, PET, PVC resin</w:t>
            </w:r>
          </w:p>
        </w:tc>
        <w:tc>
          <w:tcPr>
            <w:tcW w:type="dxa" w:w="1881"/>
            <w:shd w:val="clear" w:color="auto" w:fill="EEF3F9"/>
          </w:tcPr>
          <w:p>
            <w:r>
              <w:rPr>
                <w:b/>
                <w:sz w:val="18"/>
              </w:rPr>
              <w:t>Gap</w:t>
            </w:r>
            <w:r>
              <w:rPr>
                <w:sz w:val="18"/>
              </w:rPr>
              <w:t xml:space="preserve"> — all imported (until Ch.6 park)</w:t>
            </w:r>
          </w:p>
        </w:tc>
      </w:tr>
      <w:tr>
        <w:tc>
          <w:tcPr>
            <w:tcW w:type="dxa" w:w="1881"/>
            <w:shd w:val="clear" w:color="auto" w:fill="FFFFFF"/>
          </w:tcPr>
          <w:p>
            <w:r>
              <w:rPr>
                <w:sz w:val="18"/>
              </w:rPr>
              <w:t>II</w:t>
            </w:r>
          </w:p>
        </w:tc>
        <w:tc>
          <w:tcPr>
            <w:tcW w:type="dxa" w:w="1881"/>
            <w:shd w:val="clear" w:color="auto" w:fill="FFFFFF"/>
          </w:tcPr>
          <w:p>
            <w:r>
              <w:rPr>
                <w:sz w:val="18"/>
              </w:rPr>
              <w:t>Conversion</w:t>
            </w:r>
          </w:p>
        </w:tc>
        <w:tc>
          <w:tcPr>
            <w:tcW w:type="dxa" w:w="1881"/>
            <w:shd w:val="clear" w:color="auto" w:fill="FFFFFF"/>
          </w:tcPr>
          <w:p>
            <w:r>
              <w:rPr>
                <w:sz w:val="18"/>
              </w:rPr>
              <w:t>Resin</w:t>
            </w:r>
          </w:p>
        </w:tc>
        <w:tc>
          <w:tcPr>
            <w:tcW w:type="dxa" w:w="1881"/>
            <w:shd w:val="clear" w:color="auto" w:fill="FFFFFF"/>
          </w:tcPr>
          <w:p>
            <w:r>
              <w:rPr>
                <w:sz w:val="18"/>
              </w:rPr>
              <w:t>Films, sheets, preforms, mouldings</w:t>
            </w:r>
          </w:p>
        </w:tc>
        <w:tc>
          <w:tcPr>
            <w:tcW w:type="dxa" w:w="1881"/>
            <w:shd w:val="clear" w:color="auto" w:fill="FFFFFF"/>
          </w:tcPr>
          <w:p>
            <w:r>
              <w:rPr>
                <w:b/>
                <w:sz w:val="18"/>
              </w:rPr>
              <w:t>Established</w:t>
            </w:r>
          </w:p>
        </w:tc>
      </w:tr>
      <w:tr>
        <w:tc>
          <w:tcPr>
            <w:tcW w:type="dxa" w:w="1881"/>
            <w:shd w:val="clear" w:color="auto" w:fill="EEF3F9"/>
          </w:tcPr>
          <w:p>
            <w:r>
              <w:rPr>
                <w:sz w:val="18"/>
              </w:rPr>
              <w:t>III</w:t>
            </w:r>
          </w:p>
        </w:tc>
        <w:tc>
          <w:tcPr>
            <w:tcW w:type="dxa" w:w="1881"/>
            <w:shd w:val="clear" w:color="auto" w:fill="EEF3F9"/>
          </w:tcPr>
          <w:p>
            <w:r>
              <w:rPr>
                <w:sz w:val="18"/>
              </w:rPr>
              <w:t>Packaging &amp; products</w:t>
            </w:r>
          </w:p>
        </w:tc>
        <w:tc>
          <w:tcPr>
            <w:tcW w:type="dxa" w:w="1881"/>
            <w:shd w:val="clear" w:color="auto" w:fill="EEF3F9"/>
          </w:tcPr>
          <w:p>
            <w:r>
              <w:rPr>
                <w:sz w:val="18"/>
              </w:rPr>
              <w:t>Converted plastic</w:t>
            </w:r>
          </w:p>
        </w:tc>
        <w:tc>
          <w:tcPr>
            <w:tcW w:type="dxa" w:w="1881"/>
            <w:shd w:val="clear" w:color="auto" w:fill="EEF3F9"/>
          </w:tcPr>
          <w:p>
            <w:r>
              <w:rPr>
                <w:sz w:val="18"/>
              </w:rPr>
              <w:t>Bottles, sacks, containers, household goods</w:t>
            </w:r>
          </w:p>
        </w:tc>
        <w:tc>
          <w:tcPr>
            <w:tcW w:type="dxa" w:w="1881"/>
            <w:shd w:val="clear" w:color="auto" w:fill="EEF3F9"/>
          </w:tcPr>
          <w:p>
            <w:r>
              <w:rPr>
                <w:b/>
                <w:sz w:val="18"/>
              </w:rPr>
              <w:t>Active</w:t>
            </w:r>
          </w:p>
        </w:tc>
      </w:tr>
      <w:tr>
        <w:tc>
          <w:tcPr>
            <w:tcW w:type="dxa" w:w="1881"/>
            <w:shd w:val="clear" w:color="auto" w:fill="FFFFFF"/>
          </w:tcPr>
          <w:p>
            <w:r>
              <w:rPr>
                <w:sz w:val="18"/>
              </w:rPr>
              <w:t>IV</w:t>
            </w:r>
          </w:p>
        </w:tc>
        <w:tc>
          <w:tcPr>
            <w:tcW w:type="dxa" w:w="1881"/>
            <w:shd w:val="clear" w:color="auto" w:fill="FFFFFF"/>
          </w:tcPr>
          <w:p>
            <w:r>
              <w:rPr>
                <w:sz w:val="18"/>
              </w:rPr>
              <w:t>Use</w:t>
            </w:r>
          </w:p>
        </w:tc>
        <w:tc>
          <w:tcPr>
            <w:tcW w:type="dxa" w:w="1881"/>
            <w:shd w:val="clear" w:color="auto" w:fill="FFFFFF"/>
          </w:tcPr>
          <w:p>
            <w:r>
              <w:rPr>
                <w:sz w:val="18"/>
              </w:rPr>
              <w:t>Products</w:t>
            </w:r>
          </w:p>
        </w:tc>
        <w:tc>
          <w:tcPr>
            <w:tcW w:type="dxa" w:w="1881"/>
            <w:shd w:val="clear" w:color="auto" w:fill="FFFFFF"/>
          </w:tcPr>
          <w:p>
            <w:r>
              <w:rPr>
                <w:sz w:val="18"/>
              </w:rPr>
              <w:t>Consumer/industrial use</w:t>
            </w:r>
          </w:p>
        </w:tc>
        <w:tc>
          <w:tcPr>
            <w:tcW w:type="dxa" w:w="1881"/>
            <w:shd w:val="clear" w:color="auto" w:fill="FFFFFF"/>
          </w:tcPr>
          <w:p>
            <w:r>
              <w:rPr>
                <w:sz w:val="18"/>
              </w:rPr>
              <w:t>—</w:t>
            </w:r>
          </w:p>
        </w:tc>
      </w:tr>
      <w:tr>
        <w:tc>
          <w:tcPr>
            <w:tcW w:type="dxa" w:w="1881"/>
            <w:shd w:val="clear" w:color="auto" w:fill="EEF3F9"/>
          </w:tcPr>
          <w:p>
            <w:r>
              <w:rPr>
                <w:sz w:val="18"/>
              </w:rPr>
              <w:t>V</w:t>
            </w:r>
          </w:p>
        </w:tc>
        <w:tc>
          <w:tcPr>
            <w:tcW w:type="dxa" w:w="1881"/>
            <w:shd w:val="clear" w:color="auto" w:fill="EEF3F9"/>
          </w:tcPr>
          <w:p>
            <w:r>
              <w:rPr>
                <w:sz w:val="18"/>
              </w:rPr>
              <w:t>Recycling</w:t>
            </w:r>
          </w:p>
        </w:tc>
        <w:tc>
          <w:tcPr>
            <w:tcW w:type="dxa" w:w="1881"/>
            <w:shd w:val="clear" w:color="auto" w:fill="EEF3F9"/>
          </w:tcPr>
          <w:p>
            <w:r>
              <w:rPr>
                <w:sz w:val="18"/>
              </w:rPr>
              <w:t>Post-consumer plastic</w:t>
            </w:r>
          </w:p>
        </w:tc>
        <w:tc>
          <w:tcPr>
            <w:tcW w:type="dxa" w:w="1881"/>
            <w:shd w:val="clear" w:color="auto" w:fill="EEF3F9"/>
          </w:tcPr>
          <w:p>
            <w:r>
              <w:rPr>
                <w:sz w:val="18"/>
              </w:rPr>
              <w:t>Recycled flake/pellet</w:t>
            </w:r>
          </w:p>
        </w:tc>
        <w:tc>
          <w:tcPr>
            <w:tcW w:type="dxa" w:w="1881"/>
            <w:shd w:val="clear" w:color="auto" w:fill="EEF3F9"/>
          </w:tcPr>
          <w:p>
            <w:r>
              <w:rPr>
                <w:b/>
                <w:sz w:val="18"/>
              </w:rPr>
              <w:t>Under-scaled</w:t>
            </w:r>
          </w:p>
        </w:tc>
      </w:tr>
    </w:tbl>
    <w:p/>
    <w:p>
      <w:r>
        <w:rPr>
          <w:b/>
        </w:rPr>
        <w:t>Where value is captured and lost.</w:t>
      </w:r>
      <w:r>
        <w:t xml:space="preserve"> Uganda imports </w:t>
      </w:r>
      <w:r>
        <w:rPr>
          <w:b/>
        </w:rPr>
        <w:t>all virgin polymer resin</w:t>
      </w:r>
      <w:r>
        <w:t xml:space="preserve"> (no domestic production until the petrochemical park, Chapter 6) and a large share of finished plastics. Plastic packaging (HS 3923) imports were ~</w:t>
      </w:r>
      <w:r>
        <w:rPr>
          <w:b/>
        </w:rPr>
        <w:t>USD 37.1 million in 2024</w:t>
      </w:r>
      <w:r>
        <w:t xml:space="preserve"> (ITC TradeMap), and Uganda imports roughly </w:t>
      </w:r>
      <w:r>
        <w:rPr>
          <w:b/>
        </w:rPr>
        <w:t>150,000 tonnes of plastics a year</w:t>
      </w:r>
      <w:r>
        <w:t xml:space="preserve"> (NEMA). Domestic value addition is in conversion; feedstock and much finished product are imported — and the waste largely uncaptured.</w:t>
      </w:r>
    </w:p>
    <w:p>
      <w:pPr>
        <w:pStyle w:val="Heading2"/>
      </w:pPr>
      <w:r>
        <w:t>8.B Current Status</w:t>
      </w:r>
    </w:p>
    <w:p>
      <w:pPr>
        <w:pStyle w:val="Heading3"/>
      </w:pPr>
      <w:r>
        <w:t>Status snapshot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Indicator</w:t>
            </w:r>
          </w:p>
        </w:tc>
        <w:tc>
          <w:tcPr>
            <w:tcW w:type="dxa" w:w="3135"/>
            <w:shd w:val="clear" w:color="auto" w:fill="002B5B"/>
          </w:tcPr>
          <w:p>
            <w:r>
              <w:rPr>
                <w:b/>
                <w:color w:val="FFFFFF"/>
                <w:sz w:val="18"/>
              </w:rPr>
              <w:t>Value</w:t>
            </w:r>
          </w:p>
        </w:tc>
        <w:tc>
          <w:tcPr>
            <w:tcW w:type="dxa" w:w="3135"/>
            <w:shd w:val="clear" w:color="auto" w:fill="002B5B"/>
          </w:tcPr>
          <w:p>
            <w:r>
              <w:rPr>
                <w:b/>
                <w:color w:val="FFFFFF"/>
                <w:sz w:val="18"/>
              </w:rPr>
              <w:t>Source</w:t>
            </w:r>
          </w:p>
        </w:tc>
      </w:tr>
      <w:tr>
        <w:tc>
          <w:tcPr>
            <w:tcW w:type="dxa" w:w="3135"/>
            <w:shd w:val="clear" w:color="auto" w:fill="EEF3F9"/>
          </w:tcPr>
          <w:p>
            <w:r>
              <w:rPr>
                <w:sz w:val="18"/>
              </w:rPr>
              <w:t>Plastic packaging imports (HS 3923)</w:t>
            </w:r>
          </w:p>
        </w:tc>
        <w:tc>
          <w:tcPr>
            <w:tcW w:type="dxa" w:w="3135"/>
            <w:shd w:val="clear" w:color="auto" w:fill="EEF3F9"/>
          </w:tcPr>
          <w:p>
            <w:r>
              <w:rPr>
                <w:sz w:val="18"/>
              </w:rPr>
              <w:t>~USD 37.1m (2024)</w:t>
            </w:r>
          </w:p>
        </w:tc>
        <w:tc>
          <w:tcPr>
            <w:tcW w:type="dxa" w:w="3135"/>
            <w:shd w:val="clear" w:color="auto" w:fill="EEF3F9"/>
          </w:tcPr>
          <w:p>
            <w:r>
              <w:rPr>
                <w:sz w:val="18"/>
              </w:rPr>
              <w:t>ITC TradeMap</w:t>
            </w:r>
          </w:p>
        </w:tc>
      </w:tr>
      <w:tr>
        <w:tc>
          <w:tcPr>
            <w:tcW w:type="dxa" w:w="3135"/>
            <w:shd w:val="clear" w:color="auto" w:fill="FFFFFF"/>
          </w:tcPr>
          <w:p>
            <w:r>
              <w:rPr>
                <w:sz w:val="18"/>
              </w:rPr>
              <w:t>Plastics imported</w:t>
            </w:r>
          </w:p>
        </w:tc>
        <w:tc>
          <w:tcPr>
            <w:tcW w:type="dxa" w:w="3135"/>
            <w:shd w:val="clear" w:color="auto" w:fill="FFFFFF"/>
          </w:tcPr>
          <w:p>
            <w:r>
              <w:rPr>
                <w:sz w:val="18"/>
              </w:rPr>
              <w:t>~150,000 t/yr</w:t>
            </w:r>
          </w:p>
        </w:tc>
        <w:tc>
          <w:tcPr>
            <w:tcW w:type="dxa" w:w="3135"/>
            <w:shd w:val="clear" w:color="auto" w:fill="FFFFFF"/>
          </w:tcPr>
          <w:p>
            <w:r>
              <w:rPr>
                <w:sz w:val="18"/>
              </w:rPr>
              <w:t>NEMA</w:t>
            </w:r>
          </w:p>
        </w:tc>
      </w:tr>
      <w:tr>
        <w:tc>
          <w:tcPr>
            <w:tcW w:type="dxa" w:w="3135"/>
            <w:shd w:val="clear" w:color="auto" w:fill="EEF3F9"/>
          </w:tcPr>
          <w:p>
            <w:r>
              <w:rPr>
                <w:sz w:val="18"/>
              </w:rPr>
              <w:t>Certified bag manufacturers</w:t>
            </w:r>
          </w:p>
        </w:tc>
        <w:tc>
          <w:tcPr>
            <w:tcW w:type="dxa" w:w="3135"/>
            <w:shd w:val="clear" w:color="auto" w:fill="EEF3F9"/>
          </w:tcPr>
          <w:p>
            <w:r>
              <w:rPr>
                <w:b/>
                <w:sz w:val="18"/>
              </w:rPr>
              <w:t>41 firms, 67 valid UNBS permits</w:t>
            </w:r>
          </w:p>
        </w:tc>
        <w:tc>
          <w:tcPr>
            <w:tcW w:type="dxa" w:w="3135"/>
            <w:shd w:val="clear" w:color="auto" w:fill="EEF3F9"/>
          </w:tcPr>
          <w:p>
            <w:r>
              <w:rPr>
                <w:sz w:val="18"/>
              </w:rPr>
              <w:t>UNBS</w:t>
            </w:r>
          </w:p>
        </w:tc>
      </w:tr>
      <w:tr>
        <w:tc>
          <w:tcPr>
            <w:tcW w:type="dxa" w:w="3135"/>
            <w:shd w:val="clear" w:color="auto" w:fill="FFFFFF"/>
          </w:tcPr>
          <w:p>
            <w:r>
              <w:rPr>
                <w:sz w:val="18"/>
              </w:rPr>
              <w:t>Plastic waste generated</w:t>
            </w:r>
          </w:p>
        </w:tc>
        <w:tc>
          <w:tcPr>
            <w:tcW w:type="dxa" w:w="3135"/>
            <w:shd w:val="clear" w:color="auto" w:fill="FFFFFF"/>
          </w:tcPr>
          <w:p>
            <w:r>
              <w:rPr>
                <w:b/>
                <w:sz w:val="18"/>
              </w:rPr>
              <w:t>~600 t/day, &lt;40% properly collected</w:t>
            </w:r>
          </w:p>
        </w:tc>
        <w:tc>
          <w:tcPr>
            <w:tcW w:type="dxa" w:w="3135"/>
            <w:shd w:val="clear" w:color="auto" w:fill="FFFFFF"/>
          </w:tcPr>
          <w:p>
            <w:r>
              <w:rPr>
                <w:sz w:val="18"/>
              </w:rPr>
              <w:t>NEMA</w:t>
            </w:r>
          </w:p>
        </w:tc>
      </w:tr>
      <w:tr>
        <w:tc>
          <w:tcPr>
            <w:tcW w:type="dxa" w:w="3135"/>
            <w:shd w:val="clear" w:color="auto" w:fill="EEF3F9"/>
          </w:tcPr>
          <w:p>
            <w:r>
              <w:rPr>
                <w:sz w:val="18"/>
              </w:rPr>
              <w:t>Policy</w:t>
            </w:r>
          </w:p>
        </w:tc>
        <w:tc>
          <w:tcPr>
            <w:tcW w:type="dxa" w:w="3135"/>
            <w:shd w:val="clear" w:color="auto" w:fill="EEF3F9"/>
          </w:tcPr>
          <w:p>
            <w:r>
              <w:rPr>
                <w:sz w:val="18"/>
              </w:rPr>
              <w:t xml:space="preserve">National Strategy for Plastics Circularity 2023–2028; </w:t>
            </w:r>
            <w:r>
              <w:rPr>
                <w:b/>
                <w:sz w:val="18"/>
              </w:rPr>
              <w:t>2025 single-use-bag ban move</w:t>
            </w:r>
          </w:p>
        </w:tc>
        <w:tc>
          <w:tcPr>
            <w:tcW w:type="dxa" w:w="3135"/>
            <w:shd w:val="clear" w:color="auto" w:fill="EEF3F9"/>
          </w:tcPr>
          <w:p>
            <w:r>
              <w:rPr>
                <w:sz w:val="18"/>
              </w:rPr>
              <w:t>NEMA</w:t>
            </w:r>
          </w:p>
        </w:tc>
      </w:tr>
      <w:tr>
        <w:tc>
          <w:tcPr>
            <w:tcW w:type="dxa" w:w="3135"/>
            <w:shd w:val="clear" w:color="auto" w:fill="FFFFFF"/>
          </w:tcPr>
          <w:p>
            <w:r>
              <w:rPr>
                <w:sz w:val="18"/>
              </w:rPr>
              <w:t>Leading firms</w:t>
            </w:r>
          </w:p>
        </w:tc>
        <w:tc>
          <w:tcPr>
            <w:tcW w:type="dxa" w:w="3135"/>
            <w:shd w:val="clear" w:color="auto" w:fill="FFFFFF"/>
          </w:tcPr>
          <w:p>
            <w:r>
              <w:rPr>
                <w:sz w:val="18"/>
              </w:rPr>
              <w:t>Nice House of Plastics (est. 1970, largest), Nile Plastic Industries; Quality Plastics (recycler, Mukono)</w:t>
            </w:r>
          </w:p>
        </w:tc>
        <w:tc>
          <w:tcPr>
            <w:tcW w:type="dxa" w:w="3135"/>
            <w:shd w:val="clear" w:color="auto" w:fill="FFFFFF"/>
          </w:tcPr>
          <w:p>
            <w:r>
              <w:rPr>
                <w:sz w:val="18"/>
              </w:rPr>
              <w:t>sector</w:t>
            </w:r>
          </w:p>
        </w:tc>
      </w:tr>
    </w:tbl>
    <w:p/>
    <w:p>
      <w:r>
        <w:rPr>
          <w:b/>
        </w:rPr>
        <w:t>Industry.</w:t>
      </w:r>
      <w:r>
        <w:t xml:space="preserve"> An established conversion industry in Kampala, Wakiso, Jinja, Mukono; </w:t>
      </w:r>
      <w:r>
        <w:rPr>
          <w:b/>
        </w:rPr>
        <w:t>41 UNBS-certified manufacturers of plastic bags hold 67 valid permits</w:t>
      </w:r>
      <w:r>
        <w:t xml:space="preserve">. Leading firms include </w:t>
      </w:r>
      <w:r>
        <w:rPr>
          <w:b/>
        </w:rPr>
        <w:t>Nice House of Plastics</w:t>
      </w:r>
      <w:r>
        <w:t xml:space="preserve"> (largest, est. 1970) and </w:t>
      </w:r>
      <w:r>
        <w:rPr>
          <w:b/>
        </w:rPr>
        <w:t>Nile Plastic Industries</w:t>
      </w:r>
      <w:r>
        <w:t xml:space="preserve">; recyclers such as </w:t>
      </w:r>
      <w:r>
        <w:rPr>
          <w:b/>
        </w:rPr>
        <w:t>Quality Plastics</w:t>
      </w:r>
      <w:r>
        <w:t xml:space="preserve"> run a growing but under-scaled loop.</w:t>
      </w:r>
    </w:p>
    <w:p>
      <w:r>
        <w:rPr>
          <w:b/>
        </w:rPr>
        <w:t>Waste &amp; circularity.</w:t>
      </w:r>
      <w:r>
        <w:t xml:space="preserve"> ~</w:t>
      </w:r>
      <w:r>
        <w:rPr>
          <w:b/>
        </w:rPr>
        <w:t>600 t/day</w:t>
      </w:r>
      <w:r>
        <w:t xml:space="preserve"> of plastic waste, </w:t>
      </w:r>
      <w:r>
        <w:rPr>
          <w:b/>
        </w:rPr>
        <w:t>under 40% properly collected</w:t>
      </w:r>
      <w:r>
        <w:t xml:space="preserve"> (NEMA). The </w:t>
      </w:r>
      <w:r>
        <w:rPr>
          <w:b/>
        </w:rPr>
        <w:t>Plastics Circularity Strategy (2023–2028)</w:t>
      </w:r>
      <w:r>
        <w:t xml:space="preserve"> could cut plastic pollution up to ~37% by 2040 if implemented.</w:t>
      </w:r>
    </w:p>
    <w:p>
      <w:r>
        <w:rPr>
          <w:b/>
        </w:rPr>
        <w:t>2025 policy shift.</w:t>
      </w:r>
      <w:r>
        <w:t xml:space="preserve"> NEMA moved to </w:t>
      </w:r>
      <w:r>
        <w:rPr>
          <w:b/>
        </w:rPr>
        <w:t>ban single-use plastic carrier bags</w:t>
      </w:r>
      <w:r>
        <w:t xml:space="preserve"> (amending the National Environment Act), aligning with EAC neighbours — constraining single-use bags while creating demand for </w:t>
      </w:r>
      <w:r>
        <w:rPr>
          <w:b/>
        </w:rPr>
        <w:t>alternatives, recycled content and durable packaging</w:t>
      </w:r>
      <w:r>
        <w:t>.</w:t>
      </w:r>
    </w:p>
    <w:p>
      <w:pPr>
        <w:pStyle w:val="Heading2"/>
      </w:pPr>
      <w:r>
        <w:t>8.C Market Analysis (four levels) and 2040 Projection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Level</w:t>
            </w:r>
          </w:p>
        </w:tc>
        <w:tc>
          <w:tcPr>
            <w:tcW w:type="dxa" w:w="3135"/>
            <w:shd w:val="clear" w:color="auto" w:fill="002B5B"/>
          </w:tcPr>
          <w:p>
            <w:r>
              <w:rPr>
                <w:b/>
                <w:color w:val="FFFFFF"/>
                <w:sz w:val="18"/>
              </w:rPr>
              <w:t>Size / Uganda position</w:t>
            </w:r>
          </w:p>
        </w:tc>
        <w:tc>
          <w:tcPr>
            <w:tcW w:type="dxa" w:w="3135"/>
            <w:shd w:val="clear" w:color="auto" w:fill="002B5B"/>
          </w:tcPr>
          <w:p>
            <w:r>
              <w:rPr>
                <w:b/>
                <w:color w:val="FFFFFF"/>
                <w:sz w:val="18"/>
              </w:rPr>
              <w:t>Drivers</w:t>
            </w:r>
          </w:p>
        </w:tc>
      </w:tr>
      <w:tr>
        <w:tc>
          <w:tcPr>
            <w:tcW w:type="dxa" w:w="3135"/>
            <w:shd w:val="clear" w:color="auto" w:fill="EEF3F9"/>
          </w:tcPr>
          <w:p>
            <w:r>
              <w:rPr>
                <w:b/>
                <w:sz w:val="18"/>
              </w:rPr>
              <w:t>Uganda (domestic)</w:t>
            </w:r>
          </w:p>
        </w:tc>
        <w:tc>
          <w:tcPr>
            <w:tcW w:type="dxa" w:w="3135"/>
            <w:shd w:val="clear" w:color="auto" w:fill="EEF3F9"/>
          </w:tcPr>
          <w:p>
            <w:r>
              <w:rPr>
                <w:sz w:val="18"/>
              </w:rPr>
              <w:t>Large, growing packaging demand (food, beverage, agri-inputs, cement bags, pharma) met substantially by imports</w:t>
            </w:r>
          </w:p>
        </w:tc>
        <w:tc>
          <w:tcPr>
            <w:tcW w:type="dxa" w:w="3135"/>
            <w:shd w:val="clear" w:color="auto" w:fill="EEF3F9"/>
          </w:tcPr>
          <w:p>
            <w:r>
              <w:rPr>
                <w:sz w:val="18"/>
              </w:rPr>
              <w:t>Manufacturing growth across all chains; consumer goods</w:t>
            </w:r>
          </w:p>
        </w:tc>
      </w:tr>
      <w:tr>
        <w:tc>
          <w:tcPr>
            <w:tcW w:type="dxa" w:w="3135"/>
            <w:shd w:val="clear" w:color="auto" w:fill="FFFFFF"/>
          </w:tcPr>
          <w:p>
            <w:r>
              <w:rPr>
                <w:b/>
                <w:sz w:val="18"/>
              </w:rPr>
              <w:t>Regional (EAC + COMESA)</w:t>
            </w:r>
          </w:p>
        </w:tc>
        <w:tc>
          <w:tcPr>
            <w:tcW w:type="dxa" w:w="3135"/>
            <w:shd w:val="clear" w:color="auto" w:fill="FFFFFF"/>
          </w:tcPr>
          <w:p>
            <w:r>
              <w:rPr>
                <w:sz w:val="18"/>
              </w:rPr>
              <w:t>Accessible packaging market; EAC bag-ban alignment levels the field for compliant alternatives</w:t>
            </w:r>
          </w:p>
        </w:tc>
        <w:tc>
          <w:tcPr>
            <w:tcW w:type="dxa" w:w="3135"/>
            <w:shd w:val="clear" w:color="auto" w:fill="FFFFFF"/>
          </w:tcPr>
          <w:p>
            <w:r>
              <w:rPr>
                <w:sz w:val="18"/>
              </w:rPr>
              <w:t>Regional manufacturing/packaging demand</w:t>
            </w:r>
          </w:p>
        </w:tc>
      </w:tr>
      <w:tr>
        <w:tc>
          <w:tcPr>
            <w:tcW w:type="dxa" w:w="3135"/>
            <w:shd w:val="clear" w:color="auto" w:fill="EEF3F9"/>
          </w:tcPr>
          <w:p>
            <w:r>
              <w:rPr>
                <w:b/>
                <w:sz w:val="18"/>
              </w:rPr>
              <w:t>Continental (Africa)</w:t>
            </w:r>
          </w:p>
        </w:tc>
        <w:tc>
          <w:tcPr>
            <w:tcW w:type="dxa" w:w="3135"/>
            <w:shd w:val="clear" w:color="auto" w:fill="EEF3F9"/>
          </w:tcPr>
          <w:p>
            <w:r>
              <w:rPr>
                <w:sz w:val="18"/>
              </w:rPr>
              <w:t>Large packaging deficit; AfCFTA access</w:t>
            </w:r>
          </w:p>
        </w:tc>
        <w:tc>
          <w:tcPr>
            <w:tcW w:type="dxa" w:w="3135"/>
            <w:shd w:val="clear" w:color="auto" w:fill="EEF3F9"/>
          </w:tcPr>
          <w:p>
            <w:r>
              <w:rPr>
                <w:sz w:val="18"/>
              </w:rPr>
              <w:t>Industrialisation; consumer growth</w:t>
            </w:r>
          </w:p>
        </w:tc>
      </w:tr>
      <w:tr>
        <w:tc>
          <w:tcPr>
            <w:tcW w:type="dxa" w:w="3135"/>
            <w:shd w:val="clear" w:color="auto" w:fill="FFFFFF"/>
          </w:tcPr>
          <w:p>
            <w:r>
              <w:rPr>
                <w:b/>
                <w:sz w:val="18"/>
              </w:rPr>
              <w:t>Global</w:t>
            </w:r>
          </w:p>
        </w:tc>
        <w:tc>
          <w:tcPr>
            <w:tcW w:type="dxa" w:w="3135"/>
            <w:shd w:val="clear" w:color="auto" w:fill="FFFFFF"/>
          </w:tcPr>
          <w:p>
            <w:r>
              <w:rPr>
                <w:sz w:val="18"/>
              </w:rPr>
              <w:t>Not relevant; domestic/regional substitution + circularity</w:t>
            </w:r>
          </w:p>
        </w:tc>
        <w:tc>
          <w:tcPr>
            <w:tcW w:type="dxa" w:w="3135"/>
            <w:shd w:val="clear" w:color="auto" w:fill="FFFFFF"/>
          </w:tcPr>
          <w:p>
            <w:r>
              <w:rPr>
                <w:sz w:val="18"/>
              </w:rPr>
              <w:t>—</w:t>
            </w:r>
          </w:p>
        </w:tc>
      </w:tr>
    </w:tbl>
    <w:p/>
    <w:p>
      <w:pPr>
        <w:pStyle w:val="Heading3"/>
      </w:pPr>
      <w:r>
        <w:t>2040 projection — Tenfold logic</w:t>
      </w:r>
    </w:p>
    <w:p>
      <w:r>
        <w:t xml:space="preserve">Packaging demand scales with </w:t>
      </w:r>
      <w:r>
        <w:rPr>
          <w:i/>
        </w:rPr>
        <w:t>all</w:t>
      </w:r>
      <w:r>
        <w:t xml:space="preserve"> manufacturing, so a tenfold economy implies a several-fold larger packaging market by 2040 — but the strategy is to meet it with </w:t>
      </w:r>
      <w:r>
        <w:rPr>
          <w:b/>
        </w:rPr>
        <w:t>domestic conversion + recycled content + (eventually) domestic resin</w:t>
      </w:r>
      <w:r>
        <w:t xml:space="preserve"> from the Kabalega park (Chapter 6), not rising imports and waste. Recycling should grow from a marginal activity to a core feedstock source. Other markets grow on business-as-usual; Uganda competes </w:t>
      </w:r>
      <w:r>
        <w:rPr>
          <w:b/>
        </w:rPr>
        <w:t>regionally</w:t>
      </w:r>
      <w:r>
        <w:t xml:space="preserve"> in compliant, recycled-content packaging.</w:t>
      </w:r>
    </w:p>
    <w:p>
      <w:pPr>
        <w:pStyle w:val="Heading2"/>
      </w:pPr>
      <w:r>
        <w:t>8.D Binding Constraints — Weighted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w:t>
            </w:r>
          </w:p>
        </w:tc>
        <w:tc>
          <w:tcPr>
            <w:tcW w:type="dxa" w:w="2351"/>
            <w:shd w:val="clear" w:color="auto" w:fill="002B5B"/>
          </w:tcPr>
          <w:p>
            <w:r>
              <w:rPr>
                <w:b/>
                <w:color w:val="FFFFFF"/>
                <w:sz w:val="18"/>
              </w:rPr>
              <w:t>Constraint (category)</w:t>
            </w:r>
          </w:p>
        </w:tc>
        <w:tc>
          <w:tcPr>
            <w:tcW w:type="dxa" w:w="2351"/>
            <w:shd w:val="clear" w:color="auto" w:fill="002B5B"/>
          </w:tcPr>
          <w:p>
            <w:r>
              <w:rPr>
                <w:b/>
                <w:color w:val="FFFFFF"/>
                <w:sz w:val="18"/>
              </w:rPr>
              <w:t>Weight</w:t>
            </w:r>
          </w:p>
        </w:tc>
        <w:tc>
          <w:tcPr>
            <w:tcW w:type="dxa" w:w="2351"/>
            <w:shd w:val="clear" w:color="auto" w:fill="002B5B"/>
          </w:tcPr>
          <w:p>
            <w:r>
              <w:rPr>
                <w:b/>
                <w:color w:val="FFFFFF"/>
                <w:sz w:val="18"/>
              </w:rPr>
              <w:t>Evidence / gravity</w:t>
            </w:r>
          </w:p>
        </w:tc>
      </w:tr>
      <w:tr>
        <w:tc>
          <w:tcPr>
            <w:tcW w:type="dxa" w:w="2351"/>
            <w:shd w:val="clear" w:color="auto" w:fill="EEF3F9"/>
          </w:tcPr>
          <w:p>
            <w:r>
              <w:rPr>
                <w:sz w:val="18"/>
              </w:rPr>
              <w:t>1</w:t>
            </w:r>
          </w:p>
        </w:tc>
        <w:tc>
          <w:tcPr>
            <w:tcW w:type="dxa" w:w="2351"/>
            <w:shd w:val="clear" w:color="auto" w:fill="EEF3F9"/>
          </w:tcPr>
          <w:p>
            <w:r>
              <w:rPr>
                <w:b/>
                <w:sz w:val="18"/>
              </w:rPr>
              <w:t>100% imported virgin resin (inputs)</w:t>
            </w:r>
          </w:p>
        </w:tc>
        <w:tc>
          <w:tcPr>
            <w:tcW w:type="dxa" w:w="2351"/>
            <w:shd w:val="clear" w:color="auto" w:fill="EEF3F9"/>
          </w:tcPr>
          <w:p>
            <w:r>
              <w:rPr>
                <w:b/>
                <w:sz w:val="18"/>
              </w:rPr>
              <w:t>5</w:t>
            </w:r>
          </w:p>
        </w:tc>
        <w:tc>
          <w:tcPr>
            <w:tcW w:type="dxa" w:w="2351"/>
            <w:shd w:val="clear" w:color="auto" w:fill="EEF3F9"/>
          </w:tcPr>
          <w:p>
            <w:r>
              <w:rPr>
                <w:sz w:val="18"/>
              </w:rPr>
              <w:t>No domestic resin until the petrochemical park (Ch.6); recycled feedstock under-developed — the core cost/supply constraint</w:t>
            </w:r>
          </w:p>
        </w:tc>
      </w:tr>
      <w:tr>
        <w:tc>
          <w:tcPr>
            <w:tcW w:type="dxa" w:w="2351"/>
            <w:shd w:val="clear" w:color="auto" w:fill="FFFFFF"/>
          </w:tcPr>
          <w:p>
            <w:r>
              <w:rPr>
                <w:sz w:val="18"/>
              </w:rPr>
              <w:t>2</w:t>
            </w:r>
          </w:p>
        </w:tc>
        <w:tc>
          <w:tcPr>
            <w:tcW w:type="dxa" w:w="2351"/>
            <w:shd w:val="clear" w:color="auto" w:fill="FFFFFF"/>
          </w:tcPr>
          <w:p>
            <w:r>
              <w:rPr>
                <w:b/>
                <w:sz w:val="18"/>
              </w:rPr>
              <w:t>Low waste collection / weak circularity (waste)</w:t>
            </w:r>
          </w:p>
        </w:tc>
        <w:tc>
          <w:tcPr>
            <w:tcW w:type="dxa" w:w="2351"/>
            <w:shd w:val="clear" w:color="auto" w:fill="FFFFFF"/>
          </w:tcPr>
          <w:p>
            <w:r>
              <w:rPr>
                <w:b/>
                <w:sz w:val="18"/>
              </w:rPr>
              <w:t>4</w:t>
            </w:r>
          </w:p>
        </w:tc>
        <w:tc>
          <w:tcPr>
            <w:tcW w:type="dxa" w:w="2351"/>
            <w:shd w:val="clear" w:color="auto" w:fill="FFFFFF"/>
          </w:tcPr>
          <w:p>
            <w:r>
              <w:rPr>
                <w:sz w:val="18"/>
              </w:rPr>
              <w:t>~600 t/day waste, &lt;40% collected — pollution liability and a missed feedstock opportunity</w:t>
            </w:r>
          </w:p>
        </w:tc>
      </w:tr>
      <w:tr>
        <w:tc>
          <w:tcPr>
            <w:tcW w:type="dxa" w:w="2351"/>
            <w:shd w:val="clear" w:color="auto" w:fill="EEF3F9"/>
          </w:tcPr>
          <w:p>
            <w:r>
              <w:rPr>
                <w:sz w:val="18"/>
              </w:rPr>
              <w:t>3</w:t>
            </w:r>
          </w:p>
        </w:tc>
        <w:tc>
          <w:tcPr>
            <w:tcW w:type="dxa" w:w="2351"/>
            <w:shd w:val="clear" w:color="auto" w:fill="EEF3F9"/>
          </w:tcPr>
          <w:p>
            <w:r>
              <w:rPr>
                <w:b/>
                <w:sz w:val="18"/>
              </w:rPr>
              <w:t>Capital &amp; fragmentation (finance)</w:t>
            </w:r>
          </w:p>
        </w:tc>
        <w:tc>
          <w:tcPr>
            <w:tcW w:type="dxa" w:w="2351"/>
            <w:shd w:val="clear" w:color="auto" w:fill="EEF3F9"/>
          </w:tcPr>
          <w:p>
            <w:r>
              <w:rPr>
                <w:b/>
                <w:sz w:val="18"/>
              </w:rPr>
              <w:t>3</w:t>
            </w:r>
          </w:p>
        </w:tc>
        <w:tc>
          <w:tcPr>
            <w:tcW w:type="dxa" w:w="2351"/>
            <w:shd w:val="clear" w:color="auto" w:fill="EEF3F9"/>
          </w:tcPr>
          <w:p>
            <w:r>
              <w:rPr>
                <w:sz w:val="18"/>
              </w:rPr>
              <w:t>Recycling plants and modern converters need capital; sector is fragmented</w:t>
            </w:r>
          </w:p>
        </w:tc>
      </w:tr>
      <w:tr>
        <w:tc>
          <w:tcPr>
            <w:tcW w:type="dxa" w:w="2351"/>
            <w:shd w:val="clear" w:color="auto" w:fill="FFFFFF"/>
          </w:tcPr>
          <w:p>
            <w:r>
              <w:rPr>
                <w:sz w:val="18"/>
              </w:rPr>
              <w:t>4</w:t>
            </w:r>
          </w:p>
        </w:tc>
        <w:tc>
          <w:tcPr>
            <w:tcW w:type="dxa" w:w="2351"/>
            <w:shd w:val="clear" w:color="auto" w:fill="FFFFFF"/>
          </w:tcPr>
          <w:p>
            <w:r>
              <w:rPr>
                <w:b/>
                <w:sz w:val="18"/>
              </w:rPr>
              <w:t>Policy transition risk (policy)</w:t>
            </w:r>
          </w:p>
        </w:tc>
        <w:tc>
          <w:tcPr>
            <w:tcW w:type="dxa" w:w="2351"/>
            <w:shd w:val="clear" w:color="auto" w:fill="FFFFFF"/>
          </w:tcPr>
          <w:p>
            <w:r>
              <w:rPr>
                <w:b/>
                <w:sz w:val="18"/>
              </w:rPr>
              <w:t>3</w:t>
            </w:r>
          </w:p>
        </w:tc>
        <w:tc>
          <w:tcPr>
            <w:tcW w:type="dxa" w:w="2351"/>
            <w:shd w:val="clear" w:color="auto" w:fill="FFFFFF"/>
          </w:tcPr>
          <w:p>
            <w:r>
              <w:rPr>
                <w:sz w:val="18"/>
              </w:rPr>
              <w:t>The single-use-ban trajectory is opportunity for recyclers/alternatives but risk for single-use producers; clarity needed</w:t>
            </w:r>
          </w:p>
        </w:tc>
      </w:tr>
      <w:tr>
        <w:tc>
          <w:tcPr>
            <w:tcW w:type="dxa" w:w="2351"/>
            <w:shd w:val="clear" w:color="auto" w:fill="EEF3F9"/>
          </w:tcPr>
          <w:p>
            <w:r>
              <w:rPr>
                <w:sz w:val="18"/>
              </w:rPr>
              <w:t>5</w:t>
            </w:r>
          </w:p>
        </w:tc>
        <w:tc>
          <w:tcPr>
            <w:tcW w:type="dxa" w:w="2351"/>
            <w:shd w:val="clear" w:color="auto" w:fill="EEF3F9"/>
          </w:tcPr>
          <w:p>
            <w:r>
              <w:rPr>
                <w:b/>
                <w:sz w:val="18"/>
              </w:rPr>
              <w:t>Standards &amp; substandard bags (standards)</w:t>
            </w:r>
          </w:p>
        </w:tc>
        <w:tc>
          <w:tcPr>
            <w:tcW w:type="dxa" w:w="2351"/>
            <w:shd w:val="clear" w:color="auto" w:fill="EEF3F9"/>
          </w:tcPr>
          <w:p>
            <w:r>
              <w:rPr>
                <w:b/>
                <w:sz w:val="18"/>
              </w:rPr>
              <w:t>3</w:t>
            </w:r>
          </w:p>
        </w:tc>
        <w:tc>
          <w:tcPr>
            <w:tcW w:type="dxa" w:w="2351"/>
            <w:shd w:val="clear" w:color="auto" w:fill="EEF3F9"/>
          </w:tcPr>
          <w:p>
            <w:r>
              <w:rPr>
                <w:sz w:val="18"/>
              </w:rPr>
              <w:t>UNBS certification (thickness, food-grade) central; sub-standard bags are a quality and environmental problem</w:t>
            </w:r>
          </w:p>
        </w:tc>
      </w:tr>
      <w:tr>
        <w:tc>
          <w:tcPr>
            <w:tcW w:type="dxa" w:w="2351"/>
            <w:shd w:val="clear" w:color="auto" w:fill="FFFFFF"/>
          </w:tcPr>
          <w:p>
            <w:r>
              <w:rPr>
                <w:sz w:val="18"/>
              </w:rPr>
              <w:t>6</w:t>
            </w:r>
          </w:p>
        </w:tc>
        <w:tc>
          <w:tcPr>
            <w:tcW w:type="dxa" w:w="2351"/>
            <w:shd w:val="clear" w:color="auto" w:fill="FFFFFF"/>
          </w:tcPr>
          <w:p>
            <w:r>
              <w:rPr>
                <w:b/>
                <w:sz w:val="18"/>
              </w:rPr>
              <w:t>Logistics (infrastructure)</w:t>
            </w:r>
          </w:p>
        </w:tc>
        <w:tc>
          <w:tcPr>
            <w:tcW w:type="dxa" w:w="2351"/>
            <w:shd w:val="clear" w:color="auto" w:fill="FFFFFF"/>
          </w:tcPr>
          <w:p>
            <w:r>
              <w:rPr>
                <w:b/>
                <w:sz w:val="18"/>
              </w:rPr>
              <w:t>2</w:t>
            </w:r>
          </w:p>
        </w:tc>
        <w:tc>
          <w:tcPr>
            <w:tcW w:type="dxa" w:w="2351"/>
            <w:shd w:val="clear" w:color="auto" w:fill="FFFFFF"/>
          </w:tcPr>
          <w:p>
            <w:r>
              <w:rPr>
                <w:sz w:val="18"/>
              </w:rPr>
              <w:t>Imported resin bears the landlocked penalty</w:t>
            </w:r>
          </w:p>
        </w:tc>
      </w:tr>
      <w:tr>
        <w:tc>
          <w:tcPr>
            <w:tcW w:type="dxa" w:w="2351"/>
            <w:shd w:val="clear" w:color="auto" w:fill="EEF3F9"/>
          </w:tcPr>
          <w:p>
            <w:r>
              <w:rPr>
                <w:sz w:val="18"/>
              </w:rPr>
              <w:t>7</w:t>
            </w:r>
          </w:p>
        </w:tc>
        <w:tc>
          <w:tcPr>
            <w:tcW w:type="dxa" w:w="2351"/>
            <w:shd w:val="clear" w:color="auto" w:fill="EEF3F9"/>
          </w:tcPr>
          <w:p>
            <w:r>
              <w:rPr>
                <w:b/>
                <w:sz w:val="18"/>
              </w:rPr>
              <w:t>Skills (skills)</w:t>
            </w:r>
          </w:p>
        </w:tc>
        <w:tc>
          <w:tcPr>
            <w:tcW w:type="dxa" w:w="2351"/>
            <w:shd w:val="clear" w:color="auto" w:fill="EEF3F9"/>
          </w:tcPr>
          <w:p>
            <w:r>
              <w:rPr>
                <w:b/>
                <w:sz w:val="18"/>
              </w:rPr>
              <w:t>2</w:t>
            </w:r>
          </w:p>
        </w:tc>
        <w:tc>
          <w:tcPr>
            <w:tcW w:type="dxa" w:w="2351"/>
            <w:shd w:val="clear" w:color="auto" w:fill="EEF3F9"/>
          </w:tcPr>
          <w:p>
            <w:r>
              <w:rPr>
                <w:sz w:val="18"/>
              </w:rPr>
              <w:t>Polymer-processing and recycling skills limited</w:t>
            </w:r>
          </w:p>
        </w:tc>
      </w:tr>
    </w:tbl>
    <w:p/>
    <w:p>
      <w:r>
        <w:t xml:space="preserve">The two binding constraints — </w:t>
      </w:r>
      <w:r>
        <w:rPr>
          <w:b/>
        </w:rPr>
        <w:t>imported resin</w:t>
      </w:r>
      <w:r>
        <w:t xml:space="preserve"> and </w:t>
      </w:r>
      <w:r>
        <w:rPr>
          <w:b/>
        </w:rPr>
        <w:t>weak circularity</w:t>
      </w:r>
      <w:r>
        <w:t xml:space="preserve"> — point to the same solution: </w:t>
      </w:r>
      <w:r>
        <w:rPr>
          <w:b/>
        </w:rPr>
        <w:t>build recycling</w:t>
      </w:r>
      <w:r>
        <w:t xml:space="preserve"> to create domestic feedstock now, and </w:t>
      </w:r>
      <w:r>
        <w:rPr>
          <w:b/>
        </w:rPr>
        <w:t>sequence domestic resin</w:t>
      </w:r>
      <w:r>
        <w:t xml:space="preserve"> to the refinery later.</w:t>
      </w:r>
    </w:p>
    <w:p>
      <w:pPr>
        <w:pStyle w:val="Heading2"/>
      </w:pPr>
      <w:r>
        <w:t>8.E Greening &amp; Sustainability</w:t>
      </w:r>
    </w:p>
    <w:p>
      <w:r>
        <w:t>For plastics, *</w:t>
      </w:r>
      <w:r>
        <w:rPr>
          <w:i/>
        </w:rPr>
        <w:t xml:space="preserve">circularity </w:t>
      </w:r>
      <w:r>
        <w:t>is</w:t>
      </w:r>
      <w:r>
        <w:rPr>
          <w:i/>
        </w:rPr>
        <w:t xml:space="preserve"> the strategy</w:t>
      </w:r>
      <w:r>
        <w:t>* — environmental performance and competitiveness are the same thing here.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Dimension</w:t>
            </w:r>
          </w:p>
        </w:tc>
        <w:tc>
          <w:tcPr>
            <w:tcW w:type="dxa" w:w="4703"/>
            <w:shd w:val="clear" w:color="auto" w:fill="002B5B"/>
          </w:tcPr>
          <w:p>
            <w:r>
              <w:rPr>
                <w:b/>
                <w:color w:val="FFFFFF"/>
                <w:sz w:val="18"/>
              </w:rPr>
              <w:t>Status / opportunity</w:t>
            </w:r>
          </w:p>
        </w:tc>
      </w:tr>
      <w:tr>
        <w:tc>
          <w:tcPr>
            <w:tcW w:type="dxa" w:w="4703"/>
            <w:shd w:val="clear" w:color="auto" w:fill="EEF3F9"/>
          </w:tcPr>
          <w:p>
            <w:r>
              <w:rPr>
                <w:b/>
                <w:sz w:val="18"/>
              </w:rPr>
              <w:t>Current status</w:t>
            </w:r>
          </w:p>
        </w:tc>
        <w:tc>
          <w:tcPr>
            <w:tcW w:type="dxa" w:w="4703"/>
            <w:shd w:val="clear" w:color="auto" w:fill="EEF3F9"/>
          </w:tcPr>
          <w:p>
            <w:r>
              <w:rPr>
                <w:sz w:val="18"/>
              </w:rPr>
              <w:t>High waste, low collection (&lt;40%); single-use bags being phased down</w:t>
            </w:r>
          </w:p>
        </w:tc>
      </w:tr>
      <w:tr>
        <w:tc>
          <w:tcPr>
            <w:tcW w:type="dxa" w:w="4703"/>
            <w:shd w:val="clear" w:color="auto" w:fill="FFFFFF"/>
          </w:tcPr>
          <w:p>
            <w:r>
              <w:rPr>
                <w:b/>
                <w:sz w:val="18"/>
              </w:rPr>
              <w:t>Current solutions</w:t>
            </w:r>
          </w:p>
        </w:tc>
        <w:tc>
          <w:tcPr>
            <w:tcW w:type="dxa" w:w="4703"/>
            <w:shd w:val="clear" w:color="auto" w:fill="FFFFFF"/>
          </w:tcPr>
          <w:p>
            <w:r>
              <w:rPr>
                <w:sz w:val="18"/>
              </w:rPr>
              <w:t>Circularity Strategy 2023–2028; early recyclers (Quality Plastics); UNBS standards</w:t>
            </w:r>
          </w:p>
        </w:tc>
      </w:tr>
      <w:tr>
        <w:tc>
          <w:tcPr>
            <w:tcW w:type="dxa" w:w="4703"/>
            <w:shd w:val="clear" w:color="auto" w:fill="EEF3F9"/>
          </w:tcPr>
          <w:p>
            <w:r>
              <w:rPr>
                <w:b/>
                <w:sz w:val="18"/>
              </w:rPr>
              <w:t>Emerging solutions (competitiveness enablers)</w:t>
            </w:r>
          </w:p>
        </w:tc>
        <w:tc>
          <w:tcPr>
            <w:tcW w:type="dxa" w:w="4703"/>
            <w:shd w:val="clear" w:color="auto" w:fill="EEF3F9"/>
          </w:tcPr>
          <w:p>
            <w:r>
              <w:rPr>
                <w:sz w:val="18"/>
              </w:rPr>
              <w:t xml:space="preserve">(1) </w:t>
            </w:r>
            <w:r>
              <w:rPr>
                <w:b/>
                <w:sz w:val="18"/>
              </w:rPr>
              <w:t>Plastics recycling (PET/HDPE flake &amp; pellet)</w:t>
            </w:r>
            <w:r>
              <w:rPr>
                <w:sz w:val="18"/>
              </w:rPr>
              <w:t xml:space="preserve"> turning waste into domestic feedstock; (2) </w:t>
            </w:r>
            <w:r>
              <w:rPr>
                <w:b/>
                <w:sz w:val="18"/>
              </w:rPr>
              <w:t>Extended Producer Responsibility (EPR)</w:t>
            </w:r>
            <w:r>
              <w:rPr>
                <w:sz w:val="18"/>
              </w:rPr>
              <w:t xml:space="preserve"> and deposit-return to lift collection; (3) </w:t>
            </w:r>
            <w:r>
              <w:rPr>
                <w:b/>
                <w:sz w:val="18"/>
              </w:rPr>
              <w:t>recycled-content &amp; durable/refillable packaging</w:t>
            </w:r>
            <w:r>
              <w:rPr>
                <w:sz w:val="18"/>
              </w:rPr>
              <w:t xml:space="preserve">; (4) </w:t>
            </w:r>
            <w:r>
              <w:rPr>
                <w:b/>
                <w:sz w:val="18"/>
              </w:rPr>
              <w:t>bio-based/compostable alternatives</w:t>
            </w:r>
            <w:r>
              <w:rPr>
                <w:sz w:val="18"/>
              </w:rPr>
              <w:t xml:space="preserve"> to single-use items</w:t>
            </w:r>
          </w:p>
        </w:tc>
      </w:tr>
    </w:tbl>
    <w:p/>
    <w:p>
      <w:r>
        <w:rPr>
          <w:b/>
        </w:rPr>
        <w:t>Why it pays:</w:t>
      </w:r>
      <w:r>
        <w:t xml:space="preserve"> recycling substitutes imported resin (cost + supply security), EPR funds collection, and recycled-content/compostable products meet the 2025 policy and regional bans — converting an environmental liability into a feedstock industry.</w:t>
      </w:r>
    </w:p>
    <w:p>
      <w:pPr>
        <w:pStyle w:val="Heading2"/>
      </w:pPr>
      <w:r>
        <w:t>8.F Prioritized Products — through the Tenfold Lens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02B5B"/>
          </w:tcPr>
          <w:p>
            <w:r>
              <w:rPr>
                <w:b/>
                <w:color w:val="FFFFFF"/>
                <w:sz w:val="18"/>
              </w:rPr>
              <w:t>Product / sub-sector</w:t>
            </w:r>
          </w:p>
        </w:tc>
        <w:tc>
          <w:tcPr>
            <w:tcW w:type="dxa" w:w="1176"/>
            <w:shd w:val="clear" w:color="auto" w:fill="002B5B"/>
          </w:tcPr>
          <w:p>
            <w:r>
              <w:rPr>
                <w:b/>
                <w:color w:val="FFFFFF"/>
                <w:sz w:val="18"/>
              </w:rPr>
              <w:t>Market</w:t>
            </w:r>
          </w:p>
        </w:tc>
        <w:tc>
          <w:tcPr>
            <w:tcW w:type="dxa" w:w="1176"/>
            <w:shd w:val="clear" w:color="auto" w:fill="002B5B"/>
          </w:tcPr>
          <w:p>
            <w:r>
              <w:rPr>
                <w:b/>
                <w:color w:val="FFFFFF"/>
                <w:sz w:val="18"/>
              </w:rPr>
              <w:t>Comp. adv.</w:t>
            </w:r>
          </w:p>
        </w:tc>
        <w:tc>
          <w:tcPr>
            <w:tcW w:type="dxa" w:w="1176"/>
            <w:shd w:val="clear" w:color="auto" w:fill="002B5B"/>
          </w:tcPr>
          <w:p>
            <w:r>
              <w:rPr>
                <w:b/>
                <w:color w:val="FFFFFF"/>
                <w:sz w:val="18"/>
              </w:rPr>
              <w:t>Feasibility</w:t>
            </w:r>
          </w:p>
        </w:tc>
        <w:tc>
          <w:tcPr>
            <w:tcW w:type="dxa" w:w="1176"/>
            <w:shd w:val="clear" w:color="auto" w:fill="002B5B"/>
          </w:tcPr>
          <w:p>
            <w:r>
              <w:rPr>
                <w:b/>
                <w:color w:val="FFFFFF"/>
                <w:sz w:val="18"/>
              </w:rPr>
              <w:t>Jobs</w:t>
            </w:r>
          </w:p>
        </w:tc>
        <w:tc>
          <w:tcPr>
            <w:tcW w:type="dxa" w:w="1176"/>
            <w:shd w:val="clear" w:color="auto" w:fill="002B5B"/>
          </w:tcPr>
          <w:p>
            <w:r>
              <w:rPr>
                <w:b/>
                <w:color w:val="FFFFFF"/>
                <w:sz w:val="18"/>
              </w:rPr>
              <w:t>Import subst.</w:t>
            </w:r>
          </w:p>
        </w:tc>
        <w:tc>
          <w:tcPr>
            <w:tcW w:type="dxa" w:w="1176"/>
            <w:shd w:val="clear" w:color="auto" w:fill="002B5B"/>
          </w:tcPr>
          <w:p>
            <w:r>
              <w:rPr>
                <w:b/>
                <w:color w:val="FFFFFF"/>
                <w:sz w:val="18"/>
              </w:rPr>
              <w:t>Green fit</w:t>
            </w:r>
          </w:p>
        </w:tc>
        <w:tc>
          <w:tcPr>
            <w:tcW w:type="dxa" w:w="1176"/>
            <w:shd w:val="clear" w:color="auto" w:fill="002B5B"/>
          </w:tcPr>
          <w:p>
            <w:r>
              <w:rPr>
                <w:b/>
                <w:color w:val="FFFFFF"/>
                <w:sz w:val="18"/>
              </w:rPr>
              <w:t>Priority</w:t>
            </w:r>
          </w:p>
        </w:tc>
      </w:tr>
      <w:tr>
        <w:tc>
          <w:tcPr>
            <w:tcW w:type="dxa" w:w="1176"/>
            <w:shd w:val="clear" w:color="auto" w:fill="EEF3F9"/>
          </w:tcPr>
          <w:p>
            <w:r>
              <w:rPr>
                <w:b/>
                <w:sz w:val="18"/>
              </w:rPr>
              <w:t>Industrial &amp; food/beverage packaging</w:t>
            </w:r>
          </w:p>
        </w:tc>
        <w:tc>
          <w:tcPr>
            <w:tcW w:type="dxa" w:w="1176"/>
            <w:shd w:val="clear" w:color="auto" w:fill="EEF3F9"/>
          </w:tcPr>
          <w:p>
            <w:r>
              <w:rPr>
                <w:sz w:val="18"/>
              </w:rPr>
              <w:t>High (USD 37m+)</w:t>
            </w:r>
          </w:p>
        </w:tc>
        <w:tc>
          <w:tcPr>
            <w:tcW w:type="dxa" w:w="1176"/>
            <w:shd w:val="clear" w:color="auto" w:fill="EEF3F9"/>
          </w:tcPr>
          <w:p>
            <w:r>
              <w:rPr>
                <w:sz w:val="18"/>
              </w:rPr>
              <w:t>Medium</w:t>
            </w:r>
          </w:p>
        </w:tc>
        <w:tc>
          <w:tcPr>
            <w:tcW w:type="dxa" w:w="1176"/>
            <w:shd w:val="clear" w:color="auto" w:fill="EEF3F9"/>
          </w:tcPr>
          <w:p>
            <w:r>
              <w:rPr>
                <w:sz w:val="18"/>
              </w:rPr>
              <w:t>High</w:t>
            </w:r>
          </w:p>
        </w:tc>
        <w:tc>
          <w:tcPr>
            <w:tcW w:type="dxa" w:w="1176"/>
            <w:shd w:val="clear" w:color="auto" w:fill="EEF3F9"/>
          </w:tcPr>
          <w:p>
            <w:r>
              <w:rPr>
                <w:sz w:val="18"/>
              </w:rPr>
              <w:t>High</w:t>
            </w:r>
          </w:p>
        </w:tc>
        <w:tc>
          <w:tcPr>
            <w:tcW w:type="dxa" w:w="1176"/>
            <w:shd w:val="clear" w:color="auto" w:fill="EEF3F9"/>
          </w:tcPr>
          <w:p>
            <w:r>
              <w:rPr>
                <w:sz w:val="18"/>
              </w:rPr>
              <w:t>High</w:t>
            </w:r>
          </w:p>
        </w:tc>
        <w:tc>
          <w:tcPr>
            <w:tcW w:type="dxa" w:w="1176"/>
            <w:shd w:val="clear" w:color="auto" w:fill="EEF3F9"/>
          </w:tcPr>
          <w:p>
            <w:r>
              <w:rPr>
                <w:sz w:val="18"/>
              </w:rPr>
              <w:t>Medium</w:t>
            </w:r>
          </w:p>
        </w:tc>
        <w:tc>
          <w:tcPr>
            <w:tcW w:type="dxa" w:w="1176"/>
            <w:shd w:val="clear" w:color="auto" w:fill="EEF3F9"/>
          </w:tcPr>
          <w:p>
            <w:r>
              <w:rPr>
                <w:b/>
                <w:sz w:val="18"/>
              </w:rPr>
              <w:t>Priority</w:t>
            </w:r>
          </w:p>
        </w:tc>
      </w:tr>
      <w:tr>
        <w:tc>
          <w:tcPr>
            <w:tcW w:type="dxa" w:w="1176"/>
            <w:shd w:val="clear" w:color="auto" w:fill="FFFFFF"/>
          </w:tcPr>
          <w:p>
            <w:r>
              <w:rPr>
                <w:b/>
                <w:sz w:val="18"/>
              </w:rPr>
              <w:t>Plastics recycling (flake/pellet)</w:t>
            </w:r>
          </w:p>
        </w:tc>
        <w:tc>
          <w:tcPr>
            <w:tcW w:type="dxa" w:w="1176"/>
            <w:shd w:val="clear" w:color="auto" w:fill="FFFFFF"/>
          </w:tcPr>
          <w:p>
            <w:r>
              <w:rPr>
                <w:sz w:val="18"/>
              </w:rPr>
              <w:t>High (circularity)</w:t>
            </w:r>
          </w:p>
        </w:tc>
        <w:tc>
          <w:tcPr>
            <w:tcW w:type="dxa" w:w="1176"/>
            <w:shd w:val="clear" w:color="auto" w:fill="FFFFFF"/>
          </w:tcPr>
          <w:p>
            <w:r>
              <w:rPr>
                <w:sz w:val="18"/>
              </w:rPr>
              <w:t>Medium</w:t>
            </w:r>
          </w:p>
        </w:tc>
        <w:tc>
          <w:tcPr>
            <w:tcW w:type="dxa" w:w="1176"/>
            <w:shd w:val="clear" w:color="auto" w:fill="FFFFFF"/>
          </w:tcPr>
          <w:p>
            <w:r>
              <w:rPr>
                <w:sz w:val="18"/>
              </w:rPr>
              <w:t>Medium</w:t>
            </w:r>
          </w:p>
        </w:tc>
        <w:tc>
          <w:tcPr>
            <w:tcW w:type="dxa" w:w="1176"/>
            <w:shd w:val="clear" w:color="auto" w:fill="FFFFFF"/>
          </w:tcPr>
          <w:p>
            <w:r>
              <w:rPr>
                <w:sz w:val="18"/>
              </w:rPr>
              <w:t>High</w:t>
            </w:r>
          </w:p>
        </w:tc>
        <w:tc>
          <w:tcPr>
            <w:tcW w:type="dxa" w:w="1176"/>
            <w:shd w:val="clear" w:color="auto" w:fill="FFFFFF"/>
          </w:tcPr>
          <w:p>
            <w:r>
              <w:rPr>
                <w:sz w:val="18"/>
              </w:rPr>
              <w:t>High (feedstock)</w:t>
            </w:r>
          </w:p>
        </w:tc>
        <w:tc>
          <w:tcPr>
            <w:tcW w:type="dxa" w:w="1176"/>
            <w:shd w:val="clear" w:color="auto" w:fill="FFFFFF"/>
          </w:tcPr>
          <w:p>
            <w:r>
              <w:rPr>
                <w:sz w:val="18"/>
              </w:rPr>
              <w:t>High</w:t>
            </w:r>
          </w:p>
        </w:tc>
        <w:tc>
          <w:tcPr>
            <w:tcW w:type="dxa" w:w="1176"/>
            <w:shd w:val="clear" w:color="auto" w:fill="FFFFFF"/>
          </w:tcPr>
          <w:p>
            <w:r>
              <w:rPr>
                <w:b/>
                <w:sz w:val="18"/>
              </w:rPr>
              <w:t>Priority</w:t>
            </w:r>
          </w:p>
        </w:tc>
      </w:tr>
      <w:tr>
        <w:tc>
          <w:tcPr>
            <w:tcW w:type="dxa" w:w="1176"/>
            <w:shd w:val="clear" w:color="auto" w:fill="EEF3F9"/>
          </w:tcPr>
          <w:p>
            <w:r>
              <w:rPr>
                <w:b/>
                <w:sz w:val="18"/>
              </w:rPr>
              <w:t>Agricultural &amp; cement packaging (sacks, films)</w:t>
            </w:r>
          </w:p>
        </w:tc>
        <w:tc>
          <w:tcPr>
            <w:tcW w:type="dxa" w:w="1176"/>
            <w:shd w:val="clear" w:color="auto" w:fill="EEF3F9"/>
          </w:tcPr>
          <w:p>
            <w:r>
              <w:rPr>
                <w:sz w:val="18"/>
              </w:rPr>
              <w:t>High</w:t>
            </w:r>
          </w:p>
        </w:tc>
        <w:tc>
          <w:tcPr>
            <w:tcW w:type="dxa" w:w="1176"/>
            <w:shd w:val="clear" w:color="auto" w:fill="EEF3F9"/>
          </w:tcPr>
          <w:p>
            <w:r>
              <w:rPr>
                <w:sz w:val="18"/>
              </w:rPr>
              <w:t>Medium</w:t>
            </w:r>
          </w:p>
        </w:tc>
        <w:tc>
          <w:tcPr>
            <w:tcW w:type="dxa" w:w="1176"/>
            <w:shd w:val="clear" w:color="auto" w:fill="EEF3F9"/>
          </w:tcPr>
          <w:p>
            <w:r>
              <w:rPr>
                <w:sz w:val="18"/>
              </w:rPr>
              <w:t>High</w:t>
            </w:r>
          </w:p>
        </w:tc>
        <w:tc>
          <w:tcPr>
            <w:tcW w:type="dxa" w:w="1176"/>
            <w:shd w:val="clear" w:color="auto" w:fill="EEF3F9"/>
          </w:tcPr>
          <w:p>
            <w:r>
              <w:rPr>
                <w:sz w:val="18"/>
              </w:rPr>
              <w:t>High</w:t>
            </w:r>
          </w:p>
        </w:tc>
        <w:tc>
          <w:tcPr>
            <w:tcW w:type="dxa" w:w="1176"/>
            <w:shd w:val="clear" w:color="auto" w:fill="EEF3F9"/>
          </w:tcPr>
          <w:p>
            <w:r>
              <w:rPr>
                <w:sz w:val="18"/>
              </w:rPr>
              <w:t>High</w:t>
            </w:r>
          </w:p>
        </w:tc>
        <w:tc>
          <w:tcPr>
            <w:tcW w:type="dxa" w:w="1176"/>
            <w:shd w:val="clear" w:color="auto" w:fill="EEF3F9"/>
          </w:tcPr>
          <w:p>
            <w:r>
              <w:rPr>
                <w:sz w:val="18"/>
              </w:rPr>
              <w:t>Medium</w:t>
            </w:r>
          </w:p>
        </w:tc>
        <w:tc>
          <w:tcPr>
            <w:tcW w:type="dxa" w:w="1176"/>
            <w:shd w:val="clear" w:color="auto" w:fill="EEF3F9"/>
          </w:tcPr>
          <w:p>
            <w:r>
              <w:rPr>
                <w:b/>
                <w:sz w:val="18"/>
              </w:rPr>
              <w:t>Priority</w:t>
            </w:r>
          </w:p>
        </w:tc>
      </w:tr>
      <w:tr>
        <w:tc>
          <w:tcPr>
            <w:tcW w:type="dxa" w:w="1176"/>
            <w:shd w:val="clear" w:color="auto" w:fill="FFFFFF"/>
          </w:tcPr>
          <w:p>
            <w:r>
              <w:rPr>
                <w:sz w:val="18"/>
              </w:rPr>
              <w:t>Single-use carrier bags</w:t>
            </w:r>
          </w:p>
        </w:tc>
        <w:tc>
          <w:tcPr>
            <w:tcW w:type="dxa" w:w="1176"/>
            <w:shd w:val="clear" w:color="auto" w:fill="FFFFFF"/>
          </w:tcPr>
          <w:p>
            <w:r>
              <w:rPr>
                <w:sz w:val="18"/>
              </w:rPr>
              <w:t>Declining (ban)</w:t>
            </w:r>
          </w:p>
        </w:tc>
        <w:tc>
          <w:tcPr>
            <w:tcW w:type="dxa" w:w="1176"/>
            <w:shd w:val="clear" w:color="auto" w:fill="FFFFFF"/>
          </w:tcPr>
          <w:p>
            <w:r>
              <w:rPr>
                <w:sz w:val="18"/>
              </w:rPr>
              <w:t>—</w:t>
            </w:r>
          </w:p>
        </w:tc>
        <w:tc>
          <w:tcPr>
            <w:tcW w:type="dxa" w:w="1176"/>
            <w:shd w:val="clear" w:color="auto" w:fill="FFFFFF"/>
          </w:tcPr>
          <w:p>
            <w:r>
              <w:rPr>
                <w:sz w:val="18"/>
              </w:rPr>
              <w:t>—</w:t>
            </w:r>
          </w:p>
        </w:tc>
        <w:tc>
          <w:tcPr>
            <w:tcW w:type="dxa" w:w="1176"/>
            <w:shd w:val="clear" w:color="auto" w:fill="FFFFFF"/>
          </w:tcPr>
          <w:p>
            <w:r>
              <w:rPr>
                <w:sz w:val="18"/>
              </w:rPr>
              <w:t>—</w:t>
            </w:r>
          </w:p>
        </w:tc>
        <w:tc>
          <w:tcPr>
            <w:tcW w:type="dxa" w:w="1176"/>
            <w:shd w:val="clear" w:color="auto" w:fill="FFFFFF"/>
          </w:tcPr>
          <w:p>
            <w:r>
              <w:rPr>
                <w:sz w:val="18"/>
              </w:rPr>
              <w:t>—</w:t>
            </w:r>
          </w:p>
        </w:tc>
        <w:tc>
          <w:tcPr>
            <w:tcW w:type="dxa" w:w="1176"/>
            <w:shd w:val="clear" w:color="auto" w:fill="FFFFFF"/>
          </w:tcPr>
          <w:p>
            <w:r>
              <w:rPr>
                <w:sz w:val="18"/>
              </w:rPr>
              <w:t>—</w:t>
            </w:r>
          </w:p>
        </w:tc>
        <w:tc>
          <w:tcPr>
            <w:tcW w:type="dxa" w:w="1176"/>
            <w:shd w:val="clear" w:color="auto" w:fill="FFFFFF"/>
          </w:tcPr>
          <w:p>
            <w:r>
              <w:rPr>
                <w:sz w:val="18"/>
              </w:rPr>
              <w:t>Deprioritize</w:t>
            </w:r>
          </w:p>
        </w:tc>
      </w:tr>
      <w:tr>
        <w:tc>
          <w:tcPr>
            <w:tcW w:type="dxa" w:w="1176"/>
            <w:shd w:val="clear" w:color="auto" w:fill="EEF3F9"/>
          </w:tcPr>
          <w:p>
            <w:r>
              <w:rPr>
                <w:sz w:val="18"/>
              </w:rPr>
              <w:t>Domestic virgin-resin production</w:t>
            </w:r>
          </w:p>
        </w:tc>
        <w:tc>
          <w:tcPr>
            <w:tcW w:type="dxa" w:w="1176"/>
            <w:shd w:val="clear" w:color="auto" w:fill="EEF3F9"/>
          </w:tcPr>
          <w:p>
            <w:r>
              <w:rPr>
                <w:sz w:val="18"/>
              </w:rPr>
              <w:t>High</w:t>
            </w:r>
          </w:p>
        </w:tc>
        <w:tc>
          <w:tcPr>
            <w:tcW w:type="dxa" w:w="1176"/>
            <w:shd w:val="clear" w:color="auto" w:fill="EEF3F9"/>
          </w:tcPr>
          <w:p>
            <w:r>
              <w:rPr>
                <w:sz w:val="18"/>
              </w:rPr>
              <w:t>Low now</w:t>
            </w:r>
          </w:p>
        </w:tc>
        <w:tc>
          <w:tcPr>
            <w:tcW w:type="dxa" w:w="1176"/>
            <w:shd w:val="clear" w:color="auto" w:fill="EEF3F9"/>
          </w:tcPr>
          <w:p>
            <w:r>
              <w:rPr>
                <w:sz w:val="18"/>
              </w:rPr>
              <w:t>Low</w:t>
            </w:r>
          </w:p>
        </w:tc>
        <w:tc>
          <w:tcPr>
            <w:tcW w:type="dxa" w:w="1176"/>
            <w:shd w:val="clear" w:color="auto" w:fill="EEF3F9"/>
          </w:tcPr>
          <w:p>
            <w:r>
              <w:rPr>
                <w:sz w:val="18"/>
              </w:rPr>
              <w:t>Medium</w:t>
            </w:r>
          </w:p>
        </w:tc>
        <w:tc>
          <w:tcPr>
            <w:tcW w:type="dxa" w:w="1176"/>
            <w:shd w:val="clear" w:color="auto" w:fill="EEF3F9"/>
          </w:tcPr>
          <w:p>
            <w:r>
              <w:rPr>
                <w:sz w:val="18"/>
              </w:rPr>
              <w:t>Very high</w:t>
            </w:r>
          </w:p>
        </w:tc>
        <w:tc>
          <w:tcPr>
            <w:tcW w:type="dxa" w:w="1176"/>
            <w:shd w:val="clear" w:color="auto" w:fill="EEF3F9"/>
          </w:tcPr>
          <w:p>
            <w:r>
              <w:rPr>
                <w:sz w:val="18"/>
              </w:rPr>
              <w:t>Low</w:t>
            </w:r>
          </w:p>
        </w:tc>
        <w:tc>
          <w:tcPr>
            <w:tcW w:type="dxa" w:w="1176"/>
            <w:shd w:val="clear" w:color="auto" w:fill="EEF3F9"/>
          </w:tcPr>
          <w:p>
            <w:r>
              <w:rPr>
                <w:sz w:val="18"/>
              </w:rPr>
              <w:t>Conditional (sequence to refinery, Ch.6)</w:t>
            </w:r>
          </w:p>
        </w:tc>
      </w:tr>
    </w:tbl>
    <w:p/>
    <w:p>
      <w:r>
        <w:rPr>
          <w:b/>
        </w:rPr>
        <w:t>The three priorities for Plastics &amp; Packaging:</w:t>
      </w:r>
    </w:p>
    <w:p>
      <w:pPr>
        <w:pStyle w:val="ListNumber"/>
      </w:pPr>
      <w:r>
        <w:rPr>
          <w:b/>
        </w:rPr>
        <w:t>Industrial and food/beverage packaging</w:t>
      </w:r>
      <w:r>
        <w:t xml:space="preserve"> — substitute the USD 37m+ packaging imports with higher-value, standards-compliant domestic packaging for food, beverage and agri-input sectors.</w:t>
      </w:r>
    </w:p>
    <w:p>
      <w:pPr>
        <w:pStyle w:val="ListNumber"/>
      </w:pPr>
      <w:r>
        <w:rPr>
          <w:b/>
        </w:rPr>
        <w:t>Plastics recycling</w:t>
      </w:r>
      <w:r>
        <w:t xml:space="preserve"> — scale recycling to turn the 600 t/day waste stream into domestic feedstock; the strongest alignment with the 2025 circularity policy.</w:t>
      </w:r>
    </w:p>
    <w:p>
      <w:pPr>
        <w:pStyle w:val="ListNumber"/>
      </w:pPr>
      <w:r>
        <w:rPr>
          <w:b/>
        </w:rPr>
        <w:t>Agricultural and cement packaging</w:t>
      </w:r>
      <w:r>
        <w:t xml:space="preserve"> (woven sacks, films) — feasible, job-rich, and linked to Uganda's agriculture and cement sectors.</w:t>
      </w:r>
    </w:p>
    <w:p>
      <w:r>
        <w:rPr>
          <w:b/>
        </w:rPr>
        <w:t>Explicit deprioritization.</w:t>
      </w:r>
      <w:r>
        <w:t xml:space="preserve"> Uganda should </w:t>
      </w:r>
      <w:r>
        <w:rPr>
          <w:b/>
        </w:rPr>
        <w:t>not</w:t>
      </w:r>
      <w:r>
        <w:t xml:space="preserve"> expand </w:t>
      </w:r>
      <w:r>
        <w:rPr>
          <w:b/>
        </w:rPr>
        <w:t>single-use carrier-bag</w:t>
      </w:r>
      <w:r>
        <w:t xml:space="preserve"> capacity (stranded-asset risk under the 2025 policy). Domestic </w:t>
      </w:r>
      <w:r>
        <w:rPr>
          <w:b/>
        </w:rPr>
        <w:t>virgin-resin</w:t>
      </w:r>
      <w:r>
        <w:t xml:space="preserve"> is conditional and must be </w:t>
      </w:r>
      <w:r>
        <w:rPr>
          <w:b/>
        </w:rPr>
        <w:t>sequenced to the petrochemical park</w:t>
      </w:r>
      <w:r>
        <w:t xml:space="preserve"> (Chapter 6).</w:t>
      </w:r>
    </w:p>
    <w:p>
      <w:pPr>
        <w:pStyle w:val="Heading2"/>
      </w:pPr>
      <w:r>
        <w:t>8.G Project Profiles</w:t>
      </w:r>
    </w:p>
    <w:p>
      <w:r>
        <w:rPr>
          <w:b/>
        </w:rPr>
        <w:t>P1 — Plastics recycling capacity (green + strategic anchor).</w:t>
      </w:r>
    </w:p>
    <w:p>
      <w:pPr>
        <w:pStyle w:val="ListBullet"/>
      </w:pPr>
      <w:r>
        <w:rPr>
          <w:i/>
        </w:rPr>
        <w:t>Strategic:</w:t>
      </w:r>
      <w:r>
        <w:t xml:space="preserve"> turns the 600 t/day waste stream into domestic feedstock; cuts resin imports; aligns with circularity policy.</w:t>
      </w:r>
    </w:p>
    <w:p>
      <w:pPr>
        <w:pStyle w:val="ListBullet"/>
      </w:pPr>
      <w:r>
        <w:rPr>
          <w:i/>
        </w:rPr>
        <w:t>Quick-win element:</w:t>
      </w:r>
      <w:r>
        <w:t xml:space="preserve"> build on existing recyclers (Quality Plastics) + EPR collection.</w:t>
      </w:r>
    </w:p>
    <w:p>
      <w:pPr>
        <w:pStyle w:val="ListBullet"/>
      </w:pPr>
      <w:r>
        <w:rPr>
          <w:i/>
        </w:rPr>
        <w:t>Green:</w:t>
      </w:r>
      <w:r>
        <w:t xml:space="preserve"> the flagship circular-economy project.</w:t>
      </w:r>
    </w:p>
    <w:p>
      <w:r>
        <w:rPr>
          <w:b/>
        </w:rPr>
        <w:t>P2 — Modern food/beverage &amp; agri-packaging plant (strategic).</w:t>
      </w:r>
    </w:p>
    <w:p>
      <w:pPr>
        <w:pStyle w:val="ListBullet"/>
      </w:pPr>
      <w:r>
        <w:rPr>
          <w:i/>
        </w:rPr>
        <w:t>Strategic:</w:t>
      </w:r>
      <w:r>
        <w:t xml:space="preserve"> substitutes USD 37m+ packaging imports; serves every other chain.</w:t>
      </w:r>
    </w:p>
    <w:p>
      <w:pPr>
        <w:pStyle w:val="ListBullet"/>
      </w:pPr>
      <w:r>
        <w:rPr>
          <w:i/>
        </w:rPr>
        <w:t>Quick-win element:</w:t>
      </w:r>
      <w:r>
        <w:t xml:space="preserve"> expand certified converters; standards-compliant lines.</w:t>
      </w:r>
    </w:p>
    <w:p>
      <w:pPr>
        <w:pStyle w:val="ListBullet"/>
      </w:pPr>
      <w:r>
        <w:rPr>
          <w:i/>
        </w:rPr>
        <w:t>Green:</w:t>
      </w:r>
      <w:r>
        <w:t xml:space="preserve"> recycled-content packaging.</w:t>
      </w:r>
    </w:p>
    <w:p>
      <w:r>
        <w:rPr>
          <w:b/>
        </w:rPr>
        <w:t>P3 — EPR &amp; collection scheme (green + quick-ish).</w:t>
      </w:r>
    </w:p>
    <w:p>
      <w:pPr>
        <w:pStyle w:val="ListBullet"/>
      </w:pPr>
      <w:r>
        <w:rPr>
          <w:i/>
        </w:rPr>
        <w:t>Strategic:</w:t>
      </w:r>
      <w:r>
        <w:t xml:space="preserve"> lifts collection above 40%, feeding recyclers.</w:t>
      </w:r>
    </w:p>
    <w:p>
      <w:pPr>
        <w:pStyle w:val="ListBullet"/>
      </w:pPr>
      <w:r>
        <w:rPr>
          <w:i/>
        </w:rPr>
        <w:t>Quick-win element:</w:t>
      </w:r>
      <w:r>
        <w:t xml:space="preserve"> policy + producer-funded collection can start near-term.</w:t>
      </w:r>
    </w:p>
    <w:p>
      <w:pPr>
        <w:pStyle w:val="ListBullet"/>
      </w:pPr>
      <w:r>
        <w:rPr>
          <w:i/>
        </w:rPr>
        <w:t>Green:</w:t>
      </w:r>
      <w:r>
        <w:t xml:space="preserve"> directly cuts pollution.</w:t>
      </w:r>
    </w:p>
    <w:p>
      <w:pPr>
        <w:pStyle w:val="Heading2"/>
      </w:pPr>
      <w:r>
        <w:t>8.H Priority Action Matrix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Timeframe</w:t>
            </w:r>
          </w:p>
        </w:tc>
        <w:tc>
          <w:tcPr>
            <w:tcW w:type="dxa" w:w="2351"/>
            <w:shd w:val="clear" w:color="auto" w:fill="002B5B"/>
          </w:tcPr>
          <w:p>
            <w:r>
              <w:rPr>
                <w:b/>
                <w:color w:val="FFFFFF"/>
                <w:sz w:val="18"/>
              </w:rPr>
              <w:t>Action</w:t>
            </w:r>
          </w:p>
        </w:tc>
        <w:tc>
          <w:tcPr>
            <w:tcW w:type="dxa" w:w="2351"/>
            <w:shd w:val="clear" w:color="auto" w:fill="002B5B"/>
          </w:tcPr>
          <w:p>
            <w:r>
              <w:rPr>
                <w:b/>
                <w:color w:val="FFFFFF"/>
                <w:sz w:val="18"/>
              </w:rPr>
              <w:t>Lead</w:t>
            </w:r>
          </w:p>
        </w:tc>
        <w:tc>
          <w:tcPr>
            <w:tcW w:type="dxa" w:w="2351"/>
            <w:shd w:val="clear" w:color="auto" w:fill="002B5B"/>
          </w:tcPr>
          <w:p>
            <w:r>
              <w:rPr>
                <w:b/>
                <w:color w:val="FFFFFF"/>
                <w:sz w:val="18"/>
              </w:rPr>
              <w:t>Indicative cost</w:t>
            </w:r>
          </w:p>
        </w:tc>
      </w:tr>
      <w:tr>
        <w:tc>
          <w:tcPr>
            <w:tcW w:type="dxa" w:w="2351"/>
            <w:shd w:val="clear" w:color="auto" w:fill="EEF3F9"/>
          </w:tcPr>
          <w:p>
            <w:r>
              <w:rPr>
                <w:b/>
                <w:sz w:val="18"/>
              </w:rPr>
              <w:t>Quick win (0–12m)</w:t>
            </w:r>
          </w:p>
        </w:tc>
        <w:tc>
          <w:tcPr>
            <w:tcW w:type="dxa" w:w="2351"/>
            <w:shd w:val="clear" w:color="auto" w:fill="EEF3F9"/>
          </w:tcPr>
          <w:p>
            <w:r>
              <w:rPr>
                <w:sz w:val="18"/>
              </w:rPr>
              <w:t>Clear, phased single-use-bag rules with support for transition to alternatives/recycled content</w:t>
            </w:r>
          </w:p>
        </w:tc>
        <w:tc>
          <w:tcPr>
            <w:tcW w:type="dxa" w:w="2351"/>
            <w:shd w:val="clear" w:color="auto" w:fill="EEF3F9"/>
          </w:tcPr>
          <w:p>
            <w:r>
              <w:rPr>
                <w:sz w:val="18"/>
              </w:rPr>
              <w:t>NEMA, MTIC</w:t>
            </w:r>
          </w:p>
        </w:tc>
        <w:tc>
          <w:tcPr>
            <w:tcW w:type="dxa" w:w="2351"/>
            <w:shd w:val="clear" w:color="auto" w:fill="EEF3F9"/>
          </w:tcPr>
          <w:p>
            <w:r>
              <w:rPr>
                <w:sz w:val="18"/>
              </w:rPr>
              <w:t>Low (policy)</w:t>
            </w:r>
          </w:p>
        </w:tc>
      </w:tr>
      <w:tr>
        <w:tc>
          <w:tcPr>
            <w:tcW w:type="dxa" w:w="2351"/>
            <w:shd w:val="clear" w:color="auto" w:fill="FFFFFF"/>
          </w:tcPr>
          <w:p>
            <w:r>
              <w:rPr>
                <w:sz w:val="18"/>
              </w:rPr>
              <w:t>Quick win (0–12m)</w:t>
            </w:r>
          </w:p>
        </w:tc>
        <w:tc>
          <w:tcPr>
            <w:tcW w:type="dxa" w:w="2351"/>
            <w:shd w:val="clear" w:color="auto" w:fill="FFFFFF"/>
          </w:tcPr>
          <w:p>
            <w:r>
              <w:rPr>
                <w:sz w:val="18"/>
              </w:rPr>
              <w:t>Strengthen UNBS enforcement on packaging standards (food-grade, thickness)</w:t>
            </w:r>
          </w:p>
        </w:tc>
        <w:tc>
          <w:tcPr>
            <w:tcW w:type="dxa" w:w="2351"/>
            <w:shd w:val="clear" w:color="auto" w:fill="FFFFFF"/>
          </w:tcPr>
          <w:p>
            <w:r>
              <w:rPr>
                <w:sz w:val="18"/>
              </w:rPr>
              <w:t>UNBS</w:t>
            </w:r>
          </w:p>
        </w:tc>
        <w:tc>
          <w:tcPr>
            <w:tcW w:type="dxa" w:w="2351"/>
            <w:shd w:val="clear" w:color="auto" w:fill="FFFFFF"/>
          </w:tcPr>
          <w:p>
            <w:r>
              <w:rPr>
                <w:sz w:val="18"/>
              </w:rPr>
              <w:t>Low</w:t>
            </w:r>
          </w:p>
        </w:tc>
      </w:tr>
      <w:tr>
        <w:tc>
          <w:tcPr>
            <w:tcW w:type="dxa" w:w="2351"/>
            <w:shd w:val="clear" w:color="auto" w:fill="EEF3F9"/>
          </w:tcPr>
          <w:p>
            <w:r>
              <w:rPr>
                <w:b/>
                <w:sz w:val="18"/>
              </w:rPr>
              <w:t>Reform (1–3y)</w:t>
            </w:r>
          </w:p>
        </w:tc>
        <w:tc>
          <w:tcPr>
            <w:tcW w:type="dxa" w:w="2351"/>
            <w:shd w:val="clear" w:color="auto" w:fill="EEF3F9"/>
          </w:tcPr>
          <w:p>
            <w:r>
              <w:rPr>
                <w:sz w:val="18"/>
              </w:rPr>
              <w:t>Extended Producer Responsibility (EPR) and recycling-collection framework</w:t>
            </w:r>
          </w:p>
        </w:tc>
        <w:tc>
          <w:tcPr>
            <w:tcW w:type="dxa" w:w="2351"/>
            <w:shd w:val="clear" w:color="auto" w:fill="EEF3F9"/>
          </w:tcPr>
          <w:p>
            <w:r>
              <w:rPr>
                <w:sz w:val="18"/>
              </w:rPr>
              <w:t>NEMA, MTIC</w:t>
            </w:r>
          </w:p>
        </w:tc>
        <w:tc>
          <w:tcPr>
            <w:tcW w:type="dxa" w:w="2351"/>
            <w:shd w:val="clear" w:color="auto" w:fill="EEF3F9"/>
          </w:tcPr>
          <w:p>
            <w:r>
              <w:rPr>
                <w:sz w:val="18"/>
              </w:rPr>
              <w:t>Medium</w:t>
            </w:r>
          </w:p>
        </w:tc>
      </w:tr>
      <w:tr>
        <w:tc>
          <w:tcPr>
            <w:tcW w:type="dxa" w:w="2351"/>
            <w:shd w:val="clear" w:color="auto" w:fill="FFFFFF"/>
          </w:tcPr>
          <w:p>
            <w:r>
              <w:rPr>
                <w:sz w:val="18"/>
              </w:rPr>
              <w:t>Reform (1–3y)</w:t>
            </w:r>
          </w:p>
        </w:tc>
        <w:tc>
          <w:tcPr>
            <w:tcW w:type="dxa" w:w="2351"/>
            <w:shd w:val="clear" w:color="auto" w:fill="FFFFFF"/>
          </w:tcPr>
          <w:p>
            <w:r>
              <w:rPr>
                <w:sz w:val="18"/>
              </w:rPr>
              <w:t>Incentives for recycling plants and recycled-content packaging</w:t>
            </w:r>
          </w:p>
        </w:tc>
        <w:tc>
          <w:tcPr>
            <w:tcW w:type="dxa" w:w="2351"/>
            <w:shd w:val="clear" w:color="auto" w:fill="FFFFFF"/>
          </w:tcPr>
          <w:p>
            <w:r>
              <w:rPr>
                <w:sz w:val="18"/>
              </w:rPr>
              <w:t>MTIC, UIA, MoFPED</w:t>
            </w:r>
          </w:p>
        </w:tc>
        <w:tc>
          <w:tcPr>
            <w:tcW w:type="dxa" w:w="2351"/>
            <w:shd w:val="clear" w:color="auto" w:fill="FFFFFF"/>
          </w:tcPr>
          <w:p>
            <w:r>
              <w:rPr>
                <w:sz w:val="18"/>
              </w:rPr>
              <w:t>Medium</w:t>
            </w:r>
          </w:p>
        </w:tc>
      </w:tr>
      <w:tr>
        <w:tc>
          <w:tcPr>
            <w:tcW w:type="dxa" w:w="2351"/>
            <w:shd w:val="clear" w:color="auto" w:fill="EEF3F9"/>
          </w:tcPr>
          <w:p>
            <w:r>
              <w:rPr>
                <w:b/>
                <w:sz w:val="18"/>
              </w:rPr>
              <w:t>Investment (3–5y)</w:t>
            </w:r>
          </w:p>
        </w:tc>
        <w:tc>
          <w:tcPr>
            <w:tcW w:type="dxa" w:w="2351"/>
            <w:shd w:val="clear" w:color="auto" w:fill="EEF3F9"/>
          </w:tcPr>
          <w:p>
            <w:r>
              <w:rPr>
                <w:sz w:val="18"/>
              </w:rPr>
              <w:t>Recycling capacity (PET/HDPE flake &amp; pellet)</w:t>
            </w:r>
          </w:p>
        </w:tc>
        <w:tc>
          <w:tcPr>
            <w:tcW w:type="dxa" w:w="2351"/>
            <w:shd w:val="clear" w:color="auto" w:fill="EEF3F9"/>
          </w:tcPr>
          <w:p>
            <w:r>
              <w:rPr>
                <w:sz w:val="18"/>
              </w:rPr>
              <w:t>Private-led</w:t>
            </w:r>
          </w:p>
        </w:tc>
        <w:tc>
          <w:tcPr>
            <w:tcW w:type="dxa" w:w="2351"/>
            <w:shd w:val="clear" w:color="auto" w:fill="EEF3F9"/>
          </w:tcPr>
          <w:p>
            <w:r>
              <w:rPr>
                <w:sz w:val="18"/>
              </w:rPr>
              <w:t>Indicative (see Ch.11)</w:t>
            </w:r>
          </w:p>
        </w:tc>
      </w:tr>
      <w:tr>
        <w:tc>
          <w:tcPr>
            <w:tcW w:type="dxa" w:w="2351"/>
            <w:shd w:val="clear" w:color="auto" w:fill="FFFFFF"/>
          </w:tcPr>
          <w:p>
            <w:r>
              <w:rPr>
                <w:sz w:val="18"/>
              </w:rPr>
              <w:t>Investment (3–5y)</w:t>
            </w:r>
          </w:p>
        </w:tc>
        <w:tc>
          <w:tcPr>
            <w:tcW w:type="dxa" w:w="2351"/>
            <w:shd w:val="clear" w:color="auto" w:fill="FFFFFF"/>
          </w:tcPr>
          <w:p>
            <w:r>
              <w:rPr>
                <w:sz w:val="18"/>
              </w:rPr>
              <w:t>Modern food/beverage &amp; agri packaging plants; resin (sequenced to refinery)</w:t>
            </w:r>
          </w:p>
        </w:tc>
        <w:tc>
          <w:tcPr>
            <w:tcW w:type="dxa" w:w="2351"/>
            <w:shd w:val="clear" w:color="auto" w:fill="FFFFFF"/>
          </w:tcPr>
          <w:p>
            <w:r>
              <w:rPr>
                <w:sz w:val="18"/>
              </w:rPr>
              <w:t>Private-led / PPP</w:t>
            </w:r>
          </w:p>
        </w:tc>
        <w:tc>
          <w:tcPr>
            <w:tcW w:type="dxa" w:w="2351"/>
            <w:shd w:val="clear" w:color="auto" w:fill="FFFFFF"/>
          </w:tcPr>
          <w:p>
            <w:r>
              <w:rPr>
                <w:sz w:val="18"/>
              </w:rPr>
              <w:t>Indicative (see Ch.11)</w:t>
            </w:r>
          </w:p>
        </w:tc>
      </w:tr>
    </w:tbl>
    <w:p/>
    <w:p>
      <w:r>
        <w:rPr>
          <w:i/>
        </w:rPr>
        <w:t>Sources for this chapter are listed in the consolidated References at the end of this report.</w:t>
      </w:r>
    </w:p>
    <w:p>
      <w:r>
        <w:br w:type="page"/>
      </w:r>
    </w:p>
    <w:p>
      <w:pPr>
        <w:pStyle w:val="Heading1"/>
      </w:pPr>
      <w:r>
        <w:t>Chapter 9: Cement &amp; Building Materials Value Chain</w:t>
      </w:r>
    </w:p>
    <w:p>
      <w:r>
        <w:rPr>
          <w:b/>
        </w:rPr>
        <w:t>Report:</w:t>
      </w:r>
      <w:r>
        <w:t xml:space="preserve"> Report 2 — Textiles &amp; Garments, Pharmaceuticals, Petrochemicals &amp; Fertilizers, Sugar &amp; Confectionery, Plastics &amp; Packaging, and Cement &amp; Building Materials Value Chains</w:t>
      </w:r>
    </w:p>
    <w:p>
      <w:r>
        <w:rPr>
          <w:b/>
        </w:rPr>
        <w:t>Status:</w:t>
      </w:r>
      <w:r>
        <w:t xml:space="preserve"> Draft for validation</w:t>
      </w:r>
    </w:p>
    <w:p>
      <w:r>
        <w:rPr>
          <w:b/>
        </w:rPr>
        <w:t>Primary data source:</w:t>
      </w:r>
      <w:r>
        <w:t xml:space="preserve"> Technical Working Group (TWG) engagements with MTIC sector experts (primary); CemNet / Global Cement; IndexBox; UBOS; ITC TradeMap (2024). Full sources are in the consolidated References at the end of this report.</w:t>
      </w:r>
    </w:p>
    <w:p>
      <w:pPr>
        <w:pStyle w:val="Heading2"/>
      </w:pPr>
      <w:r>
        <w:t>9.0 Why Cement &amp; Building Materials Matters for the Tenfold Growth Strategy</w:t>
      </w:r>
    </w:p>
    <w:p>
      <w:r>
        <w:t xml:space="preserve">You cannot build a ten-times-larger economy without cement — it is the literal foundation of the infrastructure, factories, housing and cities that tenfold growth requires. Uganda already has a </w:t>
      </w:r>
      <w:r>
        <w:rPr>
          <w:b/>
        </w:rPr>
        <w:t>strong, regionally-competitive cement-grinding and finished-cement export industry</w:t>
      </w:r>
      <w:r>
        <w:t xml:space="preserve">, but it </w:t>
      </w:r>
      <w:r>
        <w:rPr>
          <w:b/>
        </w:rPr>
        <w:t>imports over half its clinker</w:t>
      </w:r>
      <w:r>
        <w:t xml:space="preserve"> — the highest-value, most capital- and energy-intensive step. Closing that clinker gap captures the value Uganda currently sends abroad, secures the supply that a construction boom needs, and — done with modern, lower-carbon kilns — turns a heavy-emitting industry into a competitiveness asset.</w:t>
      </w:r>
    </w:p>
    <w:p>
      <w:pPr>
        <w:pStyle w:val="Heading2"/>
      </w:pPr>
      <w:r>
        <w:t>9.A Value Chain Map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02B5B"/>
          </w:tcPr>
          <w:p>
            <w:r>
              <w:rPr>
                <w:b/>
                <w:color w:val="FFFFFF"/>
                <w:sz w:val="18"/>
              </w:rPr>
              <w:t>Phase</w:t>
            </w:r>
          </w:p>
        </w:tc>
        <w:tc>
          <w:tcPr>
            <w:tcW w:type="dxa" w:w="1881"/>
            <w:shd w:val="clear" w:color="auto" w:fill="002B5B"/>
          </w:tcPr>
          <w:p>
            <w:r>
              <w:rPr>
                <w:b/>
                <w:color w:val="FFFFFF"/>
                <w:sz w:val="18"/>
              </w:rPr>
              <w:t>Activity</w:t>
            </w:r>
          </w:p>
        </w:tc>
        <w:tc>
          <w:tcPr>
            <w:tcW w:type="dxa" w:w="1881"/>
            <w:shd w:val="clear" w:color="auto" w:fill="002B5B"/>
          </w:tcPr>
          <w:p>
            <w:r>
              <w:rPr>
                <w:b/>
                <w:color w:val="FFFFFF"/>
                <w:sz w:val="18"/>
              </w:rPr>
              <w:t>Main inputs</w:t>
            </w:r>
          </w:p>
        </w:tc>
        <w:tc>
          <w:tcPr>
            <w:tcW w:type="dxa" w:w="1881"/>
            <w:shd w:val="clear" w:color="auto" w:fill="002B5B"/>
          </w:tcPr>
          <w:p>
            <w:r>
              <w:rPr>
                <w:b/>
                <w:color w:val="FFFFFF"/>
                <w:sz w:val="18"/>
              </w:rPr>
              <w:t>Output</w:t>
            </w:r>
          </w:p>
        </w:tc>
        <w:tc>
          <w:tcPr>
            <w:tcW w:type="dxa" w:w="1881"/>
            <w:shd w:val="clear" w:color="auto" w:fill="002B5B"/>
          </w:tcPr>
          <w:p>
            <w:r>
              <w:rPr>
                <w:b/>
                <w:color w:val="FFFFFF"/>
                <w:sz w:val="18"/>
              </w:rPr>
              <w:t>Uganda's position</w:t>
            </w:r>
          </w:p>
        </w:tc>
      </w:tr>
      <w:tr>
        <w:tc>
          <w:tcPr>
            <w:tcW w:type="dxa" w:w="1881"/>
            <w:shd w:val="clear" w:color="auto" w:fill="EEF3F9"/>
          </w:tcPr>
          <w:p>
            <w:r>
              <w:rPr>
                <w:sz w:val="18"/>
              </w:rPr>
              <w:t>I</w:t>
            </w:r>
          </w:p>
        </w:tc>
        <w:tc>
          <w:tcPr>
            <w:tcW w:type="dxa" w:w="1881"/>
            <w:shd w:val="clear" w:color="auto" w:fill="EEF3F9"/>
          </w:tcPr>
          <w:p>
            <w:r>
              <w:rPr>
                <w:sz w:val="18"/>
              </w:rPr>
              <w:t>Limestone quarrying</w:t>
            </w:r>
          </w:p>
        </w:tc>
        <w:tc>
          <w:tcPr>
            <w:tcW w:type="dxa" w:w="1881"/>
            <w:shd w:val="clear" w:color="auto" w:fill="EEF3F9"/>
          </w:tcPr>
          <w:p>
            <w:r>
              <w:rPr>
                <w:sz w:val="18"/>
              </w:rPr>
              <w:t>Limestone deposits</w:t>
            </w:r>
          </w:p>
        </w:tc>
        <w:tc>
          <w:tcPr>
            <w:tcW w:type="dxa" w:w="1881"/>
            <w:shd w:val="clear" w:color="auto" w:fill="EEF3F9"/>
          </w:tcPr>
          <w:p>
            <w:r>
              <w:rPr>
                <w:sz w:val="18"/>
              </w:rPr>
              <w:t>Limestone</w:t>
            </w:r>
          </w:p>
        </w:tc>
        <w:tc>
          <w:tcPr>
            <w:tcW w:type="dxa" w:w="1881"/>
            <w:shd w:val="clear" w:color="auto" w:fill="EEF3F9"/>
          </w:tcPr>
          <w:p>
            <w:r>
              <w:rPr>
                <w:b/>
                <w:sz w:val="18"/>
              </w:rPr>
              <w:t>Adequate</w:t>
            </w:r>
            <w:r>
              <w:rPr>
                <w:sz w:val="18"/>
              </w:rPr>
              <w:t xml:space="preserve"> (Dura, Tororo, Karamoja)</w:t>
            </w:r>
          </w:p>
        </w:tc>
      </w:tr>
      <w:tr>
        <w:tc>
          <w:tcPr>
            <w:tcW w:type="dxa" w:w="1881"/>
            <w:shd w:val="clear" w:color="auto" w:fill="FFFFFF"/>
          </w:tcPr>
          <w:p>
            <w:r>
              <w:rPr>
                <w:sz w:val="18"/>
              </w:rPr>
              <w:t>II</w:t>
            </w:r>
          </w:p>
        </w:tc>
        <w:tc>
          <w:tcPr>
            <w:tcW w:type="dxa" w:w="1881"/>
            <w:shd w:val="clear" w:color="auto" w:fill="FFFFFF"/>
          </w:tcPr>
          <w:p>
            <w:r>
              <w:rPr>
                <w:sz w:val="18"/>
              </w:rPr>
              <w:t>Clinker production</w:t>
            </w:r>
          </w:p>
        </w:tc>
        <w:tc>
          <w:tcPr>
            <w:tcW w:type="dxa" w:w="1881"/>
            <w:shd w:val="clear" w:color="auto" w:fill="FFFFFF"/>
          </w:tcPr>
          <w:p>
            <w:r>
              <w:rPr>
                <w:sz w:val="18"/>
              </w:rPr>
              <w:t>Limestone, energy, additives</w:t>
            </w:r>
          </w:p>
        </w:tc>
        <w:tc>
          <w:tcPr>
            <w:tcW w:type="dxa" w:w="1881"/>
            <w:shd w:val="clear" w:color="auto" w:fill="FFFFFF"/>
          </w:tcPr>
          <w:p>
            <w:r>
              <w:rPr>
                <w:sz w:val="18"/>
              </w:rPr>
              <w:t>Clinker</w:t>
            </w:r>
          </w:p>
        </w:tc>
        <w:tc>
          <w:tcPr>
            <w:tcW w:type="dxa" w:w="1881"/>
            <w:shd w:val="clear" w:color="auto" w:fill="FFFFFF"/>
          </w:tcPr>
          <w:p>
            <w:r>
              <w:rPr>
                <w:b/>
                <w:sz w:val="18"/>
              </w:rPr>
              <w:t>Gap</w:t>
            </w:r>
            <w:r>
              <w:rPr>
                <w:sz w:val="18"/>
              </w:rPr>
              <w:t xml:space="preserve"> — &gt;50% imported</w:t>
            </w:r>
          </w:p>
        </w:tc>
      </w:tr>
      <w:tr>
        <w:tc>
          <w:tcPr>
            <w:tcW w:type="dxa" w:w="1881"/>
            <w:shd w:val="clear" w:color="auto" w:fill="EEF3F9"/>
          </w:tcPr>
          <w:p>
            <w:r>
              <w:rPr>
                <w:sz w:val="18"/>
              </w:rPr>
              <w:t>III</w:t>
            </w:r>
          </w:p>
        </w:tc>
        <w:tc>
          <w:tcPr>
            <w:tcW w:type="dxa" w:w="1881"/>
            <w:shd w:val="clear" w:color="auto" w:fill="EEF3F9"/>
          </w:tcPr>
          <w:p>
            <w:r>
              <w:rPr>
                <w:sz w:val="18"/>
              </w:rPr>
              <w:t>Cement grinding</w:t>
            </w:r>
          </w:p>
        </w:tc>
        <w:tc>
          <w:tcPr>
            <w:tcW w:type="dxa" w:w="1881"/>
            <w:shd w:val="clear" w:color="auto" w:fill="EEF3F9"/>
          </w:tcPr>
          <w:p>
            <w:r>
              <w:rPr>
                <w:sz w:val="18"/>
              </w:rPr>
              <w:t>Clinker, gypsum, additives</w:t>
            </w:r>
          </w:p>
        </w:tc>
        <w:tc>
          <w:tcPr>
            <w:tcW w:type="dxa" w:w="1881"/>
            <w:shd w:val="clear" w:color="auto" w:fill="EEF3F9"/>
          </w:tcPr>
          <w:p>
            <w:r>
              <w:rPr>
                <w:sz w:val="18"/>
              </w:rPr>
              <w:t>Cement (OPC, blended)</w:t>
            </w:r>
          </w:p>
        </w:tc>
        <w:tc>
          <w:tcPr>
            <w:tcW w:type="dxa" w:w="1881"/>
            <w:shd w:val="clear" w:color="auto" w:fill="EEF3F9"/>
          </w:tcPr>
          <w:p>
            <w:r>
              <w:rPr>
                <w:b/>
                <w:sz w:val="18"/>
              </w:rPr>
              <w:t>Strong</w:t>
            </w:r>
          </w:p>
        </w:tc>
      </w:tr>
      <w:tr>
        <w:tc>
          <w:tcPr>
            <w:tcW w:type="dxa" w:w="1881"/>
            <w:shd w:val="clear" w:color="auto" w:fill="FFFFFF"/>
          </w:tcPr>
          <w:p>
            <w:r>
              <w:rPr>
                <w:sz w:val="18"/>
              </w:rPr>
              <w:t>IV</w:t>
            </w:r>
          </w:p>
        </w:tc>
        <w:tc>
          <w:tcPr>
            <w:tcW w:type="dxa" w:w="1881"/>
            <w:shd w:val="clear" w:color="auto" w:fill="FFFFFF"/>
          </w:tcPr>
          <w:p>
            <w:r>
              <w:rPr>
                <w:sz w:val="18"/>
              </w:rPr>
              <w:t>Downstream products</w:t>
            </w:r>
          </w:p>
        </w:tc>
        <w:tc>
          <w:tcPr>
            <w:tcW w:type="dxa" w:w="1881"/>
            <w:shd w:val="clear" w:color="auto" w:fill="FFFFFF"/>
          </w:tcPr>
          <w:p>
            <w:r>
              <w:rPr>
                <w:sz w:val="18"/>
              </w:rPr>
              <w:t>Cement, aggregates</w:t>
            </w:r>
          </w:p>
        </w:tc>
        <w:tc>
          <w:tcPr>
            <w:tcW w:type="dxa" w:w="1881"/>
            <w:shd w:val="clear" w:color="auto" w:fill="FFFFFF"/>
          </w:tcPr>
          <w:p>
            <w:r>
              <w:rPr>
                <w:sz w:val="18"/>
              </w:rPr>
              <w:t>Concrete, blocks, tiles, fibre-cement</w:t>
            </w:r>
          </w:p>
        </w:tc>
        <w:tc>
          <w:tcPr>
            <w:tcW w:type="dxa" w:w="1881"/>
            <w:shd w:val="clear" w:color="auto" w:fill="FFFFFF"/>
          </w:tcPr>
          <w:p>
            <w:r>
              <w:rPr>
                <w:b/>
                <w:sz w:val="18"/>
              </w:rPr>
              <w:t>Growing</w:t>
            </w:r>
          </w:p>
        </w:tc>
      </w:tr>
      <w:tr>
        <w:tc>
          <w:tcPr>
            <w:tcW w:type="dxa" w:w="1881"/>
            <w:shd w:val="clear" w:color="auto" w:fill="EEF3F9"/>
          </w:tcPr>
          <w:p>
            <w:r>
              <w:rPr>
                <w:sz w:val="18"/>
              </w:rPr>
              <w:t>V</w:t>
            </w:r>
          </w:p>
        </w:tc>
        <w:tc>
          <w:tcPr>
            <w:tcW w:type="dxa" w:w="1881"/>
            <w:shd w:val="clear" w:color="auto" w:fill="EEF3F9"/>
          </w:tcPr>
          <w:p>
            <w:r>
              <w:rPr>
                <w:sz w:val="18"/>
              </w:rPr>
              <w:t>Market</w:t>
            </w:r>
          </w:p>
        </w:tc>
        <w:tc>
          <w:tcPr>
            <w:tcW w:type="dxa" w:w="1881"/>
            <w:shd w:val="clear" w:color="auto" w:fill="EEF3F9"/>
          </w:tcPr>
          <w:p>
            <w:r>
              <w:rPr>
                <w:sz w:val="18"/>
              </w:rPr>
              <w:t>Products</w:t>
            </w:r>
          </w:p>
        </w:tc>
        <w:tc>
          <w:tcPr>
            <w:tcW w:type="dxa" w:w="1881"/>
            <w:shd w:val="clear" w:color="auto" w:fill="EEF3F9"/>
          </w:tcPr>
          <w:p>
            <w:r>
              <w:rPr>
                <w:sz w:val="18"/>
              </w:rPr>
              <w:t>Construction</w:t>
            </w:r>
          </w:p>
        </w:tc>
        <w:tc>
          <w:tcPr>
            <w:tcW w:type="dxa" w:w="1881"/>
            <w:shd w:val="clear" w:color="auto" w:fill="EEF3F9"/>
          </w:tcPr>
          <w:p>
            <w:r>
              <w:rPr>
                <w:b/>
                <w:sz w:val="18"/>
              </w:rPr>
              <w:t>Active</w:t>
            </w:r>
            <w:r>
              <w:rPr>
                <w:sz w:val="18"/>
              </w:rPr>
              <w:t>; regional exporter</w:t>
            </w:r>
          </w:p>
        </w:tc>
      </w:tr>
    </w:tbl>
    <w:p/>
    <w:p>
      <w:r>
        <w:rPr>
          <w:b/>
        </w:rPr>
        <w:t>Where value is captured and lost.</w:t>
      </w:r>
      <w:r>
        <w:t xml:space="preserve"> Uganda has substantial grinding capacity but </w:t>
      </w:r>
      <w:r>
        <w:rPr>
          <w:b/>
        </w:rPr>
        <w:t>imports over 50% of its clinker</w:t>
      </w:r>
      <w:r>
        <w:t xml:space="preserve"> — the highest-value step. Cement and clinker (HS 2523) imports were ~</w:t>
      </w:r>
      <w:r>
        <w:rPr>
          <w:b/>
        </w:rPr>
        <w:t>USD 162.2 million in 2024</w:t>
      </w:r>
      <w:r>
        <w:t>, against exports of ~</w:t>
      </w:r>
      <w:r>
        <w:rPr>
          <w:b/>
        </w:rPr>
        <w:t>USD 86.0 million</w:t>
      </w:r>
      <w:r>
        <w:t xml:space="preserve"> (ITC TradeMap): Uganda is both a significant </w:t>
      </w:r>
      <w:r>
        <w:rPr>
          <w:b/>
        </w:rPr>
        <w:t>finished-cement exporter</w:t>
      </w:r>
      <w:r>
        <w:t xml:space="preserve"> to neighbours </w:t>
      </w:r>
      <w:r>
        <w:rPr>
          <w:i/>
        </w:rPr>
        <w:t>and</w:t>
      </w:r>
      <w:r>
        <w:t xml:space="preserve"> a major </w:t>
      </w:r>
      <w:r>
        <w:rPr>
          <w:b/>
        </w:rPr>
        <w:t>clinker importer</w:t>
      </w:r>
      <w:r>
        <w:t xml:space="preserve"> — the classic "missing middle." Closing the clinker gap is the prize.</w:t>
      </w:r>
    </w:p>
    <w:p>
      <w:pPr>
        <w:pStyle w:val="Heading2"/>
      </w:pPr>
      <w:r>
        <w:t>9.B Current Status</w:t>
      </w:r>
    </w:p>
    <w:p>
      <w:pPr>
        <w:pStyle w:val="Heading3"/>
      </w:pPr>
      <w:r>
        <w:t>Status snapshot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Indicator</w:t>
            </w:r>
          </w:p>
        </w:tc>
        <w:tc>
          <w:tcPr>
            <w:tcW w:type="dxa" w:w="3135"/>
            <w:shd w:val="clear" w:color="auto" w:fill="002B5B"/>
          </w:tcPr>
          <w:p>
            <w:r>
              <w:rPr>
                <w:b/>
                <w:color w:val="FFFFFF"/>
                <w:sz w:val="18"/>
              </w:rPr>
              <w:t>Value</w:t>
            </w:r>
          </w:p>
        </w:tc>
        <w:tc>
          <w:tcPr>
            <w:tcW w:type="dxa" w:w="3135"/>
            <w:shd w:val="clear" w:color="auto" w:fill="002B5B"/>
          </w:tcPr>
          <w:p>
            <w:r>
              <w:rPr>
                <w:b/>
                <w:color w:val="FFFFFF"/>
                <w:sz w:val="18"/>
              </w:rPr>
              <w:t>Source</w:t>
            </w:r>
          </w:p>
        </w:tc>
      </w:tr>
      <w:tr>
        <w:tc>
          <w:tcPr>
            <w:tcW w:type="dxa" w:w="3135"/>
            <w:shd w:val="clear" w:color="auto" w:fill="EEF3F9"/>
          </w:tcPr>
          <w:p>
            <w:r>
              <w:rPr>
                <w:sz w:val="18"/>
              </w:rPr>
              <w:t>Cement market</w:t>
            </w:r>
          </w:p>
        </w:tc>
        <w:tc>
          <w:tcPr>
            <w:tcW w:type="dxa" w:w="3135"/>
            <w:shd w:val="clear" w:color="auto" w:fill="EEF3F9"/>
          </w:tcPr>
          <w:p>
            <w:r>
              <w:rPr>
                <w:b/>
                <w:sz w:val="18"/>
              </w:rPr>
              <w:t>~USD 707m (2024), +~12% YoY</w:t>
            </w:r>
          </w:p>
        </w:tc>
        <w:tc>
          <w:tcPr>
            <w:tcW w:type="dxa" w:w="3135"/>
            <w:shd w:val="clear" w:color="auto" w:fill="EEF3F9"/>
          </w:tcPr>
          <w:p>
            <w:r>
              <w:rPr>
                <w:sz w:val="18"/>
              </w:rPr>
              <w:t>IndexBox</w:t>
            </w:r>
          </w:p>
        </w:tc>
      </w:tr>
      <w:tr>
        <w:tc>
          <w:tcPr>
            <w:tcW w:type="dxa" w:w="3135"/>
            <w:shd w:val="clear" w:color="auto" w:fill="FFFFFF"/>
          </w:tcPr>
          <w:p>
            <w:r>
              <w:rPr>
                <w:sz w:val="18"/>
              </w:rPr>
              <w:t>Clinker dependence</w:t>
            </w:r>
          </w:p>
        </w:tc>
        <w:tc>
          <w:tcPr>
            <w:tcW w:type="dxa" w:w="3135"/>
            <w:shd w:val="clear" w:color="auto" w:fill="FFFFFF"/>
          </w:tcPr>
          <w:p>
            <w:r>
              <w:rPr>
                <w:b/>
                <w:sz w:val="18"/>
              </w:rPr>
              <w:t>&gt;50% imported</w:t>
            </w:r>
          </w:p>
        </w:tc>
        <w:tc>
          <w:tcPr>
            <w:tcW w:type="dxa" w:w="3135"/>
            <w:shd w:val="clear" w:color="auto" w:fill="FFFFFF"/>
          </w:tcPr>
          <w:p>
            <w:r>
              <w:rPr>
                <w:sz w:val="18"/>
              </w:rPr>
              <w:t>CemNet; sector</w:t>
            </w:r>
          </w:p>
        </w:tc>
      </w:tr>
      <w:tr>
        <w:tc>
          <w:tcPr>
            <w:tcW w:type="dxa" w:w="3135"/>
            <w:shd w:val="clear" w:color="auto" w:fill="EEF3F9"/>
          </w:tcPr>
          <w:p>
            <w:r>
              <w:rPr>
                <w:sz w:val="18"/>
              </w:rPr>
              <w:t>Cement &amp; clinker (HS 2523)</w:t>
            </w:r>
          </w:p>
        </w:tc>
        <w:tc>
          <w:tcPr>
            <w:tcW w:type="dxa" w:w="3135"/>
            <w:shd w:val="clear" w:color="auto" w:fill="EEF3F9"/>
          </w:tcPr>
          <w:p>
            <w:r>
              <w:rPr>
                <w:sz w:val="18"/>
              </w:rPr>
              <w:t xml:space="preserve">imports </w:t>
            </w:r>
            <w:r>
              <w:rPr>
                <w:b/>
                <w:sz w:val="18"/>
              </w:rPr>
              <w:t>USD 162.2m</w:t>
            </w:r>
            <w:r>
              <w:rPr>
                <w:sz w:val="18"/>
              </w:rPr>
              <w:t xml:space="preserve">; exports </w:t>
            </w:r>
            <w:r>
              <w:rPr>
                <w:b/>
                <w:sz w:val="18"/>
              </w:rPr>
              <w:t>USD 86.0m</w:t>
            </w:r>
          </w:p>
        </w:tc>
        <w:tc>
          <w:tcPr>
            <w:tcW w:type="dxa" w:w="3135"/>
            <w:shd w:val="clear" w:color="auto" w:fill="EEF3F9"/>
          </w:tcPr>
          <w:p>
            <w:r>
              <w:rPr>
                <w:sz w:val="18"/>
              </w:rPr>
              <w:t>ITC TradeMap</w:t>
            </w:r>
          </w:p>
        </w:tc>
      </w:tr>
      <w:tr>
        <w:tc>
          <w:tcPr>
            <w:tcW w:type="dxa" w:w="3135"/>
            <w:shd w:val="clear" w:color="auto" w:fill="FFFFFF"/>
          </w:tcPr>
          <w:p>
            <w:r>
              <w:rPr>
                <w:sz w:val="18"/>
              </w:rPr>
              <w:t>Export destinations</w:t>
            </w:r>
          </w:p>
        </w:tc>
        <w:tc>
          <w:tcPr>
            <w:tcW w:type="dxa" w:w="3135"/>
            <w:shd w:val="clear" w:color="auto" w:fill="FFFFFF"/>
          </w:tcPr>
          <w:p>
            <w:r>
              <w:rPr>
                <w:sz w:val="18"/>
              </w:rPr>
              <w:t>Rwanda, DRC, South Sudan, Kenya</w:t>
            </w:r>
          </w:p>
        </w:tc>
        <w:tc>
          <w:tcPr>
            <w:tcW w:type="dxa" w:w="3135"/>
            <w:shd w:val="clear" w:color="auto" w:fill="FFFFFF"/>
          </w:tcPr>
          <w:p>
            <w:r>
              <w:rPr>
                <w:sz w:val="18"/>
              </w:rPr>
              <w:t>ITC TradeMap</w:t>
            </w:r>
          </w:p>
        </w:tc>
      </w:tr>
      <w:tr>
        <w:tc>
          <w:tcPr>
            <w:tcW w:type="dxa" w:w="3135"/>
            <w:shd w:val="clear" w:color="auto" w:fill="EEF3F9"/>
          </w:tcPr>
          <w:p>
            <w:r>
              <w:rPr>
                <w:sz w:val="18"/>
              </w:rPr>
              <w:t>Tororo Cement</w:t>
            </w:r>
          </w:p>
        </w:tc>
        <w:tc>
          <w:tcPr>
            <w:tcW w:type="dxa" w:w="3135"/>
            <w:shd w:val="clear" w:color="auto" w:fill="EEF3F9"/>
          </w:tcPr>
          <w:p>
            <w:r>
              <w:rPr>
                <w:sz w:val="18"/>
              </w:rPr>
              <w:t>~3.0 Mtpa (largest)</w:t>
            </w:r>
          </w:p>
        </w:tc>
        <w:tc>
          <w:tcPr>
            <w:tcW w:type="dxa" w:w="3135"/>
            <w:shd w:val="clear" w:color="auto" w:fill="EEF3F9"/>
          </w:tcPr>
          <w:p>
            <w:r>
              <w:rPr>
                <w:sz w:val="18"/>
              </w:rPr>
              <w:t>CemNet</w:t>
            </w:r>
          </w:p>
        </w:tc>
      </w:tr>
      <w:tr>
        <w:tc>
          <w:tcPr>
            <w:tcW w:type="dxa" w:w="3135"/>
            <w:shd w:val="clear" w:color="auto" w:fill="FFFFFF"/>
          </w:tcPr>
          <w:p>
            <w:r>
              <w:rPr>
                <w:sz w:val="18"/>
              </w:rPr>
              <w:t>Hima Cement</w:t>
            </w:r>
          </w:p>
        </w:tc>
        <w:tc>
          <w:tcPr>
            <w:tcW w:type="dxa" w:w="3135"/>
            <w:shd w:val="clear" w:color="auto" w:fill="FFFFFF"/>
          </w:tcPr>
          <w:p>
            <w:r>
              <w:rPr>
                <w:sz w:val="18"/>
              </w:rPr>
              <w:t>~2.0 Mtpa; owns Dura quarry (Kamwenge, reserves to ~2036)</w:t>
            </w:r>
          </w:p>
        </w:tc>
        <w:tc>
          <w:tcPr>
            <w:tcW w:type="dxa" w:w="3135"/>
            <w:shd w:val="clear" w:color="auto" w:fill="FFFFFF"/>
          </w:tcPr>
          <w:p>
            <w:r>
              <w:rPr>
                <w:sz w:val="18"/>
              </w:rPr>
              <w:t>CemNet</w:t>
            </w:r>
          </w:p>
        </w:tc>
      </w:tr>
      <w:tr>
        <w:tc>
          <w:tcPr>
            <w:tcW w:type="dxa" w:w="3135"/>
            <w:shd w:val="clear" w:color="auto" w:fill="EEF3F9"/>
          </w:tcPr>
          <w:p>
            <w:r>
              <w:rPr>
                <w:sz w:val="18"/>
              </w:rPr>
              <w:t>Simba; Kampala Cement</w:t>
            </w:r>
          </w:p>
        </w:tc>
        <w:tc>
          <w:tcPr>
            <w:tcW w:type="dxa" w:w="3135"/>
            <w:shd w:val="clear" w:color="auto" w:fill="EEF3F9"/>
          </w:tcPr>
          <w:p>
            <w:r>
              <w:rPr>
                <w:sz w:val="18"/>
              </w:rPr>
              <w:t>~1.0 Mtpa each</w:t>
            </w:r>
          </w:p>
        </w:tc>
        <w:tc>
          <w:tcPr>
            <w:tcW w:type="dxa" w:w="3135"/>
            <w:shd w:val="clear" w:color="auto" w:fill="EEF3F9"/>
          </w:tcPr>
          <w:p>
            <w:r>
              <w:rPr>
                <w:sz w:val="18"/>
              </w:rPr>
              <w:t>CemNet</w:t>
            </w:r>
          </w:p>
        </w:tc>
      </w:tr>
      <w:tr>
        <w:tc>
          <w:tcPr>
            <w:tcW w:type="dxa" w:w="3135"/>
            <w:shd w:val="clear" w:color="auto" w:fill="FFFFFF"/>
          </w:tcPr>
          <w:p>
            <w:r>
              <w:rPr>
                <w:sz w:val="18"/>
              </w:rPr>
              <w:t>New clinker capacity</w:t>
            </w:r>
          </w:p>
        </w:tc>
        <w:tc>
          <w:tcPr>
            <w:tcW w:type="dxa" w:w="3135"/>
            <w:shd w:val="clear" w:color="auto" w:fill="FFFFFF"/>
          </w:tcPr>
          <w:p>
            <w:r>
              <w:rPr>
                <w:sz w:val="18"/>
              </w:rPr>
              <w:t>NE plant (USD 300m, &gt;6,000 t/day); Buikwe (West Int'l, USD 200m, ~4,000 t/day, 2025)</w:t>
            </w:r>
          </w:p>
        </w:tc>
        <w:tc>
          <w:tcPr>
            <w:tcW w:type="dxa" w:w="3135"/>
            <w:shd w:val="clear" w:color="auto" w:fill="FFFFFF"/>
          </w:tcPr>
          <w:p>
            <w:r>
              <w:rPr>
                <w:sz w:val="18"/>
              </w:rPr>
              <w:t>Ecofin; CemNet</w:t>
            </w:r>
          </w:p>
        </w:tc>
      </w:tr>
    </w:tbl>
    <w:p/>
    <w:p>
      <w:r>
        <w:rPr>
          <w:b/>
        </w:rPr>
        <w:t>Market.</w:t>
      </w:r>
      <w:r>
        <w:t xml:space="preserve"> ~</w:t>
      </w:r>
      <w:r>
        <w:rPr>
          <w:b/>
        </w:rPr>
        <w:t>USD 707 million in 2024, up ~12% YoY</w:t>
      </w:r>
      <w:r>
        <w:t xml:space="preserve"> (IndexBox), driven by construction, infrastructure and the oil-and-gas build-out.</w:t>
      </w:r>
    </w:p>
    <w:p>
      <w:r>
        <w:rPr>
          <w:b/>
        </w:rPr>
        <w:t>Capacity and firms.</w:t>
      </w:r>
      <w:r>
        <w:t xml:space="preserve"> Grinding capacity has grown well beyond the ~6.8 Mtpa of 2018: </w:t>
      </w:r>
      <w:r>
        <w:rPr>
          <w:b/>
        </w:rPr>
        <w:t>Tororo Cement</w:t>
      </w:r>
      <w:r>
        <w:t xml:space="preserve"> (~3.0 Mtpa, largest), </w:t>
      </w:r>
      <w:r>
        <w:rPr>
          <w:b/>
        </w:rPr>
        <w:t>Hima Cement</w:t>
      </w:r>
      <w:r>
        <w:t xml:space="preserve"> (~2.0 Mtpa; owns the </w:t>
      </w:r>
      <w:r>
        <w:rPr>
          <w:b/>
        </w:rPr>
        <w:t>Dura limestone quarry</w:t>
      </w:r>
      <w:r>
        <w:t xml:space="preserve">, Kamwenge, reserves to ~2036), </w:t>
      </w:r>
      <w:r>
        <w:rPr>
          <w:b/>
        </w:rPr>
        <w:t>Simba Cement</w:t>
      </w:r>
      <w:r>
        <w:t xml:space="preserve"> (~1.0 Mtpa), </w:t>
      </w:r>
      <w:r>
        <w:rPr>
          <w:b/>
        </w:rPr>
        <w:t>Kampala Cement</w:t>
      </w:r>
      <w:r>
        <w:t xml:space="preserve"> (~1.0 Mtpa). New clinker plants — a </w:t>
      </w:r>
      <w:r>
        <w:rPr>
          <w:b/>
        </w:rPr>
        <w:t>USD 300m plant in north-eastern Uganda</w:t>
      </w:r>
      <w:r>
        <w:t xml:space="preserve"> (&gt;6,000 t clinker/day) and </w:t>
      </w:r>
      <w:r>
        <w:rPr>
          <w:b/>
        </w:rPr>
        <w:t>West International Holding's USD 200m Buikwe plant</w:t>
      </w:r>
      <w:r>
        <w:t xml:space="preserve"> (~4,000 t/day, 2025) — directly target the import gap.</w:t>
      </w:r>
    </w:p>
    <w:p>
      <w:pPr>
        <w:pStyle w:val="Heading2"/>
      </w:pPr>
      <w:r>
        <w:t>9.C Market Analysis (four levels) and 2040 Projection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18"/>
              </w:rPr>
              <w:t>Level</w:t>
            </w:r>
          </w:p>
        </w:tc>
        <w:tc>
          <w:tcPr>
            <w:tcW w:type="dxa" w:w="3135"/>
            <w:shd w:val="clear" w:color="auto" w:fill="002B5B"/>
          </w:tcPr>
          <w:p>
            <w:r>
              <w:rPr>
                <w:b/>
                <w:color w:val="FFFFFF"/>
                <w:sz w:val="18"/>
              </w:rPr>
              <w:t>Size / Uganda position</w:t>
            </w:r>
          </w:p>
        </w:tc>
        <w:tc>
          <w:tcPr>
            <w:tcW w:type="dxa" w:w="3135"/>
            <w:shd w:val="clear" w:color="auto" w:fill="002B5B"/>
          </w:tcPr>
          <w:p>
            <w:r>
              <w:rPr>
                <w:b/>
                <w:color w:val="FFFFFF"/>
                <w:sz w:val="18"/>
              </w:rPr>
              <w:t>Drivers</w:t>
            </w:r>
          </w:p>
        </w:tc>
      </w:tr>
      <w:tr>
        <w:tc>
          <w:tcPr>
            <w:tcW w:type="dxa" w:w="3135"/>
            <w:shd w:val="clear" w:color="auto" w:fill="EEF3F9"/>
          </w:tcPr>
          <w:p>
            <w:r>
              <w:rPr>
                <w:b/>
                <w:sz w:val="18"/>
              </w:rPr>
              <w:t>Uganda (domestic)</w:t>
            </w:r>
          </w:p>
        </w:tc>
        <w:tc>
          <w:tcPr>
            <w:tcW w:type="dxa" w:w="3135"/>
            <w:shd w:val="clear" w:color="auto" w:fill="EEF3F9"/>
          </w:tcPr>
          <w:p>
            <w:r>
              <w:rPr>
                <w:sz w:val="18"/>
              </w:rPr>
              <w:t>~USD 707m (2024), +12%/yr; comfortably supports closing the clinker gap</w:t>
            </w:r>
          </w:p>
        </w:tc>
        <w:tc>
          <w:tcPr>
            <w:tcW w:type="dxa" w:w="3135"/>
            <w:shd w:val="clear" w:color="auto" w:fill="EEF3F9"/>
          </w:tcPr>
          <w:p>
            <w:r>
              <w:rPr>
                <w:sz w:val="18"/>
              </w:rPr>
              <w:t>Construction, infrastructure, oil &amp; gas, housing</w:t>
            </w:r>
          </w:p>
        </w:tc>
      </w:tr>
      <w:tr>
        <w:tc>
          <w:tcPr>
            <w:tcW w:type="dxa" w:w="3135"/>
            <w:shd w:val="clear" w:color="auto" w:fill="FFFFFF"/>
          </w:tcPr>
          <w:p>
            <w:r>
              <w:rPr>
                <w:b/>
                <w:sz w:val="18"/>
              </w:rPr>
              <w:t>Regional (EAC + COMESA)</w:t>
            </w:r>
          </w:p>
        </w:tc>
        <w:tc>
          <w:tcPr>
            <w:tcW w:type="dxa" w:w="3135"/>
            <w:shd w:val="clear" w:color="auto" w:fill="FFFFFF"/>
          </w:tcPr>
          <w:p>
            <w:r>
              <w:rPr>
                <w:sz w:val="18"/>
              </w:rPr>
              <w:t>Competitive finished-cement exporter (USD 86m, 2024) to Rwanda, DRC, S. Sudan, Kenya; proximity favours Uganda</w:t>
            </w:r>
          </w:p>
        </w:tc>
        <w:tc>
          <w:tcPr>
            <w:tcW w:type="dxa" w:w="3135"/>
            <w:shd w:val="clear" w:color="auto" w:fill="FFFFFF"/>
          </w:tcPr>
          <w:p>
            <w:r>
              <w:rPr>
                <w:sz w:val="18"/>
              </w:rPr>
              <w:t>Regional construction; corridor proximity</w:t>
            </w:r>
          </w:p>
        </w:tc>
      </w:tr>
      <w:tr>
        <w:tc>
          <w:tcPr>
            <w:tcW w:type="dxa" w:w="3135"/>
            <w:shd w:val="clear" w:color="auto" w:fill="EEF3F9"/>
          </w:tcPr>
          <w:p>
            <w:r>
              <w:rPr>
                <w:b/>
                <w:sz w:val="18"/>
              </w:rPr>
              <w:t>Continental (Africa)</w:t>
            </w:r>
          </w:p>
        </w:tc>
        <w:tc>
          <w:tcPr>
            <w:tcW w:type="dxa" w:w="3135"/>
            <w:shd w:val="clear" w:color="auto" w:fill="EEF3F9"/>
          </w:tcPr>
          <w:p>
            <w:r>
              <w:rPr>
                <w:sz w:val="18"/>
              </w:rPr>
              <w:t>Cement is regional by economics; AfCFTA matters mainly for neighbouring markets</w:t>
            </w:r>
          </w:p>
        </w:tc>
        <w:tc>
          <w:tcPr>
            <w:tcW w:type="dxa" w:w="3135"/>
            <w:shd w:val="clear" w:color="auto" w:fill="EEF3F9"/>
          </w:tcPr>
          <w:p>
            <w:r>
              <w:rPr>
                <w:sz w:val="18"/>
              </w:rPr>
              <w:t>Regional infrastructure</w:t>
            </w:r>
          </w:p>
        </w:tc>
      </w:tr>
      <w:tr>
        <w:tc>
          <w:tcPr>
            <w:tcW w:type="dxa" w:w="3135"/>
            <w:shd w:val="clear" w:color="auto" w:fill="FFFFFF"/>
          </w:tcPr>
          <w:p>
            <w:r>
              <w:rPr>
                <w:b/>
                <w:sz w:val="18"/>
              </w:rPr>
              <w:t>Global</w:t>
            </w:r>
          </w:p>
        </w:tc>
        <w:tc>
          <w:tcPr>
            <w:tcW w:type="dxa" w:w="3135"/>
            <w:shd w:val="clear" w:color="auto" w:fill="FFFFFF"/>
          </w:tcPr>
          <w:p>
            <w:r>
              <w:rPr>
                <w:sz w:val="18"/>
              </w:rPr>
              <w:t>Not relevant — cement is a regional product</w:t>
            </w:r>
          </w:p>
        </w:tc>
        <w:tc>
          <w:tcPr>
            <w:tcW w:type="dxa" w:w="3135"/>
            <w:shd w:val="clear" w:color="auto" w:fill="FFFFFF"/>
          </w:tcPr>
          <w:p>
            <w:r>
              <w:rPr>
                <w:sz w:val="18"/>
              </w:rPr>
              <w:t>—</w:t>
            </w:r>
          </w:p>
        </w:tc>
      </w:tr>
    </w:tbl>
    <w:p/>
    <w:p>
      <w:pPr>
        <w:pStyle w:val="Heading3"/>
      </w:pPr>
      <w:r>
        <w:t>2040 projection — Tenfold logic</w:t>
      </w:r>
    </w:p>
    <w:p>
      <w:r>
        <w:t xml:space="preserve">A ten-times-larger economy is a construction supercycle. At ~12%/yr the market roughly doubles within ~6 years; sustained infrastructure, urbanisation and housing to 2040 imply a </w:t>
      </w:r>
      <w:r>
        <w:rPr>
          <w:b/>
        </w:rPr>
        <w:t>domestic cement market of several billion USD a year</w:t>
      </w:r>
      <w:r>
        <w:t xml:space="preserve"> — far beyond today's USD 707m. The strategic imperative is to meet that with </w:t>
      </w:r>
      <w:r>
        <w:rPr>
          <w:b/>
        </w:rPr>
        <w:t>domestic clinker</w:t>
      </w:r>
      <w:r>
        <w:t xml:space="preserve"> (not imports) and to </w:t>
      </w:r>
      <w:r>
        <w:rPr>
          <w:b/>
        </w:rPr>
        <w:t>grow regional finished-cement exports</w:t>
      </w:r>
      <w:r>
        <w:t xml:space="preserve">, while moving into </w:t>
      </w:r>
      <w:r>
        <w:rPr>
          <w:b/>
        </w:rPr>
        <w:t>higher-value building materials</w:t>
      </w:r>
      <w:r>
        <w:t xml:space="preserve">. Other markets grow on business-as-usual; Uganda's external play is </w:t>
      </w:r>
      <w:r>
        <w:rPr>
          <w:b/>
        </w:rPr>
        <w:t>regional finished cement</w:t>
      </w:r>
      <w:r>
        <w:t>.</w:t>
      </w:r>
    </w:p>
    <w:p>
      <w:pPr>
        <w:pStyle w:val="Heading2"/>
      </w:pPr>
      <w:r>
        <w:t>9.D Binding Constraints — Weighted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w:t>
            </w:r>
          </w:p>
        </w:tc>
        <w:tc>
          <w:tcPr>
            <w:tcW w:type="dxa" w:w="2351"/>
            <w:shd w:val="clear" w:color="auto" w:fill="002B5B"/>
          </w:tcPr>
          <w:p>
            <w:r>
              <w:rPr>
                <w:b/>
                <w:color w:val="FFFFFF"/>
                <w:sz w:val="18"/>
              </w:rPr>
              <w:t>Constraint (category)</w:t>
            </w:r>
          </w:p>
        </w:tc>
        <w:tc>
          <w:tcPr>
            <w:tcW w:type="dxa" w:w="2351"/>
            <w:shd w:val="clear" w:color="auto" w:fill="002B5B"/>
          </w:tcPr>
          <w:p>
            <w:r>
              <w:rPr>
                <w:b/>
                <w:color w:val="FFFFFF"/>
                <w:sz w:val="18"/>
              </w:rPr>
              <w:t>Weight</w:t>
            </w:r>
          </w:p>
        </w:tc>
        <w:tc>
          <w:tcPr>
            <w:tcW w:type="dxa" w:w="2351"/>
            <w:shd w:val="clear" w:color="auto" w:fill="002B5B"/>
          </w:tcPr>
          <w:p>
            <w:r>
              <w:rPr>
                <w:b/>
                <w:color w:val="FFFFFF"/>
                <w:sz w:val="18"/>
              </w:rPr>
              <w:t>Evidence / gravity</w:t>
            </w:r>
          </w:p>
        </w:tc>
      </w:tr>
      <w:tr>
        <w:tc>
          <w:tcPr>
            <w:tcW w:type="dxa" w:w="2351"/>
            <w:shd w:val="clear" w:color="auto" w:fill="EEF3F9"/>
          </w:tcPr>
          <w:p>
            <w:r>
              <w:rPr>
                <w:sz w:val="18"/>
              </w:rPr>
              <w:t>1</w:t>
            </w:r>
          </w:p>
        </w:tc>
        <w:tc>
          <w:tcPr>
            <w:tcW w:type="dxa" w:w="2351"/>
            <w:shd w:val="clear" w:color="auto" w:fill="EEF3F9"/>
          </w:tcPr>
          <w:p>
            <w:r>
              <w:rPr>
                <w:b/>
                <w:sz w:val="18"/>
              </w:rPr>
              <w:t>Clinker capacity gap (inputs/technology)</w:t>
            </w:r>
          </w:p>
        </w:tc>
        <w:tc>
          <w:tcPr>
            <w:tcW w:type="dxa" w:w="2351"/>
            <w:shd w:val="clear" w:color="auto" w:fill="EEF3F9"/>
          </w:tcPr>
          <w:p>
            <w:r>
              <w:rPr>
                <w:b/>
                <w:sz w:val="18"/>
              </w:rPr>
              <w:t>5</w:t>
            </w:r>
          </w:p>
        </w:tc>
        <w:tc>
          <w:tcPr>
            <w:tcW w:type="dxa" w:w="2351"/>
            <w:shd w:val="clear" w:color="auto" w:fill="EEF3F9"/>
          </w:tcPr>
          <w:p>
            <w:r>
              <w:rPr>
                <w:sz w:val="18"/>
              </w:rPr>
              <w:t>&gt;50% of clinker imported despite strong grinding — the chain's structural weakness; USD 162m import line</w:t>
            </w:r>
          </w:p>
        </w:tc>
      </w:tr>
      <w:tr>
        <w:tc>
          <w:tcPr>
            <w:tcW w:type="dxa" w:w="2351"/>
            <w:shd w:val="clear" w:color="auto" w:fill="FFFFFF"/>
          </w:tcPr>
          <w:p>
            <w:r>
              <w:rPr>
                <w:sz w:val="18"/>
              </w:rPr>
              <w:t>2</w:t>
            </w:r>
          </w:p>
        </w:tc>
        <w:tc>
          <w:tcPr>
            <w:tcW w:type="dxa" w:w="2351"/>
            <w:shd w:val="clear" w:color="auto" w:fill="FFFFFF"/>
          </w:tcPr>
          <w:p>
            <w:r>
              <w:rPr>
                <w:b/>
                <w:sz w:val="18"/>
              </w:rPr>
              <w:t>Energy cost &amp; reliability (energy)</w:t>
            </w:r>
          </w:p>
        </w:tc>
        <w:tc>
          <w:tcPr>
            <w:tcW w:type="dxa" w:w="2351"/>
            <w:shd w:val="clear" w:color="auto" w:fill="FFFFFF"/>
          </w:tcPr>
          <w:p>
            <w:r>
              <w:rPr>
                <w:b/>
                <w:sz w:val="18"/>
              </w:rPr>
              <w:t>5</w:t>
            </w:r>
          </w:p>
        </w:tc>
        <w:tc>
          <w:tcPr>
            <w:tcW w:type="dxa" w:w="2351"/>
            <w:shd w:val="clear" w:color="auto" w:fill="FFFFFF"/>
          </w:tcPr>
          <w:p>
            <w:r>
              <w:rPr>
                <w:sz w:val="18"/>
              </w:rPr>
              <w:t>Clinker is highly energy-intensive (thermal + power); energy cost/reliability is decisive for competitiveness</w:t>
            </w:r>
          </w:p>
        </w:tc>
      </w:tr>
      <w:tr>
        <w:tc>
          <w:tcPr>
            <w:tcW w:type="dxa" w:w="2351"/>
            <w:shd w:val="clear" w:color="auto" w:fill="EEF3F9"/>
          </w:tcPr>
          <w:p>
            <w:r>
              <w:rPr>
                <w:sz w:val="18"/>
              </w:rPr>
              <w:t>3</w:t>
            </w:r>
          </w:p>
        </w:tc>
        <w:tc>
          <w:tcPr>
            <w:tcW w:type="dxa" w:w="2351"/>
            <w:shd w:val="clear" w:color="auto" w:fill="EEF3F9"/>
          </w:tcPr>
          <w:p>
            <w:r>
              <w:rPr>
                <w:b/>
                <w:sz w:val="18"/>
              </w:rPr>
              <w:t>Capital intensity (finance)</w:t>
            </w:r>
          </w:p>
        </w:tc>
        <w:tc>
          <w:tcPr>
            <w:tcW w:type="dxa" w:w="2351"/>
            <w:shd w:val="clear" w:color="auto" w:fill="EEF3F9"/>
          </w:tcPr>
          <w:p>
            <w:r>
              <w:rPr>
                <w:b/>
                <w:sz w:val="18"/>
              </w:rPr>
              <w:t>4</w:t>
            </w:r>
          </w:p>
        </w:tc>
        <w:tc>
          <w:tcPr>
            <w:tcW w:type="dxa" w:w="2351"/>
            <w:shd w:val="clear" w:color="auto" w:fill="EEF3F9"/>
          </w:tcPr>
          <w:p>
            <w:r>
              <w:rPr>
                <w:sz w:val="18"/>
              </w:rPr>
              <w:t>Clinker kilns are very capital-intensive; recent USD 200–300m investments show appetite but capital is the gate</w:t>
            </w:r>
          </w:p>
        </w:tc>
      </w:tr>
      <w:tr>
        <w:tc>
          <w:tcPr>
            <w:tcW w:type="dxa" w:w="2351"/>
            <w:shd w:val="clear" w:color="auto" w:fill="FFFFFF"/>
          </w:tcPr>
          <w:p>
            <w:r>
              <w:rPr>
                <w:sz w:val="18"/>
              </w:rPr>
              <w:t>4</w:t>
            </w:r>
          </w:p>
        </w:tc>
        <w:tc>
          <w:tcPr>
            <w:tcW w:type="dxa" w:w="2351"/>
            <w:shd w:val="clear" w:color="auto" w:fill="FFFFFF"/>
          </w:tcPr>
          <w:p>
            <w:r>
              <w:rPr>
                <w:b/>
                <w:sz w:val="18"/>
              </w:rPr>
              <w:t>Limestone licensing &amp; land (inputs/policy)</w:t>
            </w:r>
          </w:p>
        </w:tc>
        <w:tc>
          <w:tcPr>
            <w:tcW w:type="dxa" w:w="2351"/>
            <w:shd w:val="clear" w:color="auto" w:fill="FFFFFF"/>
          </w:tcPr>
          <w:p>
            <w:r>
              <w:rPr>
                <w:b/>
                <w:sz w:val="18"/>
              </w:rPr>
              <w:t>3</w:t>
            </w:r>
          </w:p>
        </w:tc>
        <w:tc>
          <w:tcPr>
            <w:tcW w:type="dxa" w:w="2351"/>
            <w:shd w:val="clear" w:color="auto" w:fill="FFFFFF"/>
          </w:tcPr>
          <w:p>
            <w:r>
              <w:rPr>
                <w:sz w:val="18"/>
              </w:rPr>
              <w:t>Reserves exist (Dura, Tororo, Karamoja) but licensing/land access must keep pace with clinker expansion</w:t>
            </w:r>
          </w:p>
        </w:tc>
      </w:tr>
      <w:tr>
        <w:tc>
          <w:tcPr>
            <w:tcW w:type="dxa" w:w="2351"/>
            <w:shd w:val="clear" w:color="auto" w:fill="EEF3F9"/>
          </w:tcPr>
          <w:p>
            <w:r>
              <w:rPr>
                <w:sz w:val="18"/>
              </w:rPr>
              <w:t>5</w:t>
            </w:r>
          </w:p>
        </w:tc>
        <w:tc>
          <w:tcPr>
            <w:tcW w:type="dxa" w:w="2351"/>
            <w:shd w:val="clear" w:color="auto" w:fill="EEF3F9"/>
          </w:tcPr>
          <w:p>
            <w:r>
              <w:rPr>
                <w:b/>
                <w:sz w:val="18"/>
              </w:rPr>
              <w:t>Logistics (infrastructure)</w:t>
            </w:r>
          </w:p>
        </w:tc>
        <w:tc>
          <w:tcPr>
            <w:tcW w:type="dxa" w:w="2351"/>
            <w:shd w:val="clear" w:color="auto" w:fill="EEF3F9"/>
          </w:tcPr>
          <w:p>
            <w:r>
              <w:rPr>
                <w:b/>
                <w:sz w:val="18"/>
              </w:rPr>
              <w:t>3</w:t>
            </w:r>
          </w:p>
        </w:tc>
        <w:tc>
          <w:tcPr>
            <w:tcW w:type="dxa" w:w="2351"/>
            <w:shd w:val="clear" w:color="auto" w:fill="EEF3F9"/>
          </w:tcPr>
          <w:p>
            <w:r>
              <w:rPr>
                <w:sz w:val="18"/>
              </w:rPr>
              <w:t>Bulk/low-value-density product; landlocked penalty (~18–20%) protects the domestic market but limits distant export — favouring domestic clinker</w:t>
            </w:r>
          </w:p>
        </w:tc>
      </w:tr>
      <w:tr>
        <w:tc>
          <w:tcPr>
            <w:tcW w:type="dxa" w:w="2351"/>
            <w:shd w:val="clear" w:color="auto" w:fill="FFFFFF"/>
          </w:tcPr>
          <w:p>
            <w:r>
              <w:rPr>
                <w:sz w:val="18"/>
              </w:rPr>
              <w:t>6</w:t>
            </w:r>
          </w:p>
        </w:tc>
        <w:tc>
          <w:tcPr>
            <w:tcW w:type="dxa" w:w="2351"/>
            <w:shd w:val="clear" w:color="auto" w:fill="FFFFFF"/>
          </w:tcPr>
          <w:p>
            <w:r>
              <w:rPr>
                <w:b/>
                <w:sz w:val="18"/>
              </w:rPr>
              <w:t>Kiln emissions / dust (waste)</w:t>
            </w:r>
          </w:p>
        </w:tc>
        <w:tc>
          <w:tcPr>
            <w:tcW w:type="dxa" w:w="2351"/>
            <w:shd w:val="clear" w:color="auto" w:fill="FFFFFF"/>
          </w:tcPr>
          <w:p>
            <w:r>
              <w:rPr>
                <w:b/>
                <w:sz w:val="18"/>
              </w:rPr>
              <w:t>3</w:t>
            </w:r>
          </w:p>
        </w:tc>
        <w:tc>
          <w:tcPr>
            <w:tcW w:type="dxa" w:w="2351"/>
            <w:shd w:val="clear" w:color="auto" w:fill="FFFFFF"/>
          </w:tcPr>
          <w:p>
            <w:r>
              <w:rPr>
                <w:sz w:val="18"/>
              </w:rPr>
              <w:t>Cement is carbon- and dust-intensive; NEMA-regulated; also an alternative-fuel opportunity</w:t>
            </w:r>
          </w:p>
        </w:tc>
      </w:tr>
      <w:tr>
        <w:tc>
          <w:tcPr>
            <w:tcW w:type="dxa" w:w="2351"/>
            <w:shd w:val="clear" w:color="auto" w:fill="EEF3F9"/>
          </w:tcPr>
          <w:p>
            <w:r>
              <w:rPr>
                <w:sz w:val="18"/>
              </w:rPr>
              <w:t>7</w:t>
            </w:r>
          </w:p>
        </w:tc>
        <w:tc>
          <w:tcPr>
            <w:tcW w:type="dxa" w:w="2351"/>
            <w:shd w:val="clear" w:color="auto" w:fill="EEF3F9"/>
          </w:tcPr>
          <w:p>
            <w:r>
              <w:rPr>
                <w:b/>
                <w:sz w:val="18"/>
              </w:rPr>
              <w:t>Standards (standards)</w:t>
            </w:r>
          </w:p>
        </w:tc>
        <w:tc>
          <w:tcPr>
            <w:tcW w:type="dxa" w:w="2351"/>
            <w:shd w:val="clear" w:color="auto" w:fill="EEF3F9"/>
          </w:tcPr>
          <w:p>
            <w:r>
              <w:rPr>
                <w:b/>
                <w:sz w:val="18"/>
              </w:rPr>
              <w:t>2</w:t>
            </w:r>
          </w:p>
        </w:tc>
        <w:tc>
          <w:tcPr>
            <w:tcW w:type="dxa" w:w="2351"/>
            <w:shd w:val="clear" w:color="auto" w:fill="EEF3F9"/>
          </w:tcPr>
          <w:p>
            <w:r>
              <w:rPr>
                <w:sz w:val="18"/>
              </w:rPr>
              <w:t>UNBS cement standards; sub-standard cement a safety/market issue</w:t>
            </w:r>
          </w:p>
        </w:tc>
      </w:tr>
    </w:tbl>
    <w:p/>
    <w:p>
      <w:r>
        <w:t xml:space="preserve">The two critical constraints — </w:t>
      </w:r>
      <w:r>
        <w:rPr>
          <w:b/>
        </w:rPr>
        <w:t>clinker capacity</w:t>
      </w:r>
      <w:r>
        <w:t xml:space="preserve"> and </w:t>
      </w:r>
      <w:r>
        <w:rPr>
          <w:b/>
        </w:rPr>
        <w:t>energy</w:t>
      </w:r>
      <w:r>
        <w:t xml:space="preserve"> — are linked: new clinker kilns only pay off if energy is affordable and reliable, so power agreements and alternative fuels must accompany the capacity build-out.</w:t>
      </w:r>
    </w:p>
    <w:p>
      <w:pPr>
        <w:pStyle w:val="Heading2"/>
      </w:pPr>
      <w:r>
        <w:t>9.E Greening &amp; Sustainability</w:t>
      </w:r>
    </w:p>
    <w:p>
      <w:r>
        <w:t xml:space="preserve">Cement is among the most carbon-intensive industries globally (~8% of world CO₂), so greening is both a </w:t>
      </w:r>
      <w:r>
        <w:rPr>
          <w:b/>
        </w:rPr>
        <w:t>cost lever</w:t>
      </w:r>
      <w:r>
        <w:t xml:space="preserve"> (energy is the biggest cost) and a </w:t>
      </w:r>
      <w:r>
        <w:rPr>
          <w:b/>
        </w:rPr>
        <w:t>market-access</w:t>
      </w:r>
      <w:r>
        <w:t xml:space="preserve"> play (green building, carbon border measures).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Dimension</w:t>
            </w:r>
          </w:p>
        </w:tc>
        <w:tc>
          <w:tcPr>
            <w:tcW w:type="dxa" w:w="4703"/>
            <w:shd w:val="clear" w:color="auto" w:fill="002B5B"/>
          </w:tcPr>
          <w:p>
            <w:r>
              <w:rPr>
                <w:b/>
                <w:color w:val="FFFFFF"/>
                <w:sz w:val="18"/>
              </w:rPr>
              <w:t>Status / opportunity</w:t>
            </w:r>
          </w:p>
        </w:tc>
      </w:tr>
      <w:tr>
        <w:tc>
          <w:tcPr>
            <w:tcW w:type="dxa" w:w="4703"/>
            <w:shd w:val="clear" w:color="auto" w:fill="EEF3F9"/>
          </w:tcPr>
          <w:p>
            <w:r>
              <w:rPr>
                <w:b/>
                <w:sz w:val="18"/>
              </w:rPr>
              <w:t>Current status</w:t>
            </w:r>
          </w:p>
        </w:tc>
        <w:tc>
          <w:tcPr>
            <w:tcW w:type="dxa" w:w="4703"/>
            <w:shd w:val="clear" w:color="auto" w:fill="EEF3F9"/>
          </w:tcPr>
          <w:p>
            <w:r>
              <w:rPr>
                <w:sz w:val="18"/>
              </w:rPr>
              <w:t>Energy-intensive kilns; clinker import reliance; kiln dust/emissions managed under NEMA</w:t>
            </w:r>
          </w:p>
        </w:tc>
      </w:tr>
      <w:tr>
        <w:tc>
          <w:tcPr>
            <w:tcW w:type="dxa" w:w="4703"/>
            <w:shd w:val="clear" w:color="auto" w:fill="FFFFFF"/>
          </w:tcPr>
          <w:p>
            <w:r>
              <w:rPr>
                <w:b/>
                <w:sz w:val="18"/>
              </w:rPr>
              <w:t>Current solutions</w:t>
            </w:r>
          </w:p>
        </w:tc>
        <w:tc>
          <w:tcPr>
            <w:tcW w:type="dxa" w:w="4703"/>
            <w:shd w:val="clear" w:color="auto" w:fill="FFFFFF"/>
          </w:tcPr>
          <w:p>
            <w:r>
              <w:rPr>
                <w:sz w:val="18"/>
              </w:rPr>
              <w:t>Blended cements (some clinker substitution); NEMA emissions regulation</w:t>
            </w:r>
          </w:p>
        </w:tc>
      </w:tr>
      <w:tr>
        <w:tc>
          <w:tcPr>
            <w:tcW w:type="dxa" w:w="4703"/>
            <w:shd w:val="clear" w:color="auto" w:fill="EEF3F9"/>
          </w:tcPr>
          <w:p>
            <w:r>
              <w:rPr>
                <w:b/>
                <w:sz w:val="18"/>
              </w:rPr>
              <w:t>Emerging solutions (competitiveness enablers)</w:t>
            </w:r>
          </w:p>
        </w:tc>
        <w:tc>
          <w:tcPr>
            <w:tcW w:type="dxa" w:w="4703"/>
            <w:shd w:val="clear" w:color="auto" w:fill="EEF3F9"/>
          </w:tcPr>
          <w:p>
            <w:r>
              <w:rPr>
                <w:sz w:val="18"/>
              </w:rPr>
              <w:t xml:space="preserve">(1) </w:t>
            </w:r>
            <w:r>
              <w:rPr>
                <w:b/>
                <w:sz w:val="18"/>
              </w:rPr>
              <w:t>Alternative fuels / co-processing</w:t>
            </w:r>
            <w:r>
              <w:rPr>
                <w:sz w:val="18"/>
              </w:rPr>
              <w:t xml:space="preserve"> of waste and biomass in kilns (cuts energy cost </w:t>
            </w:r>
            <w:r>
              <w:rPr>
                <w:i/>
                <w:sz w:val="18"/>
              </w:rPr>
              <w:t>and</w:t>
            </w:r>
            <w:r>
              <w:rPr>
                <w:sz w:val="18"/>
              </w:rPr>
              <w:t xml:space="preserve"> emissions, links to the Plastics/waste chain); (2) </w:t>
            </w:r>
            <w:r>
              <w:rPr>
                <w:b/>
                <w:sz w:val="18"/>
              </w:rPr>
              <w:t>clinker substitution with supplementary cementitious materials</w:t>
            </w:r>
            <w:r>
              <w:rPr>
                <w:sz w:val="18"/>
              </w:rPr>
              <w:t xml:space="preserve"> — </w:t>
            </w:r>
            <w:r>
              <w:rPr>
                <w:b/>
                <w:sz w:val="18"/>
              </w:rPr>
              <w:t>steel slag (Chapter 4)</w:t>
            </w:r>
            <w:r>
              <w:rPr>
                <w:sz w:val="18"/>
              </w:rPr>
              <w:t xml:space="preserve">, </w:t>
            </w:r>
            <w:r>
              <w:rPr>
                <w:b/>
                <w:sz w:val="18"/>
              </w:rPr>
              <w:t>phosphogypsum (Chapter 6)</w:t>
            </w:r>
            <w:r>
              <w:rPr>
                <w:sz w:val="18"/>
              </w:rPr>
              <w:t xml:space="preserve">, pozzolana — lowering both cost and carbon; (3) </w:t>
            </w:r>
            <w:r>
              <w:rPr>
                <w:b/>
                <w:sz w:val="18"/>
              </w:rPr>
              <w:t>energy efficiency &amp; waste-heat recovery</w:t>
            </w:r>
            <w:r>
              <w:rPr>
                <w:sz w:val="18"/>
              </w:rPr>
              <w:t xml:space="preserve">; (4) </w:t>
            </w:r>
            <w:r>
              <w:rPr>
                <w:b/>
                <w:sz w:val="18"/>
              </w:rPr>
              <w:t>green/blended cement</w:t>
            </w:r>
            <w:r>
              <w:rPr>
                <w:sz w:val="18"/>
              </w:rPr>
              <w:t xml:space="preserve"> product lines</w:t>
            </w:r>
          </w:p>
        </w:tc>
      </w:tr>
    </w:tbl>
    <w:p/>
    <w:p>
      <w:r>
        <w:rPr>
          <w:b/>
        </w:rPr>
        <w:t>Why it pays:</w:t>
      </w:r>
      <w:r>
        <w:t xml:space="preserve"> every tonne of clinker substituted by slag/phosphogypsum/pozzolana cuts the most expensive, most carbon-heavy input — and creates a circular link that consumes by-products from the steel and fertilizer chains. Green cement is cheaper cement here.</w:t>
      </w:r>
    </w:p>
    <w:p>
      <w:pPr>
        <w:pStyle w:val="Heading2"/>
      </w:pPr>
      <w:r>
        <w:t>9.F Prioritized Products — through the Tenfold Lens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02B5B"/>
          </w:tcPr>
          <w:p>
            <w:r>
              <w:rPr>
                <w:b/>
                <w:color w:val="FFFFFF"/>
                <w:sz w:val="18"/>
              </w:rPr>
              <w:t>Product / sub-sector</w:t>
            </w:r>
          </w:p>
        </w:tc>
        <w:tc>
          <w:tcPr>
            <w:tcW w:type="dxa" w:w="1176"/>
            <w:shd w:val="clear" w:color="auto" w:fill="002B5B"/>
          </w:tcPr>
          <w:p>
            <w:r>
              <w:rPr>
                <w:b/>
                <w:color w:val="FFFFFF"/>
                <w:sz w:val="18"/>
              </w:rPr>
              <w:t>Market</w:t>
            </w:r>
          </w:p>
        </w:tc>
        <w:tc>
          <w:tcPr>
            <w:tcW w:type="dxa" w:w="1176"/>
            <w:shd w:val="clear" w:color="auto" w:fill="002B5B"/>
          </w:tcPr>
          <w:p>
            <w:r>
              <w:rPr>
                <w:b/>
                <w:color w:val="FFFFFF"/>
                <w:sz w:val="18"/>
              </w:rPr>
              <w:t>Comp. adv.</w:t>
            </w:r>
          </w:p>
        </w:tc>
        <w:tc>
          <w:tcPr>
            <w:tcW w:type="dxa" w:w="1176"/>
            <w:shd w:val="clear" w:color="auto" w:fill="002B5B"/>
          </w:tcPr>
          <w:p>
            <w:r>
              <w:rPr>
                <w:b/>
                <w:color w:val="FFFFFF"/>
                <w:sz w:val="18"/>
              </w:rPr>
              <w:t>Feasibility</w:t>
            </w:r>
          </w:p>
        </w:tc>
        <w:tc>
          <w:tcPr>
            <w:tcW w:type="dxa" w:w="1176"/>
            <w:shd w:val="clear" w:color="auto" w:fill="002B5B"/>
          </w:tcPr>
          <w:p>
            <w:r>
              <w:rPr>
                <w:b/>
                <w:color w:val="FFFFFF"/>
                <w:sz w:val="18"/>
              </w:rPr>
              <w:t>Jobs</w:t>
            </w:r>
          </w:p>
        </w:tc>
        <w:tc>
          <w:tcPr>
            <w:tcW w:type="dxa" w:w="1176"/>
            <w:shd w:val="clear" w:color="auto" w:fill="002B5B"/>
          </w:tcPr>
          <w:p>
            <w:r>
              <w:rPr>
                <w:b/>
                <w:color w:val="FFFFFF"/>
                <w:sz w:val="18"/>
              </w:rPr>
              <w:t>Import subst.</w:t>
            </w:r>
          </w:p>
        </w:tc>
        <w:tc>
          <w:tcPr>
            <w:tcW w:type="dxa" w:w="1176"/>
            <w:shd w:val="clear" w:color="auto" w:fill="002B5B"/>
          </w:tcPr>
          <w:p>
            <w:r>
              <w:rPr>
                <w:b/>
                <w:color w:val="FFFFFF"/>
                <w:sz w:val="18"/>
              </w:rPr>
              <w:t>Green fit</w:t>
            </w:r>
          </w:p>
        </w:tc>
        <w:tc>
          <w:tcPr>
            <w:tcW w:type="dxa" w:w="1176"/>
            <w:shd w:val="clear" w:color="auto" w:fill="002B5B"/>
          </w:tcPr>
          <w:p>
            <w:r>
              <w:rPr>
                <w:b/>
                <w:color w:val="FFFFFF"/>
                <w:sz w:val="18"/>
              </w:rPr>
              <w:t>Priority</w:t>
            </w:r>
          </w:p>
        </w:tc>
      </w:tr>
      <w:tr>
        <w:tc>
          <w:tcPr>
            <w:tcW w:type="dxa" w:w="1176"/>
            <w:shd w:val="clear" w:color="auto" w:fill="EEF3F9"/>
          </w:tcPr>
          <w:p>
            <w:r>
              <w:rPr>
                <w:b/>
                <w:sz w:val="18"/>
              </w:rPr>
              <w:t>Clinker production (close the gap)</w:t>
            </w:r>
          </w:p>
        </w:tc>
        <w:tc>
          <w:tcPr>
            <w:tcW w:type="dxa" w:w="1176"/>
            <w:shd w:val="clear" w:color="auto" w:fill="EEF3F9"/>
          </w:tcPr>
          <w:p>
            <w:r>
              <w:rPr>
                <w:sz w:val="18"/>
              </w:rPr>
              <w:t>High (USD 162m imports)</w:t>
            </w:r>
          </w:p>
        </w:tc>
        <w:tc>
          <w:tcPr>
            <w:tcW w:type="dxa" w:w="1176"/>
            <w:shd w:val="clear" w:color="auto" w:fill="EEF3F9"/>
          </w:tcPr>
          <w:p>
            <w:r>
              <w:rPr>
                <w:sz w:val="18"/>
              </w:rPr>
              <w:t>High (limestone)</w:t>
            </w:r>
          </w:p>
        </w:tc>
        <w:tc>
          <w:tcPr>
            <w:tcW w:type="dxa" w:w="1176"/>
            <w:shd w:val="clear" w:color="auto" w:fill="EEF3F9"/>
          </w:tcPr>
          <w:p>
            <w:r>
              <w:rPr>
                <w:sz w:val="18"/>
              </w:rPr>
              <w:t>Medium</w:t>
            </w:r>
          </w:p>
        </w:tc>
        <w:tc>
          <w:tcPr>
            <w:tcW w:type="dxa" w:w="1176"/>
            <w:shd w:val="clear" w:color="auto" w:fill="EEF3F9"/>
          </w:tcPr>
          <w:p>
            <w:r>
              <w:rPr>
                <w:sz w:val="18"/>
              </w:rPr>
              <w:t>High</w:t>
            </w:r>
          </w:p>
        </w:tc>
        <w:tc>
          <w:tcPr>
            <w:tcW w:type="dxa" w:w="1176"/>
            <w:shd w:val="clear" w:color="auto" w:fill="EEF3F9"/>
          </w:tcPr>
          <w:p>
            <w:r>
              <w:rPr>
                <w:sz w:val="18"/>
              </w:rPr>
              <w:t>Very high</w:t>
            </w:r>
          </w:p>
        </w:tc>
        <w:tc>
          <w:tcPr>
            <w:tcW w:type="dxa" w:w="1176"/>
            <w:shd w:val="clear" w:color="auto" w:fill="EEF3F9"/>
          </w:tcPr>
          <w:p>
            <w:r>
              <w:rPr>
                <w:sz w:val="18"/>
              </w:rPr>
              <w:t>Medium (alt-fuel/SCM)</w:t>
            </w:r>
          </w:p>
        </w:tc>
        <w:tc>
          <w:tcPr>
            <w:tcW w:type="dxa" w:w="1176"/>
            <w:shd w:val="clear" w:color="auto" w:fill="EEF3F9"/>
          </w:tcPr>
          <w:p>
            <w:r>
              <w:rPr>
                <w:b/>
                <w:sz w:val="18"/>
              </w:rPr>
              <w:t>Priority</w:t>
            </w:r>
          </w:p>
        </w:tc>
      </w:tr>
      <w:tr>
        <w:tc>
          <w:tcPr>
            <w:tcW w:type="dxa" w:w="1176"/>
            <w:shd w:val="clear" w:color="auto" w:fill="FFFFFF"/>
          </w:tcPr>
          <w:p>
            <w:r>
              <w:rPr>
                <w:b/>
                <w:sz w:val="18"/>
              </w:rPr>
              <w:t>Finished cement (defend &amp; grow export)</w:t>
            </w:r>
          </w:p>
        </w:tc>
        <w:tc>
          <w:tcPr>
            <w:tcW w:type="dxa" w:w="1176"/>
            <w:shd w:val="clear" w:color="auto" w:fill="FFFFFF"/>
          </w:tcPr>
          <w:p>
            <w:r>
              <w:rPr>
                <w:sz w:val="18"/>
              </w:rPr>
              <w:t>High (USD 86m export)</w:t>
            </w:r>
          </w:p>
        </w:tc>
        <w:tc>
          <w:tcPr>
            <w:tcW w:type="dxa" w:w="1176"/>
            <w:shd w:val="clear" w:color="auto" w:fill="FFFFFF"/>
          </w:tcPr>
          <w:p>
            <w:r>
              <w:rPr>
                <w:sz w:val="18"/>
              </w:rPr>
              <w:t>High</w:t>
            </w:r>
          </w:p>
        </w:tc>
        <w:tc>
          <w:tcPr>
            <w:tcW w:type="dxa" w:w="1176"/>
            <w:shd w:val="clear" w:color="auto" w:fill="FFFFFF"/>
          </w:tcPr>
          <w:p>
            <w:r>
              <w:rPr>
                <w:sz w:val="18"/>
              </w:rPr>
              <w:t>High</w:t>
            </w:r>
          </w:p>
        </w:tc>
        <w:tc>
          <w:tcPr>
            <w:tcW w:type="dxa" w:w="1176"/>
            <w:shd w:val="clear" w:color="auto" w:fill="FFFFFF"/>
          </w:tcPr>
          <w:p>
            <w:r>
              <w:rPr>
                <w:sz w:val="18"/>
              </w:rPr>
              <w:t>High</w:t>
            </w:r>
          </w:p>
        </w:tc>
        <w:tc>
          <w:tcPr>
            <w:tcW w:type="dxa" w:w="1176"/>
            <w:shd w:val="clear" w:color="auto" w:fill="FFFFFF"/>
          </w:tcPr>
          <w:p>
            <w:r>
              <w:rPr>
                <w:sz w:val="18"/>
              </w:rPr>
              <w:t>Achieved</w:t>
            </w:r>
          </w:p>
        </w:tc>
        <w:tc>
          <w:tcPr>
            <w:tcW w:type="dxa" w:w="1176"/>
            <w:shd w:val="clear" w:color="auto" w:fill="FFFFFF"/>
          </w:tcPr>
          <w:p>
            <w:r>
              <w:rPr>
                <w:sz w:val="18"/>
              </w:rPr>
              <w:t>Medium–High (blended)</w:t>
            </w:r>
          </w:p>
        </w:tc>
        <w:tc>
          <w:tcPr>
            <w:tcW w:type="dxa" w:w="1176"/>
            <w:shd w:val="clear" w:color="auto" w:fill="FFFFFF"/>
          </w:tcPr>
          <w:p>
            <w:r>
              <w:rPr>
                <w:b/>
                <w:sz w:val="18"/>
              </w:rPr>
              <w:t>Priority</w:t>
            </w:r>
          </w:p>
        </w:tc>
      </w:tr>
      <w:tr>
        <w:tc>
          <w:tcPr>
            <w:tcW w:type="dxa" w:w="1176"/>
            <w:shd w:val="clear" w:color="auto" w:fill="EEF3F9"/>
          </w:tcPr>
          <w:p>
            <w:r>
              <w:rPr>
                <w:b/>
                <w:sz w:val="18"/>
              </w:rPr>
              <w:t>Higher-value building materials (fibre-cement, tiles, precast)</w:t>
            </w:r>
          </w:p>
        </w:tc>
        <w:tc>
          <w:tcPr>
            <w:tcW w:type="dxa" w:w="1176"/>
            <w:shd w:val="clear" w:color="auto" w:fill="EEF3F9"/>
          </w:tcPr>
          <w:p>
            <w:r>
              <w:rPr>
                <w:sz w:val="18"/>
              </w:rPr>
              <w:t>Medium–High</w:t>
            </w:r>
          </w:p>
        </w:tc>
        <w:tc>
          <w:tcPr>
            <w:tcW w:type="dxa" w:w="1176"/>
            <w:shd w:val="clear" w:color="auto" w:fill="EEF3F9"/>
          </w:tcPr>
          <w:p>
            <w:r>
              <w:rPr>
                <w:sz w:val="18"/>
              </w:rPr>
              <w:t>Medium</w:t>
            </w:r>
          </w:p>
        </w:tc>
        <w:tc>
          <w:tcPr>
            <w:tcW w:type="dxa" w:w="1176"/>
            <w:shd w:val="clear" w:color="auto" w:fill="EEF3F9"/>
          </w:tcPr>
          <w:p>
            <w:r>
              <w:rPr>
                <w:sz w:val="18"/>
              </w:rPr>
              <w:t>Medium</w:t>
            </w:r>
          </w:p>
        </w:tc>
        <w:tc>
          <w:tcPr>
            <w:tcW w:type="dxa" w:w="1176"/>
            <w:shd w:val="clear" w:color="auto" w:fill="EEF3F9"/>
          </w:tcPr>
          <w:p>
            <w:r>
              <w:rPr>
                <w:sz w:val="18"/>
              </w:rPr>
              <w:t>High</w:t>
            </w:r>
          </w:p>
        </w:tc>
        <w:tc>
          <w:tcPr>
            <w:tcW w:type="dxa" w:w="1176"/>
            <w:shd w:val="clear" w:color="auto" w:fill="EEF3F9"/>
          </w:tcPr>
          <w:p>
            <w:r>
              <w:rPr>
                <w:sz w:val="18"/>
              </w:rPr>
              <w:t>High</w:t>
            </w:r>
          </w:p>
        </w:tc>
        <w:tc>
          <w:tcPr>
            <w:tcW w:type="dxa" w:w="1176"/>
            <w:shd w:val="clear" w:color="auto" w:fill="EEF3F9"/>
          </w:tcPr>
          <w:p>
            <w:r>
              <w:rPr>
                <w:sz w:val="18"/>
              </w:rPr>
              <w:t>Medium</w:t>
            </w:r>
          </w:p>
        </w:tc>
        <w:tc>
          <w:tcPr>
            <w:tcW w:type="dxa" w:w="1176"/>
            <w:shd w:val="clear" w:color="auto" w:fill="EEF3F9"/>
          </w:tcPr>
          <w:p>
            <w:r>
              <w:rPr>
                <w:b/>
                <w:sz w:val="18"/>
              </w:rPr>
              <w:t>Priority</w:t>
            </w:r>
          </w:p>
        </w:tc>
      </w:tr>
      <w:tr>
        <w:tc>
          <w:tcPr>
            <w:tcW w:type="dxa" w:w="1176"/>
            <w:shd w:val="clear" w:color="auto" w:fill="FFFFFF"/>
          </w:tcPr>
          <w:p>
            <w:r>
              <w:rPr>
                <w:sz w:val="18"/>
              </w:rPr>
              <w:t>Specialty / white cement</w:t>
            </w:r>
          </w:p>
        </w:tc>
        <w:tc>
          <w:tcPr>
            <w:tcW w:type="dxa" w:w="1176"/>
            <w:shd w:val="clear" w:color="auto" w:fill="FFFFFF"/>
          </w:tcPr>
          <w:p>
            <w:r>
              <w:rPr>
                <w:sz w:val="18"/>
              </w:rPr>
              <w:t>Low</w:t>
            </w:r>
          </w:p>
        </w:tc>
        <w:tc>
          <w:tcPr>
            <w:tcW w:type="dxa" w:w="1176"/>
            <w:shd w:val="clear" w:color="auto" w:fill="FFFFFF"/>
          </w:tcPr>
          <w:p>
            <w:r>
              <w:rPr>
                <w:sz w:val="18"/>
              </w:rPr>
              <w:t>Low</w:t>
            </w:r>
          </w:p>
        </w:tc>
        <w:tc>
          <w:tcPr>
            <w:tcW w:type="dxa" w:w="1176"/>
            <w:shd w:val="clear" w:color="auto" w:fill="FFFFFF"/>
          </w:tcPr>
          <w:p>
            <w:r>
              <w:rPr>
                <w:sz w:val="18"/>
              </w:rPr>
              <w:t>Low</w:t>
            </w:r>
          </w:p>
        </w:tc>
        <w:tc>
          <w:tcPr>
            <w:tcW w:type="dxa" w:w="1176"/>
            <w:shd w:val="clear" w:color="auto" w:fill="FFFFFF"/>
          </w:tcPr>
          <w:p>
            <w:r>
              <w:rPr>
                <w:sz w:val="18"/>
              </w:rPr>
              <w:t>Low</w:t>
            </w:r>
          </w:p>
        </w:tc>
        <w:tc>
          <w:tcPr>
            <w:tcW w:type="dxa" w:w="1176"/>
            <w:shd w:val="clear" w:color="auto" w:fill="FFFFFF"/>
          </w:tcPr>
          <w:p>
            <w:r>
              <w:rPr>
                <w:sz w:val="18"/>
              </w:rPr>
              <w:t>Low</w:t>
            </w:r>
          </w:p>
        </w:tc>
        <w:tc>
          <w:tcPr>
            <w:tcW w:type="dxa" w:w="1176"/>
            <w:shd w:val="clear" w:color="auto" w:fill="FFFFFF"/>
          </w:tcPr>
          <w:p>
            <w:r>
              <w:rPr>
                <w:sz w:val="18"/>
              </w:rPr>
              <w:t>—</w:t>
            </w:r>
          </w:p>
        </w:tc>
        <w:tc>
          <w:tcPr>
            <w:tcW w:type="dxa" w:w="1176"/>
            <w:shd w:val="clear" w:color="auto" w:fill="FFFFFF"/>
          </w:tcPr>
          <w:p>
            <w:r>
              <w:rPr>
                <w:sz w:val="18"/>
              </w:rPr>
              <w:t>Deprioritize</w:t>
            </w:r>
          </w:p>
        </w:tc>
      </w:tr>
    </w:tbl>
    <w:p/>
    <w:p>
      <w:r>
        <w:rPr>
          <w:b/>
        </w:rPr>
        <w:t>The three priorities for Cement &amp; Building Materials:</w:t>
      </w:r>
    </w:p>
    <w:p>
      <w:pPr>
        <w:pStyle w:val="ListNumber"/>
      </w:pPr>
      <w:r>
        <w:rPr>
          <w:b/>
        </w:rPr>
        <w:t>Clinker production</w:t>
      </w:r>
      <w:r>
        <w:t xml:space="preserve"> — the highest-value step and the chain's structural gap; support the new USD 200–300m plants to substitute the USD 162m import line and secure feedstock for domestic grinders, with alternative fuels and SCM substitution built in.</w:t>
      </w:r>
    </w:p>
    <w:p>
      <w:pPr>
        <w:pStyle w:val="ListNumber"/>
      </w:pPr>
      <w:r>
        <w:rPr>
          <w:b/>
        </w:rPr>
        <w:t>Finished cement for regional export</w:t>
      </w:r>
      <w:r>
        <w:t xml:space="preserve"> — defend and grow Uganda's competitive USD 86m export position, strengthened by reliable domestic clinker.</w:t>
      </w:r>
    </w:p>
    <w:p>
      <w:pPr>
        <w:pStyle w:val="ListNumber"/>
      </w:pPr>
      <w:r>
        <w:rPr>
          <w:b/>
        </w:rPr>
        <w:t>Higher-value building materials</w:t>
      </w:r>
      <w:r>
        <w:t xml:space="preserve"> — fibre-cement, tiles and precast/concrete products that add value and substitute construction imports.</w:t>
      </w:r>
    </w:p>
    <w:p>
      <w:r>
        <w:rPr>
          <w:b/>
        </w:rPr>
        <w:t>Explicit deprioritization.</w:t>
      </w:r>
      <w:r>
        <w:t xml:space="preserve"> Uganda should </w:t>
      </w:r>
      <w:r>
        <w:rPr>
          <w:b/>
        </w:rPr>
        <w:t>not</w:t>
      </w:r>
      <w:r>
        <w:t xml:space="preserve"> target niche specialty/white cement (small markets, costly specialised capacity). The priority is </w:t>
      </w:r>
      <w:r>
        <w:rPr>
          <w:b/>
        </w:rPr>
        <w:t>mainstream clinker + cement + building materials</w:t>
      </w:r>
      <w:r>
        <w:t xml:space="preserve"> for domestic and regional markets.</w:t>
      </w:r>
    </w:p>
    <w:p>
      <w:pPr>
        <w:pStyle w:val="Heading2"/>
      </w:pPr>
      <w:r>
        <w:t>9.G Project Profiles</w:t>
      </w:r>
    </w:p>
    <w:p>
      <w:r>
        <w:rPr>
          <w:b/>
        </w:rPr>
        <w:t>P1 — Domestic clinker capacity build-out (strategic anchor + green).</w:t>
      </w:r>
    </w:p>
    <w:p>
      <w:pPr>
        <w:pStyle w:val="ListBullet"/>
      </w:pPr>
      <w:r>
        <w:rPr>
          <w:i/>
        </w:rPr>
        <w:t>Strategic:</w:t>
      </w:r>
      <w:r>
        <w:t xml:space="preserve"> closes the &gt;50% clinker gap; secures feedstock for grinders; substitutes USD 162m imports.</w:t>
      </w:r>
    </w:p>
    <w:p>
      <w:pPr>
        <w:pStyle w:val="ListBullet"/>
      </w:pPr>
      <w:r>
        <w:rPr>
          <w:i/>
        </w:rPr>
        <w:t>Quick-win element:</w:t>
      </w:r>
      <w:r>
        <w:t xml:space="preserve"> support commissioning of the NE and Buikwe plants already underway.</w:t>
      </w:r>
    </w:p>
    <w:p>
      <w:pPr>
        <w:pStyle w:val="ListBullet"/>
      </w:pPr>
      <w:r>
        <w:rPr>
          <w:i/>
        </w:rPr>
        <w:t>Green:</w:t>
      </w:r>
      <w:r>
        <w:t xml:space="preserve"> alternative-fuel co-processing; SCM (slag/phosphogypsum) clinker substitution.</w:t>
      </w:r>
    </w:p>
    <w:p>
      <w:r>
        <w:rPr>
          <w:b/>
        </w:rPr>
        <w:t>P2 — Green/blended cement &amp; SCM utilisation (green + strategic).</w:t>
      </w:r>
    </w:p>
    <w:p>
      <w:pPr>
        <w:pStyle w:val="ListBullet"/>
      </w:pPr>
      <w:r>
        <w:rPr>
          <w:i/>
        </w:rPr>
        <w:t>Strategic:</w:t>
      </w:r>
      <w:r>
        <w:t xml:space="preserve"> lowers cost and carbon; circular link to steel slag (Ch.4) and phosphogypsum (Ch.6).</w:t>
      </w:r>
    </w:p>
    <w:p>
      <w:pPr>
        <w:pStyle w:val="ListBullet"/>
      </w:pPr>
      <w:r>
        <w:rPr>
          <w:i/>
        </w:rPr>
        <w:t>Quick-win element:</w:t>
      </w:r>
      <w:r>
        <w:t xml:space="preserve"> blended-cement product lines using existing by-products.</w:t>
      </w:r>
    </w:p>
    <w:p>
      <w:pPr>
        <w:pStyle w:val="ListBullet"/>
      </w:pPr>
      <w:r>
        <w:rPr>
          <w:i/>
        </w:rPr>
        <w:t>Green:</w:t>
      </w:r>
      <w:r>
        <w:t xml:space="preserve"> the flagship low-carbon-cement move.</w:t>
      </w:r>
    </w:p>
    <w:p>
      <w:r>
        <w:rPr>
          <w:b/>
        </w:rPr>
        <w:t>P3 — Higher-value building materials (strategic).</w:t>
      </w:r>
    </w:p>
    <w:p>
      <w:pPr>
        <w:pStyle w:val="ListBullet"/>
      </w:pPr>
      <w:r>
        <w:rPr>
          <w:i/>
        </w:rPr>
        <w:t>Strategic:</w:t>
      </w:r>
      <w:r>
        <w:t xml:space="preserve"> fibre-cement, tiles, precast — substitutes construction imports; job-rich.</w:t>
      </w:r>
    </w:p>
    <w:p>
      <w:pPr>
        <w:pStyle w:val="ListBullet"/>
      </w:pPr>
      <w:r>
        <w:rPr>
          <w:i/>
        </w:rPr>
        <w:t>Quick-win element:</w:t>
      </w:r>
      <w:r>
        <w:t xml:space="preserve"> build on existing cement base.</w:t>
      </w:r>
    </w:p>
    <w:p>
      <w:pPr>
        <w:pStyle w:val="ListBullet"/>
      </w:pPr>
      <w:r>
        <w:rPr>
          <w:i/>
        </w:rPr>
        <w:t>Green:</w:t>
      </w:r>
      <w:r>
        <w:t xml:space="preserve"> uses blended/low-carbon cement.</w:t>
      </w:r>
    </w:p>
    <w:p>
      <w:pPr>
        <w:pStyle w:val="Heading2"/>
      </w:pPr>
      <w:r>
        <w:t>9.H Priority Action Matrix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18"/>
              </w:rPr>
              <w:t>Timeframe</w:t>
            </w:r>
          </w:p>
        </w:tc>
        <w:tc>
          <w:tcPr>
            <w:tcW w:type="dxa" w:w="2351"/>
            <w:shd w:val="clear" w:color="auto" w:fill="002B5B"/>
          </w:tcPr>
          <w:p>
            <w:r>
              <w:rPr>
                <w:b/>
                <w:color w:val="FFFFFF"/>
                <w:sz w:val="18"/>
              </w:rPr>
              <w:t>Action</w:t>
            </w:r>
          </w:p>
        </w:tc>
        <w:tc>
          <w:tcPr>
            <w:tcW w:type="dxa" w:w="2351"/>
            <w:shd w:val="clear" w:color="auto" w:fill="002B5B"/>
          </w:tcPr>
          <w:p>
            <w:r>
              <w:rPr>
                <w:b/>
                <w:color w:val="FFFFFF"/>
                <w:sz w:val="18"/>
              </w:rPr>
              <w:t>Lead</w:t>
            </w:r>
          </w:p>
        </w:tc>
        <w:tc>
          <w:tcPr>
            <w:tcW w:type="dxa" w:w="2351"/>
            <w:shd w:val="clear" w:color="auto" w:fill="002B5B"/>
          </w:tcPr>
          <w:p>
            <w:r>
              <w:rPr>
                <w:b/>
                <w:color w:val="FFFFFF"/>
                <w:sz w:val="18"/>
              </w:rPr>
              <w:t>Indicative cost</w:t>
            </w:r>
          </w:p>
        </w:tc>
      </w:tr>
      <w:tr>
        <w:tc>
          <w:tcPr>
            <w:tcW w:type="dxa" w:w="2351"/>
            <w:shd w:val="clear" w:color="auto" w:fill="EEF3F9"/>
          </w:tcPr>
          <w:p>
            <w:r>
              <w:rPr>
                <w:b/>
                <w:sz w:val="18"/>
              </w:rPr>
              <w:t>Quick win (0–12m)</w:t>
            </w:r>
          </w:p>
        </w:tc>
        <w:tc>
          <w:tcPr>
            <w:tcW w:type="dxa" w:w="2351"/>
            <w:shd w:val="clear" w:color="auto" w:fill="EEF3F9"/>
          </w:tcPr>
          <w:p>
            <w:r>
              <w:rPr>
                <w:sz w:val="18"/>
              </w:rPr>
              <w:t>UNBS enforcement on cement quality; support new clinker plants' commissioning</w:t>
            </w:r>
          </w:p>
        </w:tc>
        <w:tc>
          <w:tcPr>
            <w:tcW w:type="dxa" w:w="2351"/>
            <w:shd w:val="clear" w:color="auto" w:fill="EEF3F9"/>
          </w:tcPr>
          <w:p>
            <w:r>
              <w:rPr>
                <w:sz w:val="18"/>
              </w:rPr>
              <w:t>UNBS, MTIC</w:t>
            </w:r>
          </w:p>
        </w:tc>
        <w:tc>
          <w:tcPr>
            <w:tcW w:type="dxa" w:w="2351"/>
            <w:shd w:val="clear" w:color="auto" w:fill="EEF3F9"/>
          </w:tcPr>
          <w:p>
            <w:r>
              <w:rPr>
                <w:sz w:val="18"/>
              </w:rPr>
              <w:t>Low</w:t>
            </w:r>
          </w:p>
        </w:tc>
      </w:tr>
      <w:tr>
        <w:tc>
          <w:tcPr>
            <w:tcW w:type="dxa" w:w="2351"/>
            <w:shd w:val="clear" w:color="auto" w:fill="FFFFFF"/>
          </w:tcPr>
          <w:p>
            <w:r>
              <w:rPr>
                <w:sz w:val="18"/>
              </w:rPr>
              <w:t>Quick win (0–12m)</w:t>
            </w:r>
          </w:p>
        </w:tc>
        <w:tc>
          <w:tcPr>
            <w:tcW w:type="dxa" w:w="2351"/>
            <w:shd w:val="clear" w:color="auto" w:fill="FFFFFF"/>
          </w:tcPr>
          <w:p>
            <w:r>
              <w:rPr>
                <w:sz w:val="18"/>
              </w:rPr>
              <w:t>Secure limestone licensing and land for clinker expansion</w:t>
            </w:r>
          </w:p>
        </w:tc>
        <w:tc>
          <w:tcPr>
            <w:tcW w:type="dxa" w:w="2351"/>
            <w:shd w:val="clear" w:color="auto" w:fill="FFFFFF"/>
          </w:tcPr>
          <w:p>
            <w:r>
              <w:rPr>
                <w:sz w:val="18"/>
              </w:rPr>
              <w:t>MEMD/DGSM, MTIC</w:t>
            </w:r>
          </w:p>
        </w:tc>
        <w:tc>
          <w:tcPr>
            <w:tcW w:type="dxa" w:w="2351"/>
            <w:shd w:val="clear" w:color="auto" w:fill="FFFFFF"/>
          </w:tcPr>
          <w:p>
            <w:r>
              <w:rPr>
                <w:sz w:val="18"/>
              </w:rPr>
              <w:t>Low–Medium</w:t>
            </w:r>
          </w:p>
        </w:tc>
      </w:tr>
      <w:tr>
        <w:tc>
          <w:tcPr>
            <w:tcW w:type="dxa" w:w="2351"/>
            <w:shd w:val="clear" w:color="auto" w:fill="EEF3F9"/>
          </w:tcPr>
          <w:p>
            <w:r>
              <w:rPr>
                <w:b/>
                <w:sz w:val="18"/>
              </w:rPr>
              <w:t>Reform (1–3y)</w:t>
            </w:r>
          </w:p>
        </w:tc>
        <w:tc>
          <w:tcPr>
            <w:tcW w:type="dxa" w:w="2351"/>
            <w:shd w:val="clear" w:color="auto" w:fill="EEF3F9"/>
          </w:tcPr>
          <w:p>
            <w:r>
              <w:rPr>
                <w:sz w:val="18"/>
              </w:rPr>
              <w:t>Energy agreements for clinker plants; alternative-fuel / co-processing and SCM-substitution framework</w:t>
            </w:r>
          </w:p>
        </w:tc>
        <w:tc>
          <w:tcPr>
            <w:tcW w:type="dxa" w:w="2351"/>
            <w:shd w:val="clear" w:color="auto" w:fill="EEF3F9"/>
          </w:tcPr>
          <w:p>
            <w:r>
              <w:rPr>
                <w:sz w:val="18"/>
              </w:rPr>
              <w:t>ERA, MEMD, NEMA</w:t>
            </w:r>
          </w:p>
        </w:tc>
        <w:tc>
          <w:tcPr>
            <w:tcW w:type="dxa" w:w="2351"/>
            <w:shd w:val="clear" w:color="auto" w:fill="EEF3F9"/>
          </w:tcPr>
          <w:p>
            <w:r>
              <w:rPr>
                <w:sz w:val="18"/>
              </w:rPr>
              <w:t>Medium</w:t>
            </w:r>
          </w:p>
        </w:tc>
      </w:tr>
      <w:tr>
        <w:tc>
          <w:tcPr>
            <w:tcW w:type="dxa" w:w="2351"/>
            <w:shd w:val="clear" w:color="auto" w:fill="FFFFFF"/>
          </w:tcPr>
          <w:p>
            <w:r>
              <w:rPr>
                <w:sz w:val="18"/>
              </w:rPr>
              <w:t>Reform (1–3y)</w:t>
            </w:r>
          </w:p>
        </w:tc>
        <w:tc>
          <w:tcPr>
            <w:tcW w:type="dxa" w:w="2351"/>
            <w:shd w:val="clear" w:color="auto" w:fill="FFFFFF"/>
          </w:tcPr>
          <w:p>
            <w:r>
              <w:rPr>
                <w:sz w:val="18"/>
              </w:rPr>
              <w:t>Regional-export facilitation (standards mutual recognition, corridor logistics)</w:t>
            </w:r>
          </w:p>
        </w:tc>
        <w:tc>
          <w:tcPr>
            <w:tcW w:type="dxa" w:w="2351"/>
            <w:shd w:val="clear" w:color="auto" w:fill="FFFFFF"/>
          </w:tcPr>
          <w:p>
            <w:r>
              <w:rPr>
                <w:sz w:val="18"/>
              </w:rPr>
              <w:t>MTIC, EAC</w:t>
            </w:r>
          </w:p>
        </w:tc>
        <w:tc>
          <w:tcPr>
            <w:tcW w:type="dxa" w:w="2351"/>
            <w:shd w:val="clear" w:color="auto" w:fill="FFFFFF"/>
          </w:tcPr>
          <w:p>
            <w:r>
              <w:rPr>
                <w:sz w:val="18"/>
              </w:rPr>
              <w:t>Low–Medium</w:t>
            </w:r>
          </w:p>
        </w:tc>
      </w:tr>
      <w:tr>
        <w:tc>
          <w:tcPr>
            <w:tcW w:type="dxa" w:w="2351"/>
            <w:shd w:val="clear" w:color="auto" w:fill="EEF3F9"/>
          </w:tcPr>
          <w:p>
            <w:r>
              <w:rPr>
                <w:b/>
                <w:sz w:val="18"/>
              </w:rPr>
              <w:t>Investment (3–5y)</w:t>
            </w:r>
          </w:p>
        </w:tc>
        <w:tc>
          <w:tcPr>
            <w:tcW w:type="dxa" w:w="2351"/>
            <w:shd w:val="clear" w:color="auto" w:fill="EEF3F9"/>
          </w:tcPr>
          <w:p>
            <w:r>
              <w:rPr>
                <w:sz w:val="18"/>
              </w:rPr>
              <w:t>Clinker capacity build-out (NE plant, Buikwe, expansions)</w:t>
            </w:r>
          </w:p>
        </w:tc>
        <w:tc>
          <w:tcPr>
            <w:tcW w:type="dxa" w:w="2351"/>
            <w:shd w:val="clear" w:color="auto" w:fill="EEF3F9"/>
          </w:tcPr>
          <w:p>
            <w:r>
              <w:rPr>
                <w:sz w:val="18"/>
              </w:rPr>
              <w:t>Private-led</w:t>
            </w:r>
          </w:p>
        </w:tc>
        <w:tc>
          <w:tcPr>
            <w:tcW w:type="dxa" w:w="2351"/>
            <w:shd w:val="clear" w:color="auto" w:fill="EEF3F9"/>
          </w:tcPr>
          <w:p>
            <w:r>
              <w:rPr>
                <w:sz w:val="18"/>
              </w:rPr>
              <w:t>~USD 200–300m+ (announced)</w:t>
            </w:r>
          </w:p>
        </w:tc>
      </w:tr>
      <w:tr>
        <w:tc>
          <w:tcPr>
            <w:tcW w:type="dxa" w:w="2351"/>
            <w:shd w:val="clear" w:color="auto" w:fill="FFFFFF"/>
          </w:tcPr>
          <w:p>
            <w:r>
              <w:rPr>
                <w:sz w:val="18"/>
              </w:rPr>
              <w:t>Investment (3–5y)</w:t>
            </w:r>
          </w:p>
        </w:tc>
        <w:tc>
          <w:tcPr>
            <w:tcW w:type="dxa" w:w="2351"/>
            <w:shd w:val="clear" w:color="auto" w:fill="FFFFFF"/>
          </w:tcPr>
          <w:p>
            <w:r>
              <w:rPr>
                <w:sz w:val="18"/>
              </w:rPr>
              <w:t>Green/blended cement + higher-value building-materials plants (fibre-cement, tiles, precast)</w:t>
            </w:r>
          </w:p>
        </w:tc>
        <w:tc>
          <w:tcPr>
            <w:tcW w:type="dxa" w:w="2351"/>
            <w:shd w:val="clear" w:color="auto" w:fill="FFFFFF"/>
          </w:tcPr>
          <w:p>
            <w:r>
              <w:rPr>
                <w:sz w:val="18"/>
              </w:rPr>
              <w:t>Private-led</w:t>
            </w:r>
          </w:p>
        </w:tc>
        <w:tc>
          <w:tcPr>
            <w:tcW w:type="dxa" w:w="2351"/>
            <w:shd w:val="clear" w:color="auto" w:fill="FFFFFF"/>
          </w:tcPr>
          <w:p>
            <w:r>
              <w:rPr>
                <w:sz w:val="18"/>
              </w:rPr>
              <w:t>Indicative (see Ch.11)</w:t>
            </w:r>
          </w:p>
        </w:tc>
      </w:tr>
    </w:tbl>
    <w:p/>
    <w:p>
      <w:r>
        <w:rPr>
          <w:i/>
        </w:rPr>
        <w:t>Sources for this chapter are listed in the consolidated References at the end of this report.</w:t>
      </w:r>
    </w:p>
    <w:p>
      <w:r>
        <w:br w:type="page"/>
      </w:r>
    </w:p>
    <w:p>
      <w:pPr>
        <w:pStyle w:val="Heading1"/>
      </w:pPr>
      <w:r>
        <w:t>Chapter 10: Cross-Cutting Priority Actions and Policy Recommendations</w:t>
      </w:r>
    </w:p>
    <w:p>
      <w:r>
        <w:rPr>
          <w:b/>
        </w:rPr>
        <w:t>Report:</w:t>
      </w:r>
      <w:r>
        <w:t xml:space="preserve"> Report 2 — Textiles &amp; Garments, Pharmaceuticals, Petrochemicals &amp; Fertilizers, Sugar &amp; Confectionery, Plastics &amp; Packaging, and Cement &amp; Building Materials Value Chains</w:t>
      </w:r>
    </w:p>
    <w:p>
      <w:r>
        <w:rPr>
          <w:b/>
        </w:rPr>
        <w:t>Status:</w:t>
      </w:r>
      <w:r>
        <w:t xml:space="preserve"> Draft for validation</w:t>
      </w:r>
    </w:p>
    <w:p>
      <w:pPr>
        <w:pStyle w:val="Heading2"/>
      </w:pPr>
      <w:r>
        <w:t>10.1 Introduction</w:t>
      </w:r>
    </w:p>
    <w:p>
      <w:r>
        <w:t xml:space="preserve">The six value chains — Textiles &amp; Garments, Pharmaceuticals, Petrochemicals &amp; Fertilizers, Sugar &amp; Confectionery, Plastics &amp; Packaging, and Cement &amp; Building Materials — span agro-processing (textiles, sugar), health (pharmaceuticals), agricultural inputs and energy (fertilizers, petrochemicals), and construction-linked manufacturing (cement, plastics). Despite their diversity, they share a common set of binding constraints and a common strategic pattern: </w:t>
      </w:r>
      <w:r>
        <w:rPr>
          <w:b/>
        </w:rPr>
        <w:t>Uganda exports or under-processes raw inputs and imports the finished product.</w:t>
      </w:r>
      <w:r>
        <w:t xml:space="preserve"> This chapter consolidates the cross-cutting actions that lift all six, mapped to the six PCP priority areas.</w:t>
      </w:r>
    </w:p>
    <w:p>
      <w:pPr>
        <w:pStyle w:val="Heading2"/>
      </w:pPr>
      <w:r>
        <w:t>10.2 The Shared Binding Constraints</w:t>
      </w:r>
    </w:p>
    <w:p>
      <w:r>
        <w:rPr>
          <w:b/>
        </w:rPr>
        <w:t>1. Energy cost and reliability.</w:t>
      </w:r>
      <w:r>
        <w:t xml:space="preserve"> Cement (clinker), textiles (spinning/wet-processing), and any future petrochemical processing are energy-intensive. Uganda's industrial tariff (~5.5 US¢/kWh, 2025; ERA) is regionally competitive, but reliability and backup cost matter. Sugar co-generation is a partial in-sector solution that can ease grid pressure.</w:t>
      </w:r>
    </w:p>
    <w:p>
      <w:r>
        <w:rPr>
          <w:b/>
        </w:rPr>
        <w:t>2. Logistics and the landlocked penalty.</w:t>
      </w:r>
      <w:r>
        <w:t xml:space="preserve"> Logistics inefficiencies cost the economy ~USD 827 million/year and ~18–20% of the sale price of goods — affecting imported inputs (resin, APIs, clinker) and regional exports (sugar, cement, garments) alike.</w:t>
      </w:r>
    </w:p>
    <w:p>
      <w:r>
        <w:rPr>
          <w:b/>
        </w:rPr>
        <w:t>3. Access to long-term finance.</w:t>
      </w:r>
      <w:r>
        <w:t xml:space="preserve"> GMP pharmaceutical plants, spinning mills, clinker kilns, recycling plants, and the refinery are all highly capital-intensive. Long-term finance is scarce and costly, and </w:t>
      </w:r>
      <w:r>
        <w:rPr>
          <w:b/>
        </w:rPr>
        <w:t>2025 liquidity tightening has crowded out private credit</w:t>
      </w:r>
      <w:r>
        <w:t xml:space="preserve"> (KPMG, </w:t>
      </w:r>
      <w:r>
        <w:rPr>
          <w:i/>
        </w:rPr>
        <w:t>Budget Brief 2025/26</w:t>
      </w:r>
      <w:r>
        <w:t>).</w:t>
      </w:r>
    </w:p>
    <w:p>
      <w:r>
        <w:rPr>
          <w:b/>
        </w:rPr>
        <w:t>4. Skills.</w:t>
      </w:r>
      <w:r>
        <w:t xml:space="preserve"> ~68% of manufacturers report difficulty finding required technical skills (UMA). Textile engineering, pharmaceutical QA/QC, chemical/process engineering, and food technology are particularly scarce.</w:t>
      </w:r>
    </w:p>
    <w:p>
      <w:r>
        <w:rPr>
          <w:b/>
        </w:rPr>
        <w:t>5. Standards and quality.</w:t>
      </w:r>
      <w:r>
        <w:t xml:space="preserve"> UNBS standards (food, cement, packaging) and NDA/WHO-GMP (pharmaceuticals) are simultaneously the gatekeepers to markets and the means to displace sub-standard imports. Enforcement is uneven.</w:t>
      </w:r>
    </w:p>
    <w:p>
      <w:r>
        <w:rPr>
          <w:b/>
        </w:rPr>
        <w:t>6. Raw-material / feedstock dependence.</w:t>
      </w:r>
      <w:r>
        <w:t xml:space="preserve"> A recurring theme: imported APIs (pharma), imported resin (plastics), imported clinker (cement), under-processed lint (textiles), and unmet fertilizer supply. Securing or substituting feedstock is the structural key across the report.</w:t>
      </w:r>
    </w:p>
    <w:p>
      <w:pPr>
        <w:pStyle w:val="Heading2"/>
      </w:pPr>
      <w:r>
        <w:t>10.3 Cross-Cutting Priority Actions</w:t>
      </w:r>
    </w:p>
    <w:p>
      <w:pPr>
        <w:pStyle w:val="Heading3"/>
      </w:pPr>
      <w:r>
        <w:t>A. Move up the value chain from raw commodity to processed product</w:t>
      </w:r>
    </w:p>
    <w:p>
      <w:r>
        <w:t xml:space="preserve">The defining Report 2 opportunity. Process cotton lint domestically (textiles), produce clinker (cement), make industrial sugar and ethanol from surplus cane, and substitute finished medicines and packaging. Policy should consistently favour </w:t>
      </w:r>
      <w:r>
        <w:rPr>
          <w:b/>
        </w:rPr>
        <w:t>domestic value addition over raw-commodity export and finished-goods import.</w:t>
      </w:r>
    </w:p>
    <w:p>
      <w:pPr>
        <w:pStyle w:val="Heading3"/>
      </w:pPr>
      <w:r>
        <w:t>B. Standards and quality infrastructure</w:t>
      </w:r>
    </w:p>
    <w:p>
      <w:r>
        <w:t xml:space="preserve">Resource </w:t>
      </w:r>
      <w:r>
        <w:rPr>
          <w:b/>
        </w:rPr>
        <w:t>UNBS and NDA</w:t>
      </w:r>
      <w:r>
        <w:t xml:space="preserve"> to enforce standards on imported textiles, medicines, cement, packaging, and fertilizer — protecting consumers and levelling the field for compliant domestic producers. The single highest-leverage cross-cutting lever for Report 2 (PCP Area 4).</w:t>
      </w:r>
    </w:p>
    <w:p>
      <w:pPr>
        <w:pStyle w:val="Heading3"/>
      </w:pPr>
      <w:r>
        <w:t>C. Guaranteed demand through public procurement</w:t>
      </w:r>
    </w:p>
    <w:p>
      <w:r>
        <w:t xml:space="preserve">Use public procurement as a demand anchor: </w:t>
      </w:r>
      <w:r>
        <w:rPr>
          <w:b/>
        </w:rPr>
        <w:t>locally made essential medicines</w:t>
      </w:r>
      <w:r>
        <w:t xml:space="preserve"> (NMS/JMS), </w:t>
      </w:r>
      <w:r>
        <w:rPr>
          <w:b/>
        </w:rPr>
        <w:t>institutional uniforms</w:t>
      </w:r>
      <w:r>
        <w:t xml:space="preserve"> (garments), </w:t>
      </w:r>
      <w:r>
        <w:rPr>
          <w:b/>
        </w:rPr>
        <w:t>domestic cement</w:t>
      </w:r>
      <w:r>
        <w:t xml:space="preserve"> for public infrastructure, and </w:t>
      </w:r>
      <w:r>
        <w:rPr>
          <w:b/>
        </w:rPr>
        <w:t>fertilizer</w:t>
      </w:r>
      <w:r>
        <w:t xml:space="preserve"> programmes for agriculture.</w:t>
      </w:r>
    </w:p>
    <w:p>
      <w:pPr>
        <w:pStyle w:val="Heading3"/>
      </w:pPr>
      <w:r>
        <w:t>D. Industrial parks, utilities, and circularity</w:t>
      </w:r>
    </w:p>
    <w:p>
      <w:r>
        <w:t xml:space="preserve">Develop serviced parks with reliable power, water, and </w:t>
      </w:r>
      <w:r>
        <w:rPr>
          <w:b/>
        </w:rPr>
        <w:t>effluent treatment</w:t>
      </w:r>
      <w:r>
        <w:t xml:space="preserve"> (critical for textiles wet-processing and pharma), and build the </w:t>
      </w:r>
      <w:r>
        <w:rPr>
          <w:b/>
        </w:rPr>
        <w:t>circular-economy infrastructure</w:t>
      </w:r>
      <w:r>
        <w:t xml:space="preserve"> (plastics recycling, EPR, sugar co-generation, waste co-processing in cement) that the NEMA strategy envisages (PCP Areas 3 &amp; 5).</w:t>
      </w:r>
    </w:p>
    <w:p>
      <w:pPr>
        <w:pStyle w:val="Heading3"/>
      </w:pPr>
      <w:r>
        <w:t>E. Industrial-finance instrument</w:t>
      </w:r>
    </w:p>
    <w:p>
      <w:r>
        <w:t xml:space="preserve">Scale a </w:t>
      </w:r>
      <w:r>
        <w:rPr>
          <w:b/>
        </w:rPr>
        <w:t>long-term industrial-finance facility</w:t>
      </w:r>
      <w:r>
        <w:t xml:space="preserve"> (UDB + partners, blended/concessional) for the capital-intensive plants — GMP pharma, spinning, clinker, recycling — to offset the crowding-out of private credit.</w:t>
      </w:r>
    </w:p>
    <w:p>
      <w:pPr>
        <w:pStyle w:val="Heading3"/>
      </w:pPr>
      <w:r>
        <w:t>F. Skills compact</w:t>
      </w:r>
    </w:p>
    <w:p>
      <w:r>
        <w:t xml:space="preserve">A targeted skills programme spanning </w:t>
      </w:r>
      <w:r>
        <w:rPr>
          <w:b/>
        </w:rPr>
        <w:t>textile engineering, pharmaceutical QA/QC and regulatory affairs, chemical/process engineering, and food technology</w:t>
      </w:r>
      <w:r>
        <w:t>, delivered through Makerere, Uganda Industrial Research Institute (UIRI), and Technical and Vocational Education and Training (TVET) in partnership with anchor firms.</w:t>
      </w:r>
    </w:p>
    <w:p>
      <w:pPr>
        <w:pStyle w:val="Heading3"/>
      </w:pPr>
      <w:r>
        <w:t>G. Sequence the petrochemical opportunity</w:t>
      </w:r>
    </w:p>
    <w:p>
      <w:r>
        <w:t xml:space="preserve">Treat the </w:t>
      </w:r>
      <w:r>
        <w:rPr>
          <w:b/>
        </w:rPr>
        <w:t>Kabaale refinery / Kabalega petrochemical park</w:t>
      </w:r>
      <w:r>
        <w:t xml:space="preserve"> as the medium-term feedstock anchor for plastics and fertilizers, and </w:t>
      </w:r>
      <w:r>
        <w:rPr>
          <w:b/>
        </w:rPr>
        <w:t>prepare the downstream linkages now</w:t>
      </w:r>
      <w:r>
        <w:t xml:space="preserve"> (recycling, blending, conversion) so that domestic resin and chemicals have ready demand when the refinery comes online (~2029–30).</w:t>
      </w:r>
    </w:p>
    <w:p>
      <w:pPr>
        <w:pStyle w:val="Heading2"/>
      </w:pPr>
      <w:r>
        <w:t>10.4 Alignment to PCP Priority Areas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18"/>
              </w:rPr>
              <w:t>PCP Priority Area</w:t>
            </w:r>
          </w:p>
        </w:tc>
        <w:tc>
          <w:tcPr>
            <w:tcW w:type="dxa" w:w="4703"/>
            <w:shd w:val="clear" w:color="auto" w:fill="002B5B"/>
          </w:tcPr>
          <w:p>
            <w:r>
              <w:rPr>
                <w:b/>
                <w:color w:val="FFFFFF"/>
                <w:sz w:val="18"/>
              </w:rPr>
              <w:t>Report 2 cross-cutting actions</w:t>
            </w:r>
          </w:p>
        </w:tc>
      </w:tr>
      <w:tr>
        <w:tc>
          <w:tcPr>
            <w:tcW w:type="dxa" w:w="4703"/>
            <w:shd w:val="clear" w:color="auto" w:fill="EEF3F9"/>
          </w:tcPr>
          <w:p>
            <w:r>
              <w:rPr>
                <w:sz w:val="18"/>
              </w:rPr>
              <w:t>1. Industrial policy implementation &amp; coordination</w:t>
            </w:r>
          </w:p>
        </w:tc>
        <w:tc>
          <w:tcPr>
            <w:tcW w:type="dxa" w:w="4703"/>
            <w:shd w:val="clear" w:color="auto" w:fill="EEF3F9"/>
          </w:tcPr>
          <w:p>
            <w:r>
              <w:rPr>
                <w:sz w:val="18"/>
              </w:rPr>
              <w:t>Value-addition policy (A); procurement (C); cross-agency coordination (MTIC–MAAIF–MoH–MEMD)</w:t>
            </w:r>
          </w:p>
        </w:tc>
      </w:tr>
      <w:tr>
        <w:tc>
          <w:tcPr>
            <w:tcW w:type="dxa" w:w="4703"/>
            <w:shd w:val="clear" w:color="auto" w:fill="FFFFFF"/>
          </w:tcPr>
          <w:p>
            <w:r>
              <w:rPr>
                <w:sz w:val="18"/>
              </w:rPr>
              <w:t>2. Mobilizing public &amp; private investment</w:t>
            </w:r>
          </w:p>
        </w:tc>
        <w:tc>
          <w:tcPr>
            <w:tcW w:type="dxa" w:w="4703"/>
            <w:shd w:val="clear" w:color="auto" w:fill="FFFFFF"/>
          </w:tcPr>
          <w:p>
            <w:r>
              <w:rPr>
                <w:sz w:val="18"/>
              </w:rPr>
              <w:t>Industrial-finance instrument (E); investment portfolio (Ch.11); refinery PPP</w:t>
            </w:r>
          </w:p>
        </w:tc>
      </w:tr>
      <w:tr>
        <w:tc>
          <w:tcPr>
            <w:tcW w:type="dxa" w:w="4703"/>
            <w:shd w:val="clear" w:color="auto" w:fill="EEF3F9"/>
          </w:tcPr>
          <w:p>
            <w:r>
              <w:rPr>
                <w:sz w:val="18"/>
              </w:rPr>
              <w:t>3. Sustainable industrial parks &amp; free zones</w:t>
            </w:r>
          </w:p>
        </w:tc>
        <w:tc>
          <w:tcPr>
            <w:tcW w:type="dxa" w:w="4703"/>
            <w:shd w:val="clear" w:color="auto" w:fill="EEF3F9"/>
          </w:tcPr>
          <w:p>
            <w:r>
              <w:rPr>
                <w:sz w:val="18"/>
              </w:rPr>
              <w:t>Parks, utilities, effluent infrastructure (D)</w:t>
            </w:r>
          </w:p>
        </w:tc>
      </w:tr>
      <w:tr>
        <w:tc>
          <w:tcPr>
            <w:tcW w:type="dxa" w:w="4703"/>
            <w:shd w:val="clear" w:color="auto" w:fill="FFFFFF"/>
          </w:tcPr>
          <w:p>
            <w:r>
              <w:rPr>
                <w:sz w:val="18"/>
              </w:rPr>
              <w:t>4. National standards, quality &amp; accreditation</w:t>
            </w:r>
          </w:p>
        </w:tc>
        <w:tc>
          <w:tcPr>
            <w:tcW w:type="dxa" w:w="4703"/>
            <w:shd w:val="clear" w:color="auto" w:fill="FFFFFF"/>
          </w:tcPr>
          <w:p>
            <w:r>
              <w:rPr>
                <w:sz w:val="18"/>
              </w:rPr>
              <w:t>UNBS/NDA enforcement (B) — highest-leverage for Report 2</w:t>
            </w:r>
          </w:p>
        </w:tc>
      </w:tr>
      <w:tr>
        <w:tc>
          <w:tcPr>
            <w:tcW w:type="dxa" w:w="4703"/>
            <w:shd w:val="clear" w:color="auto" w:fill="EEF3F9"/>
          </w:tcPr>
          <w:p>
            <w:r>
              <w:rPr>
                <w:sz w:val="18"/>
              </w:rPr>
              <w:t>5. Green industry, circular economy &amp; Industry 4.0</w:t>
            </w:r>
          </w:p>
        </w:tc>
        <w:tc>
          <w:tcPr>
            <w:tcW w:type="dxa" w:w="4703"/>
            <w:shd w:val="clear" w:color="auto" w:fill="EEF3F9"/>
          </w:tcPr>
          <w:p>
            <w:r>
              <w:rPr>
                <w:sz w:val="18"/>
              </w:rPr>
              <w:t>Plastics circularity, sugar co-generation, cement co-processing (D)</w:t>
            </w:r>
          </w:p>
        </w:tc>
      </w:tr>
      <w:tr>
        <w:tc>
          <w:tcPr>
            <w:tcW w:type="dxa" w:w="4703"/>
            <w:shd w:val="clear" w:color="auto" w:fill="FFFFFF"/>
          </w:tcPr>
          <w:p>
            <w:r>
              <w:rPr>
                <w:sz w:val="18"/>
              </w:rPr>
              <w:t>6. Productive renewable energy &amp; efficiency</w:t>
            </w:r>
          </w:p>
        </w:tc>
        <w:tc>
          <w:tcPr>
            <w:tcW w:type="dxa" w:w="4703"/>
            <w:shd w:val="clear" w:color="auto" w:fill="FFFFFF"/>
          </w:tcPr>
          <w:p>
            <w:r>
              <w:rPr>
                <w:sz w:val="18"/>
              </w:rPr>
              <w:t>Industrial power reliability; sugar bagasse co-generation (D)</w:t>
            </w:r>
          </w:p>
        </w:tc>
      </w:tr>
    </w:tbl>
    <w:p/>
    <w:p>
      <w:pPr>
        <w:pStyle w:val="Heading2"/>
      </w:pPr>
      <w:r>
        <w:t>10.5 Summary of Cross-Cutting Recommendations</w:t>
      </w:r>
    </w:p>
    <w:p>
      <w:pPr>
        <w:pStyle w:val="ListNumber"/>
      </w:pPr>
      <w:r>
        <w:rPr>
          <w:b/>
        </w:rPr>
        <w:t>Favour domestic value addition</w:t>
      </w:r>
      <w:r>
        <w:t xml:space="preserve"> over raw-commodity export / finished-goods import, consistently across policy.</w:t>
      </w:r>
    </w:p>
    <w:p>
      <w:pPr>
        <w:pStyle w:val="ListNumber"/>
      </w:pPr>
      <w:r>
        <w:rPr>
          <w:b/>
        </w:rPr>
        <w:t>Enforce UNBS and NDA standards</w:t>
      </w:r>
      <w:r>
        <w:t xml:space="preserve"> (highest-leverage quick win for Report 2).</w:t>
      </w:r>
    </w:p>
    <w:p>
      <w:pPr>
        <w:pStyle w:val="ListNumber"/>
      </w:pPr>
      <w:r>
        <w:rPr>
          <w:b/>
        </w:rPr>
        <w:t>Anchor demand through public procurement</w:t>
      </w:r>
      <w:r>
        <w:t xml:space="preserve"> (medicines, uniforms, cement, fertilizer).</w:t>
      </w:r>
    </w:p>
    <w:p>
      <w:pPr>
        <w:pStyle w:val="ListNumber"/>
      </w:pPr>
      <w:r>
        <w:rPr>
          <w:b/>
        </w:rPr>
        <w:t>Build parks, utilities, effluent, and circular-economy infrastructure.</w:t>
      </w:r>
    </w:p>
    <w:p>
      <w:pPr>
        <w:pStyle w:val="ListNumber"/>
      </w:pPr>
      <w:r>
        <w:rPr>
          <w:b/>
        </w:rPr>
        <w:t>Create a long-term industrial-finance facility.</w:t>
      </w:r>
    </w:p>
    <w:p>
      <w:pPr>
        <w:pStyle w:val="ListNumber"/>
      </w:pPr>
      <w:r>
        <w:rPr>
          <w:b/>
        </w:rPr>
        <w:t>Launch a cross-sector skills compact.</w:t>
      </w:r>
    </w:p>
    <w:p>
      <w:pPr>
        <w:pStyle w:val="ListNumber"/>
      </w:pPr>
      <w:r>
        <w:rPr>
          <w:b/>
        </w:rPr>
        <w:t>Sequence the petrochemical park</w:t>
      </w:r>
      <w:r>
        <w:t xml:space="preserve"> and prepare its downstream linkages now.</w:t>
      </w:r>
    </w:p>
    <w:p>
      <w:r>
        <w:t>Together these convert Uganda's agricultural base, established sugar/cement industries, proven pharmaceutical capability, and emerging oil sector into a value-adding, import-substituting industrial system.</w:t>
      </w:r>
    </w:p>
    <w:p>
      <w:r>
        <w:br w:type="page"/>
      </w:r>
    </w:p>
    <w:p>
      <w:pPr>
        <w:pStyle w:val="Heading1"/>
      </w:pPr>
      <w:r>
        <w:t>Chapter 11: Investment Portfolio and Implementation Roadmap</w:t>
      </w:r>
    </w:p>
    <w:p>
      <w:r>
        <w:rPr>
          <w:b/>
        </w:rPr>
        <w:t>Report:</w:t>
      </w:r>
      <w:r>
        <w:t xml:space="preserve"> Report 2 — Textiles &amp; Garments, Pharmaceuticals, Petrochemicals &amp; Fertilizers, Sugar &amp; Confectionery, Plastics &amp; Packaging, and Cement &amp; Building Materials Value Chains</w:t>
      </w:r>
    </w:p>
    <w:p>
      <w:r>
        <w:rPr>
          <w:b/>
        </w:rPr>
        <w:t>Status:</w:t>
      </w:r>
      <w:r>
        <w:t xml:space="preserve"> Draft for validation</w:t>
      </w:r>
    </w:p>
    <w:p>
      <w:pPr>
        <w:pStyle w:val="IntenseQuote"/>
      </w:pPr>
      <w:r>
        <w:rPr>
          <w:b/>
        </w:rPr>
        <w:t>Important note on figures.</w:t>
      </w:r>
      <w:r>
        <w:t xml:space="preserve"> All CAPEX/OPEX figures in this chapter are </w:t>
      </w:r>
      <w:r>
        <w:rPr>
          <w:b/>
        </w:rPr>
        <w:t>indicative planning estimates</w:t>
      </w:r>
      <w:r>
        <w:t xml:space="preserve">, drawn from comparable projects, announced investments, and order-of-magnitude benchmarks — </w:t>
      </w:r>
      <w:r>
        <w:rPr>
          <w:b/>
        </w:rPr>
        <w:t>not appraised project costs</w:t>
      </w:r>
      <w:r>
        <w:t>. They must be confirmed through full feasibility studies before any investment decision. Where a figure derives from an announced project, the source is cited.</w:t>
      </w:r>
    </w:p>
    <w:p>
      <w:pPr>
        <w:pStyle w:val="Heading2"/>
      </w:pPr>
      <w:r>
        <w:t>11.1 Purpose</w:t>
      </w:r>
    </w:p>
    <w:p>
      <w:r>
        <w:t xml:space="preserve">This chapter consolidates the prioritized products from Chapters 4–9 into an investment portfolio and phased roadmap for the six value chains — Textiles &amp; Garments, Pharmaceuticals, Petrochemicals &amp; Fertilizers, Sugar &amp; Confectionery, Plastics &amp; Packaging, and Cement &amp; Building Materials. Project profiles cover the </w:t>
      </w:r>
      <w:r>
        <w:rPr>
          <w:b/>
        </w:rPr>
        <w:t>priority products only</w:t>
      </w:r>
      <w:r>
        <w:t>.</w:t>
      </w:r>
    </w:p>
    <w:p>
      <w:pPr>
        <w:pStyle w:val="Heading2"/>
      </w:pPr>
      <w:r>
        <w:t>11.2 Investment Portfolio Overview</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002B5B"/>
          </w:tcPr>
          <w:p>
            <w:r>
              <w:rPr>
                <w:b/>
                <w:color w:val="FFFFFF"/>
                <w:sz w:val="18"/>
              </w:rPr>
              <w:t>#</w:t>
            </w:r>
          </w:p>
        </w:tc>
        <w:tc>
          <w:tcPr>
            <w:tcW w:type="dxa" w:w="1568"/>
            <w:shd w:val="clear" w:color="auto" w:fill="002B5B"/>
          </w:tcPr>
          <w:p>
            <w:r>
              <w:rPr>
                <w:b/>
                <w:color w:val="FFFFFF"/>
                <w:sz w:val="18"/>
              </w:rPr>
              <w:t>Investment</w:t>
            </w:r>
          </w:p>
        </w:tc>
        <w:tc>
          <w:tcPr>
            <w:tcW w:type="dxa" w:w="1568"/>
            <w:shd w:val="clear" w:color="auto" w:fill="002B5B"/>
          </w:tcPr>
          <w:p>
            <w:r>
              <w:rPr>
                <w:b/>
                <w:color w:val="FFFFFF"/>
                <w:sz w:val="18"/>
              </w:rPr>
              <w:t>Chain</w:t>
            </w:r>
          </w:p>
        </w:tc>
        <w:tc>
          <w:tcPr>
            <w:tcW w:type="dxa" w:w="1568"/>
            <w:shd w:val="clear" w:color="auto" w:fill="002B5B"/>
          </w:tcPr>
          <w:p>
            <w:r>
              <w:rPr>
                <w:b/>
                <w:color w:val="FFFFFF"/>
                <w:sz w:val="18"/>
              </w:rPr>
              <w:t>Modality</w:t>
            </w:r>
          </w:p>
        </w:tc>
        <w:tc>
          <w:tcPr>
            <w:tcW w:type="dxa" w:w="1568"/>
            <w:shd w:val="clear" w:color="auto" w:fill="002B5B"/>
          </w:tcPr>
          <w:p>
            <w:r>
              <w:rPr>
                <w:b/>
                <w:color w:val="FFFFFF"/>
                <w:sz w:val="18"/>
              </w:rPr>
              <w:t>Indicative CAPEX</w:t>
            </w:r>
          </w:p>
        </w:tc>
        <w:tc>
          <w:tcPr>
            <w:tcW w:type="dxa" w:w="1568"/>
            <w:shd w:val="clear" w:color="auto" w:fill="002B5B"/>
          </w:tcPr>
          <w:p>
            <w:r>
              <w:rPr>
                <w:b/>
                <w:color w:val="FFFFFF"/>
                <w:sz w:val="18"/>
              </w:rPr>
              <w:t>Status / anchor</w:t>
            </w:r>
          </w:p>
        </w:tc>
      </w:tr>
      <w:tr>
        <w:tc>
          <w:tcPr>
            <w:tcW w:type="dxa" w:w="1568"/>
            <w:shd w:val="clear" w:color="auto" w:fill="EEF3F9"/>
          </w:tcPr>
          <w:p>
            <w:r>
              <w:rPr>
                <w:sz w:val="18"/>
              </w:rPr>
              <w:t>1</w:t>
            </w:r>
          </w:p>
        </w:tc>
        <w:tc>
          <w:tcPr>
            <w:tcW w:type="dxa" w:w="1568"/>
            <w:shd w:val="clear" w:color="auto" w:fill="EEF3F9"/>
          </w:tcPr>
          <w:p>
            <w:r>
              <w:rPr>
                <w:sz w:val="18"/>
              </w:rPr>
              <w:t>Spinning/weaving + garment capacity</w:t>
            </w:r>
          </w:p>
        </w:tc>
        <w:tc>
          <w:tcPr>
            <w:tcW w:type="dxa" w:w="1568"/>
            <w:shd w:val="clear" w:color="auto" w:fill="EEF3F9"/>
          </w:tcPr>
          <w:p>
            <w:r>
              <w:rPr>
                <w:sz w:val="18"/>
              </w:rPr>
              <w:t>Textiles</w:t>
            </w:r>
          </w:p>
        </w:tc>
        <w:tc>
          <w:tcPr>
            <w:tcW w:type="dxa" w:w="1568"/>
            <w:shd w:val="clear" w:color="auto" w:fill="EEF3F9"/>
          </w:tcPr>
          <w:p>
            <w:r>
              <w:rPr>
                <w:sz w:val="18"/>
              </w:rPr>
              <w:t>Private-led + PPP</w:t>
            </w:r>
          </w:p>
        </w:tc>
        <w:tc>
          <w:tcPr>
            <w:tcW w:type="dxa" w:w="1568"/>
            <w:shd w:val="clear" w:color="auto" w:fill="EEF3F9"/>
          </w:tcPr>
          <w:p>
            <w:r>
              <w:rPr>
                <w:sz w:val="18"/>
              </w:rPr>
              <w:t>~USD 100–250m</w:t>
            </w:r>
          </w:p>
        </w:tc>
        <w:tc>
          <w:tcPr>
            <w:tcW w:type="dxa" w:w="1568"/>
            <w:shd w:val="clear" w:color="auto" w:fill="EEF3F9"/>
          </w:tcPr>
          <w:p>
            <w:r>
              <w:rPr>
                <w:sz w:val="18"/>
              </w:rPr>
              <w:t>Nytil, Fine Spinners, Lira</w:t>
            </w:r>
          </w:p>
        </w:tc>
      </w:tr>
      <w:tr>
        <w:tc>
          <w:tcPr>
            <w:tcW w:type="dxa" w:w="1568"/>
            <w:shd w:val="clear" w:color="auto" w:fill="FFFFFF"/>
          </w:tcPr>
          <w:p>
            <w:r>
              <w:rPr>
                <w:sz w:val="18"/>
              </w:rPr>
              <w:t>2</w:t>
            </w:r>
          </w:p>
        </w:tc>
        <w:tc>
          <w:tcPr>
            <w:tcW w:type="dxa" w:w="1568"/>
            <w:shd w:val="clear" w:color="auto" w:fill="FFFFFF"/>
          </w:tcPr>
          <w:p>
            <w:r>
              <w:rPr>
                <w:sz w:val="18"/>
              </w:rPr>
              <w:t>GMP essential-generics expansion</w:t>
            </w:r>
          </w:p>
        </w:tc>
        <w:tc>
          <w:tcPr>
            <w:tcW w:type="dxa" w:w="1568"/>
            <w:shd w:val="clear" w:color="auto" w:fill="FFFFFF"/>
          </w:tcPr>
          <w:p>
            <w:r>
              <w:rPr>
                <w:sz w:val="18"/>
              </w:rPr>
              <w:t>Pharmaceuticals</w:t>
            </w:r>
          </w:p>
        </w:tc>
        <w:tc>
          <w:tcPr>
            <w:tcW w:type="dxa" w:w="1568"/>
            <w:shd w:val="clear" w:color="auto" w:fill="FFFFFF"/>
          </w:tcPr>
          <w:p>
            <w:r>
              <w:rPr>
                <w:sz w:val="18"/>
              </w:rPr>
              <w:t>Private-led + PPP</w:t>
            </w:r>
          </w:p>
        </w:tc>
        <w:tc>
          <w:tcPr>
            <w:tcW w:type="dxa" w:w="1568"/>
            <w:shd w:val="clear" w:color="auto" w:fill="FFFFFF"/>
          </w:tcPr>
          <w:p>
            <w:r>
              <w:rPr>
                <w:sz w:val="18"/>
              </w:rPr>
              <w:t>~USD 50–150m</w:t>
            </w:r>
          </w:p>
        </w:tc>
        <w:tc>
          <w:tcPr>
            <w:tcW w:type="dxa" w:w="1568"/>
            <w:shd w:val="clear" w:color="auto" w:fill="FFFFFF"/>
          </w:tcPr>
          <w:p>
            <w:r>
              <w:rPr>
                <w:sz w:val="18"/>
              </w:rPr>
              <w:t>QCIL and others</w:t>
            </w:r>
          </w:p>
        </w:tc>
      </w:tr>
      <w:tr>
        <w:tc>
          <w:tcPr>
            <w:tcW w:type="dxa" w:w="1568"/>
            <w:shd w:val="clear" w:color="auto" w:fill="EEF3F9"/>
          </w:tcPr>
          <w:p>
            <w:r>
              <w:rPr>
                <w:sz w:val="18"/>
              </w:rPr>
              <w:t>3</w:t>
            </w:r>
          </w:p>
        </w:tc>
        <w:tc>
          <w:tcPr>
            <w:tcW w:type="dxa" w:w="1568"/>
            <w:shd w:val="clear" w:color="auto" w:fill="EEF3F9"/>
          </w:tcPr>
          <w:p>
            <w:r>
              <w:rPr>
                <w:sz w:val="18"/>
              </w:rPr>
              <w:t>Fertilizer revival/blending</w:t>
            </w:r>
          </w:p>
        </w:tc>
        <w:tc>
          <w:tcPr>
            <w:tcW w:type="dxa" w:w="1568"/>
            <w:shd w:val="clear" w:color="auto" w:fill="EEF3F9"/>
          </w:tcPr>
          <w:p>
            <w:r>
              <w:rPr>
                <w:sz w:val="18"/>
              </w:rPr>
              <w:t>Petrochem/Fert</w:t>
            </w:r>
          </w:p>
        </w:tc>
        <w:tc>
          <w:tcPr>
            <w:tcW w:type="dxa" w:w="1568"/>
            <w:shd w:val="clear" w:color="auto" w:fill="EEF3F9"/>
          </w:tcPr>
          <w:p>
            <w:r>
              <w:rPr>
                <w:sz w:val="18"/>
              </w:rPr>
              <w:t>PPP / private</w:t>
            </w:r>
          </w:p>
        </w:tc>
        <w:tc>
          <w:tcPr>
            <w:tcW w:type="dxa" w:w="1568"/>
            <w:shd w:val="clear" w:color="auto" w:fill="EEF3F9"/>
          </w:tcPr>
          <w:p>
            <w:r>
              <w:rPr>
                <w:sz w:val="18"/>
              </w:rPr>
              <w:t>~USD 100–300m</w:t>
            </w:r>
          </w:p>
        </w:tc>
        <w:tc>
          <w:tcPr>
            <w:tcW w:type="dxa" w:w="1568"/>
            <w:shd w:val="clear" w:color="auto" w:fill="EEF3F9"/>
          </w:tcPr>
          <w:p>
            <w:r>
              <w:rPr>
                <w:sz w:val="18"/>
              </w:rPr>
              <w:t>Sukulu resolution + blending</w:t>
            </w:r>
          </w:p>
        </w:tc>
      </w:tr>
      <w:tr>
        <w:tc>
          <w:tcPr>
            <w:tcW w:type="dxa" w:w="1568"/>
            <w:shd w:val="clear" w:color="auto" w:fill="FFFFFF"/>
          </w:tcPr>
          <w:p>
            <w:r>
              <w:rPr>
                <w:sz w:val="18"/>
              </w:rPr>
              <w:t>4</w:t>
            </w:r>
          </w:p>
        </w:tc>
        <w:tc>
          <w:tcPr>
            <w:tcW w:type="dxa" w:w="1568"/>
            <w:shd w:val="clear" w:color="auto" w:fill="FFFFFF"/>
          </w:tcPr>
          <w:p>
            <w:r>
              <w:rPr>
                <w:sz w:val="18"/>
              </w:rPr>
              <w:t>Refinery &amp; petrochemical park</w:t>
            </w:r>
          </w:p>
        </w:tc>
        <w:tc>
          <w:tcPr>
            <w:tcW w:type="dxa" w:w="1568"/>
            <w:shd w:val="clear" w:color="auto" w:fill="FFFFFF"/>
          </w:tcPr>
          <w:p>
            <w:r>
              <w:rPr>
                <w:sz w:val="18"/>
              </w:rPr>
              <w:t>Petrochem/Fert</w:t>
            </w:r>
          </w:p>
        </w:tc>
        <w:tc>
          <w:tcPr>
            <w:tcW w:type="dxa" w:w="1568"/>
            <w:shd w:val="clear" w:color="auto" w:fill="FFFFFF"/>
          </w:tcPr>
          <w:p>
            <w:r>
              <w:rPr>
                <w:sz w:val="18"/>
              </w:rPr>
              <w:t>Investor + UNOC (PPP)</w:t>
            </w:r>
          </w:p>
        </w:tc>
        <w:tc>
          <w:tcPr>
            <w:tcW w:type="dxa" w:w="1568"/>
            <w:shd w:val="clear" w:color="auto" w:fill="FFFFFF"/>
          </w:tcPr>
          <w:p>
            <w:r>
              <w:rPr>
                <w:sz w:val="18"/>
              </w:rPr>
              <w:t>~USD 4bn (announced)</w:t>
            </w:r>
          </w:p>
        </w:tc>
        <w:tc>
          <w:tcPr>
            <w:tcW w:type="dxa" w:w="1568"/>
            <w:shd w:val="clear" w:color="auto" w:fill="FFFFFF"/>
          </w:tcPr>
          <w:p>
            <w:r>
              <w:rPr>
                <w:sz w:val="18"/>
              </w:rPr>
              <w:t>Alpha MBM agreement, Mar 2025</w:t>
            </w:r>
          </w:p>
        </w:tc>
      </w:tr>
      <w:tr>
        <w:tc>
          <w:tcPr>
            <w:tcW w:type="dxa" w:w="1568"/>
            <w:shd w:val="clear" w:color="auto" w:fill="EEF3F9"/>
          </w:tcPr>
          <w:p>
            <w:r>
              <w:rPr>
                <w:sz w:val="18"/>
              </w:rPr>
              <w:t>5</w:t>
            </w:r>
          </w:p>
        </w:tc>
        <w:tc>
          <w:tcPr>
            <w:tcW w:type="dxa" w:w="1568"/>
            <w:shd w:val="clear" w:color="auto" w:fill="EEF3F9"/>
          </w:tcPr>
          <w:p>
            <w:r>
              <w:rPr>
                <w:sz w:val="18"/>
              </w:rPr>
              <w:t>Industrial sugar + ethanol + co-gen</w:t>
            </w:r>
          </w:p>
        </w:tc>
        <w:tc>
          <w:tcPr>
            <w:tcW w:type="dxa" w:w="1568"/>
            <w:shd w:val="clear" w:color="auto" w:fill="EEF3F9"/>
          </w:tcPr>
          <w:p>
            <w:r>
              <w:rPr>
                <w:sz w:val="18"/>
              </w:rPr>
              <w:t>Sugar</w:t>
            </w:r>
          </w:p>
        </w:tc>
        <w:tc>
          <w:tcPr>
            <w:tcW w:type="dxa" w:w="1568"/>
            <w:shd w:val="clear" w:color="auto" w:fill="EEF3F9"/>
          </w:tcPr>
          <w:p>
            <w:r>
              <w:rPr>
                <w:sz w:val="18"/>
              </w:rPr>
              <w:t>Private-led</w:t>
            </w:r>
          </w:p>
        </w:tc>
        <w:tc>
          <w:tcPr>
            <w:tcW w:type="dxa" w:w="1568"/>
            <w:shd w:val="clear" w:color="auto" w:fill="EEF3F9"/>
          </w:tcPr>
          <w:p>
            <w:r>
              <w:rPr>
                <w:sz w:val="18"/>
              </w:rPr>
              <w:t>~USD 50–150m</w:t>
            </w:r>
          </w:p>
        </w:tc>
        <w:tc>
          <w:tcPr>
            <w:tcW w:type="dxa" w:w="1568"/>
            <w:shd w:val="clear" w:color="auto" w:fill="EEF3F9"/>
          </w:tcPr>
          <w:p>
            <w:r>
              <w:rPr>
                <w:sz w:val="18"/>
              </w:rPr>
              <w:t>Kakira, Kinyara, others</w:t>
            </w:r>
          </w:p>
        </w:tc>
      </w:tr>
      <w:tr>
        <w:tc>
          <w:tcPr>
            <w:tcW w:type="dxa" w:w="1568"/>
            <w:shd w:val="clear" w:color="auto" w:fill="FFFFFF"/>
          </w:tcPr>
          <w:p>
            <w:r>
              <w:rPr>
                <w:sz w:val="18"/>
              </w:rPr>
              <w:t>6</w:t>
            </w:r>
          </w:p>
        </w:tc>
        <w:tc>
          <w:tcPr>
            <w:tcW w:type="dxa" w:w="1568"/>
            <w:shd w:val="clear" w:color="auto" w:fill="FFFFFF"/>
          </w:tcPr>
          <w:p>
            <w:r>
              <w:rPr>
                <w:sz w:val="18"/>
              </w:rPr>
              <w:t>Plastics recycling + packaging</w:t>
            </w:r>
          </w:p>
        </w:tc>
        <w:tc>
          <w:tcPr>
            <w:tcW w:type="dxa" w:w="1568"/>
            <w:shd w:val="clear" w:color="auto" w:fill="FFFFFF"/>
          </w:tcPr>
          <w:p>
            <w:r>
              <w:rPr>
                <w:sz w:val="18"/>
              </w:rPr>
              <w:t>Plastics</w:t>
            </w:r>
          </w:p>
        </w:tc>
        <w:tc>
          <w:tcPr>
            <w:tcW w:type="dxa" w:w="1568"/>
            <w:shd w:val="clear" w:color="auto" w:fill="FFFFFF"/>
          </w:tcPr>
          <w:p>
            <w:r>
              <w:rPr>
                <w:sz w:val="18"/>
              </w:rPr>
              <w:t>Private-led</w:t>
            </w:r>
          </w:p>
        </w:tc>
        <w:tc>
          <w:tcPr>
            <w:tcW w:type="dxa" w:w="1568"/>
            <w:shd w:val="clear" w:color="auto" w:fill="FFFFFF"/>
          </w:tcPr>
          <w:p>
            <w:r>
              <w:rPr>
                <w:sz w:val="18"/>
              </w:rPr>
              <w:t>~USD 30–80m</w:t>
            </w:r>
          </w:p>
        </w:tc>
        <w:tc>
          <w:tcPr>
            <w:tcW w:type="dxa" w:w="1568"/>
            <w:shd w:val="clear" w:color="auto" w:fill="FFFFFF"/>
          </w:tcPr>
          <w:p>
            <w:r>
              <w:rPr>
                <w:sz w:val="18"/>
              </w:rPr>
              <w:t>Existing converters + recyclers</w:t>
            </w:r>
          </w:p>
        </w:tc>
      </w:tr>
      <w:tr>
        <w:tc>
          <w:tcPr>
            <w:tcW w:type="dxa" w:w="1568"/>
            <w:shd w:val="clear" w:color="auto" w:fill="EEF3F9"/>
          </w:tcPr>
          <w:p>
            <w:r>
              <w:rPr>
                <w:sz w:val="18"/>
              </w:rPr>
              <w:t>7</w:t>
            </w:r>
          </w:p>
        </w:tc>
        <w:tc>
          <w:tcPr>
            <w:tcW w:type="dxa" w:w="1568"/>
            <w:shd w:val="clear" w:color="auto" w:fill="EEF3F9"/>
          </w:tcPr>
          <w:p>
            <w:r>
              <w:rPr>
                <w:sz w:val="18"/>
              </w:rPr>
              <w:t>Clinker capacity build-out</w:t>
            </w:r>
          </w:p>
        </w:tc>
        <w:tc>
          <w:tcPr>
            <w:tcW w:type="dxa" w:w="1568"/>
            <w:shd w:val="clear" w:color="auto" w:fill="EEF3F9"/>
          </w:tcPr>
          <w:p>
            <w:r>
              <w:rPr>
                <w:sz w:val="18"/>
              </w:rPr>
              <w:t>Cement</w:t>
            </w:r>
          </w:p>
        </w:tc>
        <w:tc>
          <w:tcPr>
            <w:tcW w:type="dxa" w:w="1568"/>
            <w:shd w:val="clear" w:color="auto" w:fill="EEF3F9"/>
          </w:tcPr>
          <w:p>
            <w:r>
              <w:rPr>
                <w:sz w:val="18"/>
              </w:rPr>
              <w:t>Private-led</w:t>
            </w:r>
          </w:p>
        </w:tc>
        <w:tc>
          <w:tcPr>
            <w:tcW w:type="dxa" w:w="1568"/>
            <w:shd w:val="clear" w:color="auto" w:fill="EEF3F9"/>
          </w:tcPr>
          <w:p>
            <w:r>
              <w:rPr>
                <w:sz w:val="18"/>
              </w:rPr>
              <w:t>~USD 200–300m+</w:t>
            </w:r>
          </w:p>
        </w:tc>
        <w:tc>
          <w:tcPr>
            <w:tcW w:type="dxa" w:w="1568"/>
            <w:shd w:val="clear" w:color="auto" w:fill="EEF3F9"/>
          </w:tcPr>
          <w:p>
            <w:r>
              <w:rPr>
                <w:sz w:val="18"/>
              </w:rPr>
              <w:t>NE plant, Buikwe (announced)</w:t>
            </w:r>
          </w:p>
        </w:tc>
      </w:tr>
      <w:tr>
        <w:tc>
          <w:tcPr>
            <w:tcW w:type="dxa" w:w="1568"/>
            <w:shd w:val="clear" w:color="auto" w:fill="FFFFFF"/>
          </w:tcPr>
          <w:p>
            <w:r>
              <w:rPr>
                <w:sz w:val="18"/>
              </w:rPr>
              <w:t>8</w:t>
            </w:r>
          </w:p>
        </w:tc>
        <w:tc>
          <w:tcPr>
            <w:tcW w:type="dxa" w:w="1568"/>
            <w:shd w:val="clear" w:color="auto" w:fill="FFFFFF"/>
          </w:tcPr>
          <w:p>
            <w:r>
              <w:rPr>
                <w:sz w:val="18"/>
              </w:rPr>
              <w:t>Higher-value building materials</w:t>
            </w:r>
          </w:p>
        </w:tc>
        <w:tc>
          <w:tcPr>
            <w:tcW w:type="dxa" w:w="1568"/>
            <w:shd w:val="clear" w:color="auto" w:fill="FFFFFF"/>
          </w:tcPr>
          <w:p>
            <w:r>
              <w:rPr>
                <w:sz w:val="18"/>
              </w:rPr>
              <w:t>Cement</w:t>
            </w:r>
          </w:p>
        </w:tc>
        <w:tc>
          <w:tcPr>
            <w:tcW w:type="dxa" w:w="1568"/>
            <w:shd w:val="clear" w:color="auto" w:fill="FFFFFF"/>
          </w:tcPr>
          <w:p>
            <w:r>
              <w:rPr>
                <w:sz w:val="18"/>
              </w:rPr>
              <w:t>Private-led</w:t>
            </w:r>
          </w:p>
        </w:tc>
        <w:tc>
          <w:tcPr>
            <w:tcW w:type="dxa" w:w="1568"/>
            <w:shd w:val="clear" w:color="auto" w:fill="FFFFFF"/>
          </w:tcPr>
          <w:p>
            <w:r>
              <w:rPr>
                <w:sz w:val="18"/>
              </w:rPr>
              <w:t>~USD 20–60m</w:t>
            </w:r>
          </w:p>
        </w:tc>
        <w:tc>
          <w:tcPr>
            <w:tcW w:type="dxa" w:w="1568"/>
            <w:shd w:val="clear" w:color="auto" w:fill="FFFFFF"/>
          </w:tcPr>
          <w:p>
            <w:r>
              <w:rPr>
                <w:sz w:val="18"/>
              </w:rPr>
              <w:t>Fibre-cement, tiles, precast</w:t>
            </w:r>
          </w:p>
        </w:tc>
      </w:tr>
    </w:tbl>
    <w:p/>
    <w:p>
      <w:r>
        <w:rPr>
          <w:b/>
        </w:rPr>
        <w:t>Portfolio logic.</w:t>
      </w:r>
      <w:r>
        <w:t xml:space="preserve"> The largest single item (refinery, #4) is investor-led and already anchored; it is the medium-term feedstock enabler for plastics (#6) and fertilizers (#3). The fastest, highest-certainty wins are in </w:t>
      </w:r>
      <w:r>
        <w:rPr>
          <w:b/>
        </w:rPr>
        <w:t>sugar downstream (#5), plastics recycling (#6), cement clinker (#7), and essential generics (#2)</w:t>
      </w:r>
      <w:r>
        <w:t xml:space="preserve"> — all building on existing competitive bases.</w:t>
      </w:r>
    </w:p>
    <w:p>
      <w:pPr>
        <w:pStyle w:val="Heading2"/>
      </w:pPr>
      <w:r>
        <w:t>11.3 Project Profiles (Priority Products Only)</w:t>
      </w:r>
    </w:p>
    <w:p>
      <w:pPr>
        <w:pStyle w:val="Heading3"/>
      </w:pPr>
      <w:r>
        <w:t>Profile 1 — Spinning/Weaving + Garment Capacity (Textiles)</w:t>
      </w:r>
    </w:p>
    <w:p>
      <w:pPr>
        <w:pStyle w:val="ListBullet"/>
      </w:pPr>
      <w:r>
        <w:rPr>
          <w:b/>
        </w:rPr>
        <w:t>Business case:</w:t>
      </w:r>
      <w:r>
        <w:t xml:space="preserve"> ~90% of cotton lint is exported raw (~USD 11.3m, 2024); domestic processing captures the value gap to yarn, fabric, and garments. Institutional uniform and regional apparel demand anchor sales.</w:t>
      </w:r>
    </w:p>
    <w:p>
      <w:pPr>
        <w:pStyle w:val="ListBullet"/>
      </w:pPr>
      <w:r>
        <w:rPr>
          <w:b/>
        </w:rPr>
        <w:t>Anchors:</w:t>
      </w:r>
      <w:r>
        <w:t xml:space="preserve"> Southern Range Nyanza (Nytil), Fine Spinners, Lira spinning facility.</w:t>
      </w:r>
    </w:p>
    <w:p>
      <w:pPr>
        <w:pStyle w:val="ListBullet"/>
      </w:pPr>
      <w:r>
        <w:rPr>
          <w:b/>
        </w:rPr>
        <w:t>Modality:</w:t>
      </w:r>
      <w:r>
        <w:t xml:space="preserve"> Private-led + PPP (wet-processing/effluent infrastructure). </w:t>
      </w:r>
      <w:r>
        <w:rPr>
          <w:b/>
        </w:rPr>
        <w:t>Indicative CAPEX:</w:t>
      </w:r>
      <w:r>
        <w:t xml:space="preserve"> USD 100–250m. </w:t>
      </w:r>
      <w:r>
        <w:rPr>
          <w:b/>
        </w:rPr>
        <w:t>Key risk:</w:t>
      </w:r>
      <w:r>
        <w:t xml:space="preserve"> cotton supply volatility, wet-processing/effluent. </w:t>
      </w:r>
      <w:r>
        <w:rPr>
          <w:b/>
        </w:rPr>
        <w:t>Mitigation:</w:t>
      </w:r>
      <w:r>
        <w:t xml:space="preserve"> agronomy programme, shared effluent treatment.</w:t>
      </w:r>
    </w:p>
    <w:p>
      <w:pPr>
        <w:pStyle w:val="Heading3"/>
      </w:pPr>
      <w:r>
        <w:t>Profile 2 — GMP Essential-Generics Expansion (Pharmaceuticals)</w:t>
      </w:r>
    </w:p>
    <w:p>
      <w:pPr>
        <w:pStyle w:val="ListBullet"/>
      </w:pPr>
      <w:r>
        <w:rPr>
          <w:b/>
        </w:rPr>
        <w:t>Business case:</w:t>
      </w:r>
      <w:r>
        <w:t xml:space="preserve"> ~90% of medicines imported; medicaments imports USD 263.4m (2024). Expanding WHO-GMP generics (ARVs, antimalarials, anti-TB, NCD) substitutes imports and serves donor/regional markets.</w:t>
      </w:r>
    </w:p>
    <w:p>
      <w:pPr>
        <w:pStyle w:val="ListBullet"/>
      </w:pPr>
      <w:r>
        <w:rPr>
          <w:b/>
        </w:rPr>
        <w:t>Anchor:</w:t>
      </w:r>
      <w:r>
        <w:t xml:space="preserve"> Cipla QCIL (~1.2bn tablets/yr) and other GMP firms.</w:t>
      </w:r>
    </w:p>
    <w:p>
      <w:pPr>
        <w:pStyle w:val="ListBullet"/>
      </w:pPr>
      <w:r>
        <w:rPr>
          <w:b/>
        </w:rPr>
        <w:t>Modality:</w:t>
      </w:r>
      <w:r>
        <w:t xml:space="preserve"> Private-led + PPP (GMP-upgrade fund). </w:t>
      </w:r>
      <w:r>
        <w:rPr>
          <w:b/>
        </w:rPr>
        <w:t>Indicative CAPEX:</w:t>
      </w:r>
      <w:r>
        <w:t xml:space="preserve"> USD 50–150m. </w:t>
      </w:r>
      <w:r>
        <w:rPr>
          <w:b/>
        </w:rPr>
        <w:t>Key risk:</w:t>
      </w:r>
      <w:r>
        <w:t xml:space="preserve"> API dependence, regulatory lead time. </w:t>
      </w:r>
      <w:r>
        <w:rPr>
          <w:b/>
        </w:rPr>
        <w:t>Mitigation:</w:t>
      </w:r>
      <w:r>
        <w:t xml:space="preserve"> preferential procurement, prequalification support.</w:t>
      </w:r>
    </w:p>
    <w:p>
      <w:pPr>
        <w:pStyle w:val="Heading3"/>
      </w:pPr>
      <w:r>
        <w:t>Profile 3 — Fertilizer Revival/Blending (Petrochem/Fertilizers)</w:t>
      </w:r>
    </w:p>
    <w:p>
      <w:pPr>
        <w:pStyle w:val="ListBullet"/>
      </w:pPr>
      <w:r>
        <w:rPr>
          <w:b/>
        </w:rPr>
        <w:t>Business case:</w:t>
      </w:r>
      <w:r>
        <w:t xml:space="preserve"> Demand approaching 1m t vs ~50,000 t imported; phosphate fertilizer imports (HS 3105) USD 32.1m (2024). Reviving/replacing Sukulu and expanding blending serves agricultural productivity.</w:t>
      </w:r>
    </w:p>
    <w:p>
      <w:pPr>
        <w:pStyle w:val="ListBullet"/>
      </w:pPr>
      <w:r>
        <w:rPr>
          <w:b/>
        </w:rPr>
        <w:t>Modality:</w:t>
      </w:r>
      <w:r>
        <w:t xml:space="preserve"> PPP / private-led. </w:t>
      </w:r>
      <w:r>
        <w:rPr>
          <w:b/>
        </w:rPr>
        <w:t>Indicative CAPEX:</w:t>
      </w:r>
      <w:r>
        <w:t xml:space="preserve"> USD 100–300m. </w:t>
      </w:r>
      <w:r>
        <w:rPr>
          <w:b/>
        </w:rPr>
        <w:t>Key risk:</w:t>
      </w:r>
      <w:r>
        <w:t xml:space="preserve"> the Sukulu financing collapse precedent. </w:t>
      </w:r>
      <w:r>
        <w:rPr>
          <w:b/>
        </w:rPr>
        <w:t>Mitigation:</w:t>
      </w:r>
      <w:r>
        <w:t xml:space="preserve"> restructure or re-tender; start with blending capacity.</w:t>
      </w:r>
    </w:p>
    <w:p>
      <w:pPr>
        <w:pStyle w:val="Heading3"/>
      </w:pPr>
      <w:r>
        <w:t>Profile 4 — Refinery &amp; Petrochemical Park (Petrochem/Fertilizers)</w:t>
      </w:r>
    </w:p>
    <w:p>
      <w:pPr>
        <w:pStyle w:val="ListBullet"/>
      </w:pPr>
      <w:r>
        <w:rPr>
          <w:b/>
        </w:rPr>
        <w:t>Business case:</w:t>
      </w:r>
      <w:r>
        <w:t xml:space="preserve"> 60,000 bpd refinery + Kabalega Petrochemical Industrial Park; domestic fuels, polymers (plastics feedstock), and chemical inputs.</w:t>
      </w:r>
    </w:p>
    <w:p>
      <w:pPr>
        <w:pStyle w:val="ListBullet"/>
      </w:pPr>
      <w:r>
        <w:rPr>
          <w:b/>
        </w:rPr>
        <w:t>Anchor:</w:t>
      </w:r>
      <w:r>
        <w:t xml:space="preserve"> Alpha MBM implementation agreement, March 2025 (~USD 4bn; Government ~40% via UNOC); operations ~2029–30.</w:t>
      </w:r>
    </w:p>
    <w:p>
      <w:pPr>
        <w:pStyle w:val="ListBullet"/>
      </w:pPr>
      <w:r>
        <w:rPr>
          <w:b/>
        </w:rPr>
        <w:t>Modality:</w:t>
      </w:r>
      <w:r>
        <w:t xml:space="preserve"> Investor + UNOC (PPP). </w:t>
      </w:r>
      <w:r>
        <w:rPr>
          <w:b/>
        </w:rPr>
        <w:t>Sequencing note:</w:t>
      </w:r>
      <w:r>
        <w:t xml:space="preserve"> the medium-term enabler for Profiles 3 and 6.</w:t>
      </w:r>
    </w:p>
    <w:p>
      <w:pPr>
        <w:pStyle w:val="Heading3"/>
      </w:pPr>
      <w:r>
        <w:t>Profile 5 — Industrial Sugar + Ethanol + Co-generation (Sugar)</w:t>
      </w:r>
    </w:p>
    <w:p>
      <w:pPr>
        <w:pStyle w:val="ListBullet"/>
      </w:pPr>
      <w:r>
        <w:rPr>
          <w:b/>
        </w:rPr>
        <w:t>Business case:</w:t>
      </w:r>
      <w:r>
        <w:t xml:space="preserve"> Structural surplus (~822k t output vs ~370k t consumption) plus USD 38.1m industrial-sugar imports; downstream products absorb the surplus into higher value.</w:t>
      </w:r>
    </w:p>
    <w:p>
      <w:pPr>
        <w:pStyle w:val="ListBullet"/>
      </w:pPr>
      <w:r>
        <w:rPr>
          <w:b/>
        </w:rPr>
        <w:t>Anchors:</w:t>
      </w:r>
      <w:r>
        <w:t xml:space="preserve"> Kakira, Kinyara, SCOUL, Mayuge.</w:t>
      </w:r>
    </w:p>
    <w:p>
      <w:pPr>
        <w:pStyle w:val="ListBullet"/>
      </w:pPr>
      <w:r>
        <w:rPr>
          <w:b/>
        </w:rPr>
        <w:t>Modality:</w:t>
      </w:r>
      <w:r>
        <w:t xml:space="preserve"> Private-led. </w:t>
      </w:r>
      <w:r>
        <w:rPr>
          <w:b/>
        </w:rPr>
        <w:t>Indicative CAPEX:</w:t>
      </w:r>
      <w:r>
        <w:t xml:space="preserve"> USD 50–150m. </w:t>
      </w:r>
      <w:r>
        <w:rPr>
          <w:b/>
        </w:rPr>
        <w:t>High-certainty</w:t>
      </w:r>
      <w:r>
        <w:t xml:space="preserve"> given existing cane and mills.</w:t>
      </w:r>
    </w:p>
    <w:p>
      <w:pPr>
        <w:pStyle w:val="Heading3"/>
      </w:pPr>
      <w:r>
        <w:t>Profile 6 — Plastics Recycling + Value-Added Packaging (Plastics)</w:t>
      </w:r>
    </w:p>
    <w:p>
      <w:pPr>
        <w:pStyle w:val="ListBullet"/>
      </w:pPr>
      <w:r>
        <w:rPr>
          <w:b/>
        </w:rPr>
        <w:t>Business case:</w:t>
      </w:r>
      <w:r>
        <w:t xml:space="preserve"> ~150,000 t/yr plastics imported; packaging imports (HS 3923) USD 37.1m (2024); 600 t/day waste, &lt;40% collected. Recycling substitutes resin imports; value-added packaging substitutes finished imports; both align with the 2025 circularity policy.</w:t>
      </w:r>
    </w:p>
    <w:p>
      <w:pPr>
        <w:pStyle w:val="ListBullet"/>
      </w:pPr>
      <w:r>
        <w:rPr>
          <w:b/>
        </w:rPr>
        <w:t>Modality:</w:t>
      </w:r>
      <w:r>
        <w:t xml:space="preserve"> Private-led (EPR framework). </w:t>
      </w:r>
      <w:r>
        <w:rPr>
          <w:b/>
        </w:rPr>
        <w:t>Indicative CAPEX:</w:t>
      </w:r>
      <w:r>
        <w:t xml:space="preserve"> USD 30–80m. </w:t>
      </w:r>
      <w:r>
        <w:rPr>
          <w:b/>
        </w:rPr>
        <w:t>High alignment</w:t>
      </w:r>
      <w:r>
        <w:t xml:space="preserve"> with policy direction.</w:t>
      </w:r>
    </w:p>
    <w:p>
      <w:pPr>
        <w:pStyle w:val="Heading3"/>
      </w:pPr>
      <w:r>
        <w:t>Profile 7 — Clinker Capacity Build-out (Cement)</w:t>
      </w:r>
    </w:p>
    <w:p>
      <w:pPr>
        <w:pStyle w:val="ListBullet"/>
      </w:pPr>
      <w:r>
        <w:rPr>
          <w:b/>
        </w:rPr>
        <w:t>Business case:</w:t>
      </w:r>
      <w:r>
        <w:t xml:space="preserve"> &gt;50% of clinker imported; cement/clinker imports (HS 2523) USD 162.2m (2024) against USD 86.0m exports. Domestic clinker closes the gap and secures feedstock for grinders.</w:t>
      </w:r>
    </w:p>
    <w:p>
      <w:pPr>
        <w:pStyle w:val="ListBullet"/>
      </w:pPr>
      <w:r>
        <w:rPr>
          <w:b/>
        </w:rPr>
        <w:t>Anchors:</w:t>
      </w:r>
      <w:r>
        <w:t xml:space="preserve"> USD 300m NE plant; West International USD 200m Buikwe plant.</w:t>
      </w:r>
    </w:p>
    <w:p>
      <w:pPr>
        <w:pStyle w:val="ListBullet"/>
      </w:pPr>
      <w:r>
        <w:rPr>
          <w:b/>
        </w:rPr>
        <w:t>Modality:</w:t>
      </w:r>
      <w:r>
        <w:t xml:space="preserve"> Private-led. </w:t>
      </w:r>
      <w:r>
        <w:rPr>
          <w:b/>
        </w:rPr>
        <w:t>Indicative CAPEX:</w:t>
      </w:r>
      <w:r>
        <w:t xml:space="preserve"> USD 200–300m+. </w:t>
      </w:r>
      <w:r>
        <w:rPr>
          <w:b/>
        </w:rPr>
        <w:t>Key risk:</w:t>
      </w:r>
      <w:r>
        <w:t xml:space="preserve"> energy cost. </w:t>
      </w:r>
      <w:r>
        <w:rPr>
          <w:b/>
        </w:rPr>
        <w:t>Mitigation:</w:t>
      </w:r>
      <w:r>
        <w:t xml:space="preserve"> energy agreements, alternative fuels.</w:t>
      </w:r>
    </w:p>
    <w:p>
      <w:pPr>
        <w:pStyle w:val="Heading3"/>
      </w:pPr>
      <w:r>
        <w:t>Profile 8 — Higher-Value Building Materials (Cement)</w:t>
      </w:r>
    </w:p>
    <w:p>
      <w:pPr>
        <w:pStyle w:val="ListBullet"/>
      </w:pPr>
      <w:r>
        <w:rPr>
          <w:b/>
        </w:rPr>
        <w:t>Business case:</w:t>
      </w:r>
      <w:r>
        <w:t xml:space="preserve"> Fibre-cement, tiles, and precast add value and substitute construction-material imports.</w:t>
      </w:r>
    </w:p>
    <w:p>
      <w:pPr>
        <w:pStyle w:val="ListBullet"/>
      </w:pPr>
      <w:r>
        <w:rPr>
          <w:b/>
        </w:rPr>
        <w:t>Modality:</w:t>
      </w:r>
      <w:r>
        <w:t xml:space="preserve"> Private-led. </w:t>
      </w:r>
      <w:r>
        <w:rPr>
          <w:b/>
        </w:rPr>
        <w:t>Indicative CAPEX:</w:t>
      </w:r>
      <w:r>
        <w:t xml:space="preserve"> USD 20–60m.</w:t>
      </w:r>
    </w:p>
    <w:p>
      <w:pPr>
        <w:pStyle w:val="Heading2"/>
      </w:pPr>
      <w:r>
        <w:t>11.4 Implementation Roadmap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02B5B"/>
          </w:tcPr>
          <w:p>
            <w:r>
              <w:rPr>
                <w:b/>
                <w:color w:val="FFFFFF"/>
                <w:sz w:val="18"/>
              </w:rPr>
              <w:t>Horizon</w:t>
            </w:r>
          </w:p>
        </w:tc>
        <w:tc>
          <w:tcPr>
            <w:tcW w:type="dxa" w:w="1881"/>
            <w:shd w:val="clear" w:color="auto" w:fill="002B5B"/>
          </w:tcPr>
          <w:p>
            <w:r>
              <w:rPr>
                <w:b/>
                <w:color w:val="FFFFFF"/>
                <w:sz w:val="18"/>
              </w:rPr>
              <w:t>Agro-processing (Textiles, Sugar)</w:t>
            </w:r>
          </w:p>
        </w:tc>
        <w:tc>
          <w:tcPr>
            <w:tcW w:type="dxa" w:w="1881"/>
            <w:shd w:val="clear" w:color="auto" w:fill="002B5B"/>
          </w:tcPr>
          <w:p>
            <w:r>
              <w:rPr>
                <w:b/>
                <w:color w:val="FFFFFF"/>
                <w:sz w:val="18"/>
              </w:rPr>
              <w:t>Health &amp; Inputs (Pharma, Fertilizer)</w:t>
            </w:r>
          </w:p>
        </w:tc>
        <w:tc>
          <w:tcPr>
            <w:tcW w:type="dxa" w:w="1881"/>
            <w:shd w:val="clear" w:color="auto" w:fill="002B5B"/>
          </w:tcPr>
          <w:p>
            <w:r>
              <w:rPr>
                <w:b/>
                <w:color w:val="FFFFFF"/>
                <w:sz w:val="18"/>
              </w:rPr>
              <w:t>Construction-linked (Cement, Plastics)</w:t>
            </w:r>
          </w:p>
        </w:tc>
        <w:tc>
          <w:tcPr>
            <w:tcW w:type="dxa" w:w="1881"/>
            <w:shd w:val="clear" w:color="auto" w:fill="002B5B"/>
          </w:tcPr>
          <w:p>
            <w:r>
              <w:rPr>
                <w:b/>
                <w:color w:val="FFFFFF"/>
                <w:sz w:val="18"/>
              </w:rPr>
              <w:t>Petrochemicals</w:t>
            </w:r>
          </w:p>
        </w:tc>
      </w:tr>
      <w:tr>
        <w:tc>
          <w:tcPr>
            <w:tcW w:type="dxa" w:w="1881"/>
            <w:shd w:val="clear" w:color="auto" w:fill="EEF3F9"/>
          </w:tcPr>
          <w:p>
            <w:r>
              <w:rPr>
                <w:b/>
                <w:sz w:val="18"/>
              </w:rPr>
              <w:t>Year 1 (quick wins)</w:t>
            </w:r>
          </w:p>
        </w:tc>
        <w:tc>
          <w:tcPr>
            <w:tcW w:type="dxa" w:w="1881"/>
            <w:shd w:val="clear" w:color="auto" w:fill="EEF3F9"/>
          </w:tcPr>
          <w:p>
            <w:r>
              <w:rPr>
                <w:sz w:val="18"/>
              </w:rPr>
              <w:t>Uniform procurement; cotton agronomy; sugar licensing discipline + ethanol mandate</w:t>
            </w:r>
          </w:p>
        </w:tc>
        <w:tc>
          <w:tcPr>
            <w:tcW w:type="dxa" w:w="1881"/>
            <w:shd w:val="clear" w:color="auto" w:fill="EEF3F9"/>
          </w:tcPr>
          <w:p>
            <w:r>
              <w:rPr>
                <w:sz w:val="18"/>
              </w:rPr>
              <w:t>National Medical Stores (NMS)/JMS local-medicine procurement; resolve Sukulu; fertilizer quality enforcement</w:t>
            </w:r>
          </w:p>
        </w:tc>
        <w:tc>
          <w:tcPr>
            <w:tcW w:type="dxa" w:w="1881"/>
            <w:shd w:val="clear" w:color="auto" w:fill="EEF3F9"/>
          </w:tcPr>
          <w:p>
            <w:r>
              <w:rPr>
                <w:sz w:val="18"/>
              </w:rPr>
              <w:t>UNBS enforcement; support new clinker plants; phased single-use-bag rules</w:t>
            </w:r>
          </w:p>
        </w:tc>
        <w:tc>
          <w:tcPr>
            <w:tcW w:type="dxa" w:w="1881"/>
            <w:shd w:val="clear" w:color="auto" w:fill="EEF3F9"/>
          </w:tcPr>
          <w:p>
            <w:r>
              <w:rPr>
                <w:sz w:val="18"/>
              </w:rPr>
              <w:t>Park readiness planning</w:t>
            </w:r>
          </w:p>
        </w:tc>
      </w:tr>
      <w:tr>
        <w:tc>
          <w:tcPr>
            <w:tcW w:type="dxa" w:w="1881"/>
            <w:shd w:val="clear" w:color="auto" w:fill="FFFFFF"/>
          </w:tcPr>
          <w:p>
            <w:r>
              <w:rPr>
                <w:b/>
                <w:sz w:val="18"/>
              </w:rPr>
              <w:t>Years 2–3 (reforms + first capital)</w:t>
            </w:r>
          </w:p>
        </w:tc>
        <w:tc>
          <w:tcPr>
            <w:tcW w:type="dxa" w:w="1881"/>
            <w:shd w:val="clear" w:color="auto" w:fill="FFFFFF"/>
          </w:tcPr>
          <w:p>
            <w:r>
              <w:rPr>
                <w:sz w:val="18"/>
              </w:rPr>
              <w:t>Wet-processing/effluent infra; textile &amp; food-tech skills</w:t>
            </w:r>
          </w:p>
        </w:tc>
        <w:tc>
          <w:tcPr>
            <w:tcW w:type="dxa" w:w="1881"/>
            <w:shd w:val="clear" w:color="auto" w:fill="FFFFFF"/>
          </w:tcPr>
          <w:p>
            <w:r>
              <w:rPr>
                <w:sz w:val="18"/>
              </w:rPr>
              <w:t>GMP-upgrade fund; fertilizer strategy/subsidy</w:t>
            </w:r>
          </w:p>
        </w:tc>
        <w:tc>
          <w:tcPr>
            <w:tcW w:type="dxa" w:w="1881"/>
            <w:shd w:val="clear" w:color="auto" w:fill="FFFFFF"/>
          </w:tcPr>
          <w:p>
            <w:r>
              <w:rPr>
                <w:sz w:val="18"/>
              </w:rPr>
              <w:t>EPR &amp; recycling framework; energy agreements for clinker</w:t>
            </w:r>
          </w:p>
        </w:tc>
        <w:tc>
          <w:tcPr>
            <w:tcW w:type="dxa" w:w="1881"/>
            <w:shd w:val="clear" w:color="auto" w:fill="FFFFFF"/>
          </w:tcPr>
          <w:p>
            <w:r>
              <w:rPr>
                <w:sz w:val="18"/>
              </w:rPr>
              <w:t>Downstream linkage prep</w:t>
            </w:r>
          </w:p>
        </w:tc>
      </w:tr>
      <w:tr>
        <w:tc>
          <w:tcPr>
            <w:tcW w:type="dxa" w:w="1881"/>
            <w:shd w:val="clear" w:color="auto" w:fill="EEF3F9"/>
          </w:tcPr>
          <w:p>
            <w:r>
              <w:rPr>
                <w:b/>
                <w:sz w:val="18"/>
              </w:rPr>
              <w:t>Years 4–5 (major investment)</w:t>
            </w:r>
          </w:p>
        </w:tc>
        <w:tc>
          <w:tcPr>
            <w:tcW w:type="dxa" w:w="1881"/>
            <w:shd w:val="clear" w:color="auto" w:fill="EEF3F9"/>
          </w:tcPr>
          <w:p>
            <w:r>
              <w:rPr>
                <w:sz w:val="18"/>
              </w:rPr>
              <w:t>Spinning/weaving + garment park; industrial sugar/ethanol/co-gen</w:t>
            </w:r>
          </w:p>
        </w:tc>
        <w:tc>
          <w:tcPr>
            <w:tcW w:type="dxa" w:w="1881"/>
            <w:shd w:val="clear" w:color="auto" w:fill="EEF3F9"/>
          </w:tcPr>
          <w:p>
            <w:r>
              <w:rPr>
                <w:sz w:val="18"/>
              </w:rPr>
              <w:t>GMP generics expansion; phosphate/blending capacity</w:t>
            </w:r>
          </w:p>
        </w:tc>
        <w:tc>
          <w:tcPr>
            <w:tcW w:type="dxa" w:w="1881"/>
            <w:shd w:val="clear" w:color="auto" w:fill="EEF3F9"/>
          </w:tcPr>
          <w:p>
            <w:r>
              <w:rPr>
                <w:sz w:val="18"/>
              </w:rPr>
              <w:t>Clinker build-out; recycling &amp; packaging; building materials</w:t>
            </w:r>
          </w:p>
        </w:tc>
        <w:tc>
          <w:tcPr>
            <w:tcW w:type="dxa" w:w="1881"/>
            <w:shd w:val="clear" w:color="auto" w:fill="EEF3F9"/>
          </w:tcPr>
          <w:p>
            <w:r>
              <w:rPr>
                <w:sz w:val="18"/>
              </w:rPr>
              <w:t>Refinery + petrochemical park commissioning</w:t>
            </w:r>
          </w:p>
        </w:tc>
      </w:tr>
    </w:tbl>
    <w:p/>
    <w:p>
      <w:r>
        <w:rPr>
          <w:b/>
        </w:rPr>
        <w:t>Sequencing principle.</w:t>
      </w:r>
      <w:r>
        <w:t xml:space="preserve"> Quick wins are policy and procurement (low cost, high signal). Years 2–3 build standards, skills, finance, and infrastructure. Years 4–5 are the major capital builds — with the refinery/petrochemical park as the medium-term feedstock anchor that should pull plastics and fertilizer investment into its orbit.</w:t>
      </w:r>
    </w:p>
    <w:p>
      <w:pPr>
        <w:pStyle w:val="Heading2"/>
      </w:pPr>
      <w:r>
        <w:t>11.5 Indicative Portfolio Total</w:t>
      </w:r>
    </w:p>
    <w:p>
      <w:r>
        <w:t xml:space="preserve">Excluding the investor-financed refinery (~USD 4bn, separately anchored), the seven other priority investments represent an </w:t>
      </w:r>
      <w:r>
        <w:rPr>
          <w:b/>
        </w:rPr>
        <w:t>indicative total in the order of USD 0.6–1.3 billion</w:t>
      </w:r>
      <w:r>
        <w:t xml:space="preserve"> over five years, the majority </w:t>
      </w:r>
      <w:r>
        <w:rPr>
          <w:b/>
        </w:rPr>
        <w:t>private-led</w:t>
      </w:r>
      <w:r>
        <w:t xml:space="preserve">, with public/PPP support concentrated in </w:t>
      </w:r>
      <w:r>
        <w:rPr>
          <w:b/>
        </w:rPr>
        <w:t>standards, skills, effluent/circular-economy infrastructure, blended finance, and guaranteed procurement</w:t>
      </w:r>
      <w:r>
        <w:t>. All figures are indicative and require feasibility confirmation.</w:t>
      </w:r>
    </w:p>
    <w:p>
      <w:r>
        <w:br w:type="page"/>
      </w:r>
    </w:p>
    <w:p>
      <w:pPr>
        <w:pStyle w:val="Heading1"/>
      </w:pPr>
      <w:r>
        <w:t>References</w:t>
      </w:r>
    </w:p>
    <w:p>
      <w:r>
        <w:t>Consolidated sources for Report 2. Trade figures throughout are from ITC TradeMap (2024) and cited at the point of use; primary sector intelligence is from MTIC TWG engagements (see Chapter 3).</w:t>
      </w:r>
    </w:p>
    <w:p>
      <w:pPr>
        <w:pStyle w:val="ListBullet"/>
      </w:pPr>
      <w:r>
        <w:t xml:space="preserve">National Planning Authority, </w:t>
      </w:r>
      <w:r>
        <w:rPr>
          <w:i/>
        </w:rPr>
        <w:t>Uganda Vision 2040</w:t>
      </w:r>
      <w:r>
        <w:t xml:space="preserve">; </w:t>
      </w:r>
      <w:r>
        <w:rPr>
          <w:i/>
        </w:rPr>
        <w:t>NDP IV (FY2025/26–2029/30)</w:t>
      </w:r>
      <w:r>
        <w:t>. https://npa.go.ug/national-development-plan/</w:t>
      </w:r>
    </w:p>
    <w:p>
      <w:pPr>
        <w:pStyle w:val="ListBullet"/>
      </w:pPr>
      <w:r>
        <w:t>Parliament of Uganda, NDP IV launch. https://www.parliament.go.ug/news/3724/president-launches-ndp-iv-drive-ugandas-economic-transformation</w:t>
      </w:r>
    </w:p>
    <w:p>
      <w:pPr>
        <w:pStyle w:val="ListBullet"/>
      </w:pPr>
      <w:r>
        <w:t xml:space="preserve">MTIC, </w:t>
      </w:r>
      <w:r>
        <w:rPr>
          <w:i/>
        </w:rPr>
        <w:t>National Industrial Policy 2020</w:t>
      </w:r>
      <w:r>
        <w:t>. https://www.mtic.go.ug/</w:t>
      </w:r>
    </w:p>
    <w:p>
      <w:pPr>
        <w:pStyle w:val="ListBullet"/>
      </w:pPr>
      <w:r>
        <w:t xml:space="preserve">UNIDO, </w:t>
      </w:r>
      <w:r>
        <w:rPr>
          <w:i/>
        </w:rPr>
        <w:t>Programme for Country Partnership</w:t>
      </w:r>
      <w:r>
        <w:t>. https://www.unido.org/programme-country-partnership</w:t>
      </w:r>
    </w:p>
    <w:p>
      <w:pPr>
        <w:pStyle w:val="ListBullet"/>
      </w:pPr>
      <w:r>
        <w:t xml:space="preserve">World Bank, </w:t>
      </w:r>
      <w:r>
        <w:rPr>
          <w:i/>
        </w:rPr>
        <w:t>World Development Indicators</w:t>
      </w:r>
      <w:r>
        <w:t>. https://data.worldbank.org/indicator/NV.IND.MANF.ZS?locations=UG</w:t>
      </w:r>
    </w:p>
    <w:p>
      <w:pPr>
        <w:pStyle w:val="ListBullet"/>
      </w:pPr>
      <w:r>
        <w:t>Cotton Development Organisation. https://www.cdouga.org/</w:t>
      </w:r>
    </w:p>
    <w:p>
      <w:pPr>
        <w:pStyle w:val="ListBullet"/>
      </w:pPr>
      <w:r>
        <w:t xml:space="preserve">UNIDO, </w:t>
      </w:r>
      <w:r>
        <w:rPr>
          <w:i/>
        </w:rPr>
        <w:t>Pharmaceutical Sector Profile — Uganda</w:t>
      </w:r>
      <w:r>
        <w:t>. https://open.unido.org/</w:t>
      </w:r>
    </w:p>
    <w:p>
      <w:pPr>
        <w:pStyle w:val="ListBullet"/>
      </w:pPr>
      <w:r>
        <w:t>Uganda Investment Authority (2025). https://ugandainvest.go.ug/</w:t>
      </w:r>
    </w:p>
    <w:p>
      <w:pPr>
        <w:pStyle w:val="ListBullet"/>
      </w:pPr>
      <w:r>
        <w:t>ITC TradeMap. https://www.trademap.org</w:t>
      </w:r>
    </w:p>
    <w:p>
      <w:pPr>
        <w:pStyle w:val="ListBullet"/>
      </w:pPr>
      <w:r>
        <w:t xml:space="preserve">National Planning Authority, </w:t>
      </w:r>
      <w:r>
        <w:rPr>
          <w:i/>
        </w:rPr>
        <w:t>Vision 2040</w:t>
      </w:r>
      <w:r>
        <w:t xml:space="preserve">; </w:t>
      </w:r>
      <w:r>
        <w:rPr>
          <w:i/>
        </w:rPr>
        <w:t>NDP IV</w:t>
      </w:r>
      <w:r>
        <w:t>. https://npa.go.ug/national-development-plan/</w:t>
      </w:r>
    </w:p>
    <w:p>
      <w:pPr>
        <w:pStyle w:val="ListBullet"/>
      </w:pPr>
      <w:r>
        <w:t xml:space="preserve">National Drug Authority, </w:t>
      </w:r>
      <w:r>
        <w:rPr>
          <w:i/>
        </w:rPr>
        <w:t>National Drug Register</w:t>
      </w:r>
      <w:r>
        <w:t xml:space="preserve"> (June 2024). https://www.nda.or.ug/</w:t>
      </w:r>
    </w:p>
    <w:p>
      <w:pPr>
        <w:pStyle w:val="ListBullet"/>
      </w:pPr>
      <w:r>
        <w:t xml:space="preserve">NEMA, </w:t>
      </w:r>
      <w:r>
        <w:rPr>
          <w:i/>
        </w:rPr>
        <w:t>National Strategy for Plastics Circularity 2023–2028</w:t>
      </w:r>
      <w:r>
        <w:t xml:space="preserve">; </w:t>
      </w:r>
      <w:r>
        <w:rPr>
          <w:i/>
        </w:rPr>
        <w:t>Effluent Discharge Regulations 2020</w:t>
      </w:r>
      <w:r>
        <w:t>. https://www.nema.go.ug/</w:t>
      </w:r>
    </w:p>
    <w:p>
      <w:pPr>
        <w:pStyle w:val="ListBullet"/>
      </w:pPr>
      <w:r>
        <w:t>Electricity Regulatory Authority, tariffs 2025. https://www.era.go.ug/</w:t>
      </w:r>
    </w:p>
    <w:p>
      <w:pPr>
        <w:pStyle w:val="ListBullet"/>
      </w:pPr>
      <w:r>
        <w:t xml:space="preserve">World Bank, </w:t>
      </w:r>
      <w:r>
        <w:rPr>
          <w:i/>
        </w:rPr>
        <w:t>World Development Indicators</w:t>
      </w:r>
      <w:r>
        <w:t>. https://data.worldbank.org/country/UG</w:t>
      </w:r>
    </w:p>
    <w:p>
      <w:pPr>
        <w:pStyle w:val="ListBullet"/>
      </w:pPr>
      <w:r>
        <w:t>Cotton Development Organisation. https://www.cdouga.org/ ; World Business Journal, "CDO Leads Way for Increased Cotton Subsector Growth." https://worldbusinessjournal.com/cdo-leads-way/</w:t>
      </w:r>
    </w:p>
    <w:p>
      <w:pPr>
        <w:pStyle w:val="ListBullet"/>
      </w:pPr>
      <w:r>
        <w:t xml:space="preserve">Economic Policy Research Centre, </w:t>
      </w:r>
      <w:r>
        <w:rPr>
          <w:i/>
        </w:rPr>
        <w:t>Upgrading the cotton value chain for textile industry development</w:t>
      </w:r>
      <w:r>
        <w:t>. https://eprcug.org/publication/upgrading-the-cotton-value-chain-for-textile-industry-development/</w:t>
      </w:r>
    </w:p>
    <w:p>
      <w:pPr>
        <w:pStyle w:val="ListBullet"/>
      </w:pPr>
      <w:r>
        <w:t>ChimpReports, "Inside Fine Spinners: spinning Uganda's cotton to European garment stores." https://chimpreports.com/inside-fine-spinners-spinning-ugandas-cotton-to-european-garment-stores/</w:t>
      </w:r>
    </w:p>
    <w:p>
      <w:pPr>
        <w:pStyle w:val="ListBullet"/>
      </w:pPr>
      <w:r>
        <w:t>Uganda Investment Authority, "UIA, CDO team up to boost import substitution in cotton sector." https://www.ugandainvest.go.ug/uia-cdo-team-up-to-boost-import-substitution-in-cotton-sector/</w:t>
      </w:r>
    </w:p>
    <w:p>
      <w:pPr>
        <w:pStyle w:val="ListBullet"/>
      </w:pPr>
      <w:r>
        <w:t>ITC TradeMap, trade statistics — HS 5201, 6109, Uganda, 2024. https://www.trademap.org</w:t>
      </w:r>
    </w:p>
    <w:p>
      <w:pPr>
        <w:pStyle w:val="ListBullet"/>
      </w:pPr>
      <w:r>
        <w:t xml:space="preserve">NEMA, </w:t>
      </w:r>
      <w:r>
        <w:rPr>
          <w:i/>
        </w:rPr>
        <w:t>Effluent Discharge Regulations 2020</w:t>
      </w:r>
      <w:r>
        <w:t>. https://www.nema.go.ug/</w:t>
      </w:r>
    </w:p>
    <w:p>
      <w:pPr>
        <w:pStyle w:val="ListBullet"/>
      </w:pPr>
      <w:r>
        <w:t xml:space="preserve">National Drug Authority, </w:t>
      </w:r>
      <w:r>
        <w:rPr>
          <w:i/>
        </w:rPr>
        <w:t>National Drug Register of Uganda — Human Medicines</w:t>
      </w:r>
      <w:r>
        <w:t xml:space="preserve"> (June 2024). https://www.nda.or.ug/</w:t>
      </w:r>
    </w:p>
    <w:p>
      <w:pPr>
        <w:pStyle w:val="ListBullet"/>
      </w:pPr>
      <w:r>
        <w:t xml:space="preserve">UNIDO, </w:t>
      </w:r>
      <w:r>
        <w:rPr>
          <w:i/>
        </w:rPr>
        <w:t>Pharmaceutical Sector Profile — Uganda</w:t>
      </w:r>
      <w:r>
        <w:t>. https://open.unido.org/api/documents/4699932/download/Pharmaceutical%20Sector%20Profile%20-%20Uganda</w:t>
      </w:r>
    </w:p>
    <w:p>
      <w:pPr>
        <w:pStyle w:val="ListBullet"/>
      </w:pPr>
      <w:r>
        <w:t xml:space="preserve">Statista, </w:t>
      </w:r>
      <w:r>
        <w:rPr>
          <w:i/>
        </w:rPr>
        <w:t>Pharmaceuticals — Uganda</w:t>
      </w:r>
      <w:r>
        <w:t>. https://www.statista.com/outlook/hmo/pharmaceuticals/uganda</w:t>
      </w:r>
    </w:p>
    <w:p>
      <w:pPr>
        <w:pStyle w:val="ListBullet"/>
      </w:pPr>
      <w:r>
        <w:t>Quality Chemical Industries Limited (Wikipedia summary); Cipla Uganda. https://en.wikipedia.org/wiki/Quality_Chemical_Industries_Limited ; https://www.cipla.com/our-presence/uganda</w:t>
      </w:r>
    </w:p>
    <w:p>
      <w:pPr>
        <w:pStyle w:val="ListBullet"/>
      </w:pPr>
      <w:r>
        <w:t>ITC TradeMap, trade statistics — HS 3004, Uganda, 2024. https://www.trademap.org</w:t>
      </w:r>
    </w:p>
    <w:p>
      <w:pPr>
        <w:pStyle w:val="ListBullet"/>
      </w:pPr>
      <w:r>
        <w:t>Uganda National Oil Company, "The Uganda Refinery Project." https://www.unoc.co.ug/midstream/the-uganda-refinery-project/</w:t>
      </w:r>
    </w:p>
    <w:p>
      <w:pPr>
        <w:pStyle w:val="ListBullet"/>
      </w:pPr>
      <w:r>
        <w:t>Petroleum Authority of Uganda, "The Uganda Refinery Project." https://www.pau.go.ug/the-uganda-refinery-project/</w:t>
      </w:r>
    </w:p>
    <w:p>
      <w:pPr>
        <w:pStyle w:val="ListBullet"/>
      </w:pPr>
      <w:r>
        <w:t>Hydrocarbon Engineering, "Uganda refinery to start operations by early 2030" (Oct 2025). https://www.hydrocarbonengineering.com/refining/13102025/uganda-refinery-to-start-operations-by-early-2030/</w:t>
      </w:r>
    </w:p>
    <w:p>
      <w:pPr>
        <w:pStyle w:val="ListBullet"/>
      </w:pPr>
      <w:r>
        <w:t>Osukuru Industrial Complex (Wikipedia). https://en.wikipedia.org/wiki/Osukuru_Industrial_Complex</w:t>
      </w:r>
    </w:p>
    <w:p>
      <w:pPr>
        <w:pStyle w:val="ListBullet"/>
      </w:pPr>
      <w:r>
        <w:t>Free Zones Authority, "President commissions Tororo Sukulu Phosphate Project." https://freezones.go.ug/president-commissions-tororo-sukulu-phosphate-project/</w:t>
      </w:r>
    </w:p>
    <w:p>
      <w:pPr>
        <w:pStyle w:val="ListBullet"/>
      </w:pPr>
      <w:r>
        <w:t>Milling Middle East &amp; Africa, "Tororo Fertiliser Factory in limbo five months after resuming operations" (2023). https://www.millingmea.com/tororo-fertiliser-factory-in-limbo-five-months-after-resuming-operations/</w:t>
      </w:r>
    </w:p>
    <w:p>
      <w:pPr>
        <w:pStyle w:val="ListBullet"/>
      </w:pPr>
      <w:r>
        <w:t>ITC TradeMap, trade statistics — HS 3105, Uganda, 2024. https://www.trademap.org</w:t>
      </w:r>
    </w:p>
    <w:p>
      <w:pPr>
        <w:pStyle w:val="ListBullet"/>
      </w:pPr>
      <w:r>
        <w:rPr>
          <w:i/>
        </w:rPr>
        <w:t>Sugar industry in Uganda</w:t>
      </w:r>
      <w:r>
        <w:t xml:space="preserve"> (Wikipedia, with USMA and Uganda Sugar Board data). https://en.wikipedia.org/wiki/Sugar_industry_in_Uganda</w:t>
      </w:r>
    </w:p>
    <w:p>
      <w:pPr>
        <w:pStyle w:val="ListBullet"/>
      </w:pPr>
      <w:r>
        <w:t>Daily Monitor, "Surge in sugar factories imperils industry's future." https://www.monitor.co.ug/uganda/news/national/surge-in-sugar-factories-imperils-industry-s-future-3943728</w:t>
      </w:r>
    </w:p>
    <w:p>
      <w:pPr>
        <w:pStyle w:val="ListBullet"/>
      </w:pPr>
      <w:r>
        <w:t>Food Business MEA, "Kinyara Sugar opens US$15m industrial sugar refinery" (2023). https://www.foodbusinessmea.com/ugandas-second-largest-sugar-miller-kinyara-sugar-has-opened-us15m-industrial-sugar-refinery/</w:t>
      </w:r>
    </w:p>
    <w:p>
      <w:pPr>
        <w:pStyle w:val="ListBullet"/>
      </w:pPr>
      <w:r>
        <w:t>Kakira Sugar. https://kakirasugar.com/</w:t>
      </w:r>
    </w:p>
    <w:p>
      <w:pPr>
        <w:pStyle w:val="ListBullet"/>
      </w:pPr>
      <w:r>
        <w:t xml:space="preserve">Uganda Sugar Manufacturers' Association annual report 2024 [Repository: </w:t>
      </w:r>
      <w:r>
        <w:rPr>
          <w:rFonts w:ascii="Consolas" w:hAnsi="Consolas"/>
          <w:sz w:val="19"/>
        </w:rPr>
        <w:t>data/</w:t>
      </w:r>
      <w:r>
        <w:t xml:space="preserve"> — provided by MTIC].</w:t>
      </w:r>
    </w:p>
    <w:p>
      <w:pPr>
        <w:pStyle w:val="ListBullet"/>
      </w:pPr>
      <w:r>
        <w:t>ITC TradeMap, trade statistics — HS 1701, Uganda, 2024. https://www.trademap.org</w:t>
      </w:r>
    </w:p>
    <w:p>
      <w:pPr>
        <w:pStyle w:val="ListBullet"/>
      </w:pPr>
      <w:r>
        <w:t xml:space="preserve">NEMA, </w:t>
      </w:r>
      <w:r>
        <w:rPr>
          <w:i/>
        </w:rPr>
        <w:t>National Strategy for Management of Plastic Pollution / Plastics Circularity (2023–2028)</w:t>
      </w:r>
      <w:r>
        <w:t>. https://www.nema.go.ug/new_site/wp-content/uploads/2024/05/Plastic_circularity_-Report-2023-1.pdf</w:t>
      </w:r>
    </w:p>
    <w:p>
      <w:pPr>
        <w:pStyle w:val="ListBullet"/>
      </w:pPr>
      <w:r>
        <w:t>NEMA, "Plastics." https://www.nema.go.ug/en/plastics/</w:t>
      </w:r>
    </w:p>
    <w:p>
      <w:pPr>
        <w:pStyle w:val="ListBullet"/>
      </w:pPr>
      <w:r>
        <w:t>Margherita News, "NEMA pushes for total ban of polythene bags in Uganda" (Mar 2025). https://margheritanews.ug/2025/03/nema-pushes-for-total-polythene-bags-of-kevera-in-uganda/</w:t>
      </w:r>
    </w:p>
    <w:p>
      <w:pPr>
        <w:pStyle w:val="ListBullet"/>
      </w:pPr>
      <w:r>
        <w:t xml:space="preserve">Reportlinker, </w:t>
      </w:r>
      <w:r>
        <w:rPr>
          <w:i/>
        </w:rPr>
        <w:t>Uganda Plastic Industry Outlook 2024–2028</w:t>
      </w:r>
      <w:r>
        <w:t>. https://www.reportlinker.com/clp/country/6347/726256</w:t>
      </w:r>
    </w:p>
    <w:p>
      <w:pPr>
        <w:pStyle w:val="ListBullet"/>
      </w:pPr>
      <w:r>
        <w:t>Nile Plastic Industries. https://www.nileplasticindustries.com/</w:t>
      </w:r>
    </w:p>
    <w:p>
      <w:pPr>
        <w:pStyle w:val="ListBullet"/>
      </w:pPr>
      <w:r>
        <w:t>ITC TradeMap, trade statistics — HS 3923, Uganda, 2024. https://www.trademap.org</w:t>
      </w:r>
    </w:p>
    <w:p>
      <w:pPr>
        <w:pStyle w:val="ListBullet"/>
      </w:pPr>
      <w:r>
        <w:t xml:space="preserve">IndexBox, </w:t>
      </w:r>
      <w:r>
        <w:rPr>
          <w:i/>
        </w:rPr>
        <w:t>Uganda's Cement Market Report 2025</w:t>
      </w:r>
      <w:r>
        <w:t>. https://www.indexbox.io/store/uganda-cement-market-analysis-forecast-size-trends-and-insights/</w:t>
      </w:r>
    </w:p>
    <w:p>
      <w:pPr>
        <w:pStyle w:val="ListBullet"/>
      </w:pPr>
      <w:r>
        <w:t>CemNet / International Cement Review, Uganda country data. https://www.cemnet.com/global-cement-report/country/uganda</w:t>
      </w:r>
    </w:p>
    <w:p>
      <w:pPr>
        <w:pStyle w:val="ListBullet"/>
      </w:pPr>
      <w:r>
        <w:t>Ecofin Agency, "Uganda to Commission $300 Million Cement Plant to Cut Imports Amid Rising Demand." https://www.ecofinagency.com/news-industry/2104-54866-uganda-to-commission-300-million-cement-plant-to-cut-imports-amid-rising-demand</w:t>
      </w:r>
    </w:p>
    <w:p>
      <w:pPr>
        <w:pStyle w:val="ListBullet"/>
      </w:pPr>
      <w:r>
        <w:t>CemNet, "Uganda launching US$300m cement plant to boost industry." https://www.cemnet.com/News/story/181356/uganda-launching-us-300m-cement-plant-to-boost-industry.html</w:t>
      </w:r>
    </w:p>
    <w:p>
      <w:pPr>
        <w:pStyle w:val="ListBullet"/>
      </w:pPr>
      <w:r>
        <w:rPr>
          <w:i/>
        </w:rPr>
        <w:t>List of cement manufacturers in Uganda</w:t>
      </w:r>
      <w:r>
        <w:t xml:space="preserve"> (Wikipedia). https://en.wikipedia.org/wiki/List_of_cement_manufacturers_in_Uganda</w:t>
      </w:r>
    </w:p>
    <w:p>
      <w:pPr>
        <w:pStyle w:val="ListBullet"/>
      </w:pPr>
      <w:r>
        <w:t>Hima Cement, "About Us." https://himacement.co/About-Us</w:t>
      </w:r>
    </w:p>
    <w:p>
      <w:pPr>
        <w:pStyle w:val="ListBullet"/>
      </w:pPr>
      <w:r>
        <w:t>ITC TradeMap, trade statistics — HS 2523, Uganda, 2024. https://www.trademap.org</w:t>
      </w:r>
    </w:p>
    <w:p>
      <w:pPr>
        <w:pStyle w:val="ListBullet"/>
      </w:pPr>
      <w:r>
        <w:t xml:space="preserve">KPMG, </w:t>
      </w:r>
      <w:r>
        <w:rPr>
          <w:i/>
        </w:rPr>
        <w:t>Uganda Budget Brief 2025/26</w:t>
      </w:r>
      <w:r>
        <w:t>. https://assets.kpmg.com/</w:t>
      </w:r>
    </w:p>
    <w:p>
      <w:pPr>
        <w:pStyle w:val="ListBullet"/>
      </w:pPr>
      <w:r>
        <w:t>Uganda Manufacturers Association; UNIDO — skills evidence. https://uma.or.ug/ ; https://www.unido.org/</w:t>
      </w:r>
    </w:p>
    <w:p>
      <w:pPr>
        <w:pStyle w:val="ListBullet"/>
      </w:pPr>
      <w:r>
        <w:t xml:space="preserve">NEMA, </w:t>
      </w:r>
      <w:r>
        <w:rPr>
          <w:i/>
        </w:rPr>
        <w:t>Plastics Circularity Strategy 2023–2028</w:t>
      </w:r>
      <w:r>
        <w:t xml:space="preserve">; </w:t>
      </w:r>
      <w:r>
        <w:rPr>
          <w:i/>
        </w:rPr>
        <w:t>Effluent Discharge Regulations 2020</w:t>
      </w:r>
      <w:r>
        <w:t>. https://www.nema.go.ug/</w:t>
      </w:r>
    </w:p>
    <w:p>
      <w:pPr>
        <w:pStyle w:val="ListBullet"/>
      </w:pPr>
      <w:r>
        <w:t>National Drug Authority. https://www.nda.or.ug/</w:t>
      </w:r>
    </w:p>
    <w:p>
      <w:pPr>
        <w:pStyle w:val="ListBullet"/>
      </w:pPr>
      <w:r>
        <w:t>ITC TradeMap, trade statistics (2024). https://www.trademap.org</w:t>
      </w:r>
    </w:p>
    <w:p>
      <w:pPr>
        <w:pStyle w:val="ListBullet"/>
      </w:pPr>
      <w:r>
        <w:t>UNOC; Petroleum Authority of Uganda — refinery project. https://www.unoc.co.ug/midstream/the-uganda-refinery-project/ ; https://www.pau.go.ug/the-uganda-refinery-project/</w:t>
      </w:r>
    </w:p>
    <w:p>
      <w:pPr>
        <w:pStyle w:val="ListBullet"/>
      </w:pPr>
      <w:r>
        <w:t>Ecofin Agency; CemNet — new cement plants (2024–25). https://www.cemnet.com/News/story/181356/uganda-launching-us-300m-cement-plant-to-boost-industry.html</w:t>
      </w:r>
    </w:p>
    <w:p>
      <w:pPr>
        <w:pStyle w:val="ListBullet"/>
      </w:pPr>
      <w:r>
        <w:t>Quality Chemical Industries Limited / Cipla Uganda. https://en.wikipedia.org/wiki/Quality_Chemical_Industries_Limited</w:t>
      </w:r>
    </w:p>
    <w:p>
      <w:pPr>
        <w:pStyle w:val="ListBullet"/>
      </w:pPr>
      <w:r>
        <w:t>Cotton Development Organisation; EPRC cotton value-chain study. https://eprcug.org/</w:t>
      </w:r>
    </w:p>
    <w:p>
      <w:pPr>
        <w:pStyle w:val="ListBullet"/>
      </w:pPr>
      <w:r>
        <w:t xml:space="preserve">NEMA, </w:t>
      </w:r>
      <w:r>
        <w:rPr>
          <w:i/>
        </w:rPr>
        <w:t>Plastics Circularity Strategy 2023–2028</w:t>
      </w:r>
      <w:r>
        <w:t>. https://www.nema.go.ug/</w:t>
      </w:r>
    </w:p>
    <w:p>
      <w:pPr>
        <w:pStyle w:val="ListBullet"/>
      </w:pPr>
      <w:r>
        <w:t>Uganda Investment Authority. https://ugandainvest.go.ug/</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