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80"/>
        <w:jc w:val="left"/>
      </w:pPr>
      <w:r>
        <w:rPr>
          <w:b/>
          <w:color w:val="002B5B"/>
          <w:sz w:val="44"/>
        </w:rPr>
        <w:t>Inception Report: Textiles &amp; Garments, Pharmaceuticals, Petrochemicals &amp; Fertilizers, Sugar &amp; Confectionery, Plastics &amp; Packaging, and Cement &amp; Building Materials Value Chains</w:t>
      </w:r>
    </w:p>
    <w:p/>
    <w:p>
      <w:pPr>
        <w:spacing w:after="40"/>
      </w:pPr>
      <w:r/>
      <w:r>
        <w:rPr>
          <w:b/>
        </w:rPr>
        <w:t>Client:</w:t>
      </w:r>
      <w:r>
        <w:t xml:space="preserve"> Ministry of Trade, Industry and Cooperatives (MTIC), Uganda</w:t>
      </w:r>
    </w:p>
    <w:p>
      <w:pPr>
        <w:spacing w:after="40"/>
      </w:pPr>
      <w:r/>
      <w:r>
        <w:rPr>
          <w:b/>
        </w:rPr>
        <w:t>Programme:</w:t>
      </w:r>
      <w:r>
        <w:t xml:space="preserve"> Uganda-UNIDO Programme for Country Partnership (PCP) for Inclusive and Sustainable Industrial Development (ISID)</w:t>
      </w:r>
    </w:p>
    <w:p>
      <w:pPr>
        <w:spacing w:after="40"/>
      </w:pPr>
      <w:r/>
      <w:r>
        <w:rPr>
          <w:b/>
        </w:rPr>
        <w:t>ToR Reference:</w:t>
      </w:r>
      <w:r>
        <w:t xml:space="preserve"> MTIC-Diagnostic Study on Textiles, Garments.docx</w:t>
      </w:r>
    </w:p>
    <w:p>
      <w:pPr>
        <w:spacing w:after="40"/>
      </w:pPr>
      <w:r/>
      <w:r>
        <w:rPr>
          <w:b/>
        </w:rPr>
        <w:t>Prepared by:</w:t>
      </w:r>
      <w:r>
        <w:t xml:space="preserve"> Solomon Ariho</w:t>
      </w:r>
    </w:p>
    <w:p>
      <w:pPr>
        <w:spacing w:after="40"/>
      </w:pPr>
      <w:r/>
      <w:r>
        <w:rPr>
          <w:b/>
        </w:rPr>
        <w:t>Date:</w:t>
      </w:r>
      <w:r>
        <w:t xml:space="preserve"> 27 May 2026</w:t>
      </w:r>
    </w:p>
    <w:p>
      <w:pPr>
        <w:spacing w:after="40"/>
      </w:pPr>
      <w:r/>
      <w:r>
        <w:rPr>
          <w:b/>
        </w:rPr>
        <w:t>Status:</w:t>
      </w:r>
      <w:r>
        <w:t xml:space="preserve"> Draft — submitted for TWG review and approval</w:t>
      </w:r>
    </w:p>
    <w:p/>
    <w:p/>
    <w:p/>
    <w:p>
      <w:pPr>
        <w:pStyle w:val="Heading2"/>
        <w:spacing w:before="280" w:after="80"/>
      </w:pPr>
      <w:r>
        <w:rPr>
          <w:b/>
          <w:color w:val="002B5B"/>
          <w:sz w:val="32"/>
        </w:rPr>
        <w:t>1. Introduction</w:t>
      </w:r>
    </w:p>
    <w:p/>
    <w:p>
      <w:pPr>
        <w:spacing w:after="80"/>
      </w:pPr>
      <w:r>
        <w:t>This Inception Report covers six priority value chains designated under NDP IV:</w:t>
      </w:r>
    </w:p>
    <w:p/>
    <w:p>
      <w:pPr>
        <w:pStyle w:val="ListNumber"/>
        <w:spacing w:after="40"/>
      </w:pPr>
      <w:r>
        <w:t>Textiles &amp; Garments</w:t>
      </w:r>
    </w:p>
    <w:p>
      <w:pPr>
        <w:pStyle w:val="ListNumber"/>
        <w:spacing w:after="40"/>
      </w:pPr>
      <w:r>
        <w:t>Pharmaceuticals</w:t>
      </w:r>
    </w:p>
    <w:p>
      <w:pPr>
        <w:pStyle w:val="ListNumber"/>
        <w:spacing w:after="40"/>
      </w:pPr>
      <w:r>
        <w:t>Petrochemicals &amp; Fertilizers</w:t>
      </w:r>
    </w:p>
    <w:p>
      <w:pPr>
        <w:pStyle w:val="ListNumber"/>
        <w:spacing w:after="40"/>
      </w:pPr>
      <w:r>
        <w:t>Sugar &amp; Confectionery</w:t>
      </w:r>
    </w:p>
    <w:p>
      <w:pPr>
        <w:pStyle w:val="ListNumber"/>
        <w:spacing w:after="40"/>
      </w:pPr>
      <w:r>
        <w:t>Plastics &amp; Packaging</w:t>
      </w:r>
    </w:p>
    <w:p>
      <w:pPr>
        <w:pStyle w:val="ListNumber"/>
        <w:spacing w:after="40"/>
      </w:pPr>
      <w:r>
        <w:t>Cement &amp; Building Materials</w:t>
      </w:r>
    </w:p>
    <w:p/>
    <w:p>
      <w:pPr>
        <w:spacing w:after="80"/>
      </w:pPr>
      <w:r>
        <w:t>Together, these chains represent Uganda's most significant opportunity for agro-industrial transformation and manufacturing import substitution — anchored in the country's cotton and agricultural commodity base, its proven capacity in sugar and cement production, and the emerging potential of domestic pharmaceutical manufacturing and petrochemical development linked to Uganda's oil and gas resources.</w:t>
      </w:r>
    </w:p>
    <w:p/>
    <w:p>
      <w:pPr>
        <w:spacing w:after="80"/>
      </w:pPr>
      <w:r>
        <w:t>This document sets out the study design and workplan, the diagnostic framework and assessment templates to be applied to each chain, the data plan, the stakeholder consultation approach, and the prioritization methodology.</w:t>
      </w:r>
    </w:p>
    <w:p/>
    <w:p/>
    <w:p/>
    <w:p>
      <w:pPr>
        <w:pStyle w:val="Heading2"/>
        <w:spacing w:before="280" w:after="80"/>
      </w:pPr>
      <w:r>
        <w:rPr>
          <w:b/>
          <w:color w:val="002B5B"/>
          <w:sz w:val="32"/>
        </w:rPr>
        <w:t>2. Study Design and Workplan</w:t>
      </w:r>
    </w:p>
    <w:p/>
    <w:p>
      <w:pPr>
        <w:pStyle w:val="Heading3"/>
        <w:spacing w:before="280" w:after="80"/>
      </w:pPr>
      <w:r>
        <w:rPr>
          <w:b/>
          <w:color w:val="005CA8"/>
          <w:sz w:val="26"/>
        </w:rPr>
        <w:t>2.1 Report Structure</w:t>
      </w:r>
    </w:p>
    <w:p/>
    <w:p>
      <w:pPr>
        <w:spacing w:after="80"/>
      </w:pPr>
      <w:r>
        <w:t>The diagnostic report will be structured as follows: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Chapter</w:t>
            </w:r>
          </w:p>
        </w:tc>
        <w:tc>
          <w:tcPr>
            <w:tcW w:type="dxa" w:w="4703"/>
            <w:shd w:val="clear" w:color="auto" w:fill="002B5B"/>
          </w:tcPr>
          <w:p>
            <w:r>
              <w:rPr>
                <w:b/>
                <w:color w:val="FFFFFF"/>
                <w:sz w:val="20"/>
              </w:rPr>
              <w:t>Title</w:t>
            </w:r>
          </w:p>
        </w:tc>
      </w:tr>
      <w:tr>
        <w:tc>
          <w:tcPr>
            <w:tcW w:type="dxa" w:w="4703"/>
            <w:shd w:val="clear" w:color="auto" w:fill="D6E8F7"/>
          </w:tcPr>
          <w:p>
            <w:r>
              <w:rPr>
                <w:sz w:val="20"/>
              </w:rPr>
              <w:t>1</w:t>
            </w:r>
          </w:p>
        </w:tc>
        <w:tc>
          <w:tcPr>
            <w:tcW w:type="dxa" w:w="4703"/>
            <w:shd w:val="clear" w:color="auto" w:fill="D6E8F7"/>
          </w:tcPr>
          <w:p>
            <w:r>
              <w:rPr>
                <w:sz w:val="20"/>
              </w:rPr>
              <w:t xml:space="preserve">Executive Summary </w:t>
            </w:r>
            <w:r>
              <w:rPr>
                <w:i/>
                <w:sz w:val="20"/>
              </w:rPr>
              <w:t>(written last)</w:t>
            </w:r>
            <w:r>
              <w:rPr>
                <w:sz w:val="20"/>
              </w:rPr>
            </w:r>
          </w:p>
        </w:tc>
      </w:tr>
      <w:tr>
        <w:tc>
          <w:tcPr>
            <w:tcW w:type="dxa" w:w="4703"/>
            <w:shd w:val="clear" w:color="auto" w:fill="FFFFFF"/>
          </w:tcPr>
          <w:p>
            <w:r>
              <w:rPr>
                <w:sz w:val="20"/>
              </w:rPr>
              <w:t>2</w:t>
            </w:r>
          </w:p>
        </w:tc>
        <w:tc>
          <w:tcPr>
            <w:tcW w:type="dxa" w:w="4703"/>
            <w:shd w:val="clear" w:color="auto" w:fill="FFFFFF"/>
          </w:tcPr>
          <w:p>
            <w:r>
              <w:rPr>
                <w:sz w:val="20"/>
              </w:rPr>
              <w:t>Background and Policy Context</w:t>
            </w:r>
          </w:p>
        </w:tc>
      </w:tr>
      <w:tr>
        <w:tc>
          <w:tcPr>
            <w:tcW w:type="dxa" w:w="4703"/>
            <w:shd w:val="clear" w:color="auto" w:fill="D6E8F7"/>
          </w:tcPr>
          <w:p>
            <w:r>
              <w:rPr>
                <w:sz w:val="20"/>
              </w:rPr>
              <w:t>3</w:t>
            </w:r>
          </w:p>
        </w:tc>
        <w:tc>
          <w:tcPr>
            <w:tcW w:type="dxa" w:w="4703"/>
            <w:shd w:val="clear" w:color="auto" w:fill="D6E8F7"/>
          </w:tcPr>
          <w:p>
            <w:r>
              <w:rPr>
                <w:sz w:val="20"/>
              </w:rPr>
              <w:t>Methodology and Analytical Framework</w:t>
            </w:r>
          </w:p>
        </w:tc>
      </w:tr>
      <w:tr>
        <w:tc>
          <w:tcPr>
            <w:tcW w:type="dxa" w:w="4703"/>
            <w:shd w:val="clear" w:color="auto" w:fill="FFFFFF"/>
          </w:tcPr>
          <w:p>
            <w:r>
              <w:rPr>
                <w:sz w:val="20"/>
              </w:rPr>
              <w:t>4</w:t>
            </w:r>
          </w:p>
        </w:tc>
        <w:tc>
          <w:tcPr>
            <w:tcW w:type="dxa" w:w="4703"/>
            <w:shd w:val="clear" w:color="auto" w:fill="FFFFFF"/>
          </w:tcPr>
          <w:p>
            <w:r>
              <w:rPr>
                <w:sz w:val="20"/>
              </w:rPr>
              <w:t>Textiles &amp; Garments Value Chain</w:t>
            </w:r>
          </w:p>
        </w:tc>
      </w:tr>
      <w:tr>
        <w:tc>
          <w:tcPr>
            <w:tcW w:type="dxa" w:w="4703"/>
            <w:shd w:val="clear" w:color="auto" w:fill="D6E8F7"/>
          </w:tcPr>
          <w:p>
            <w:r>
              <w:rPr>
                <w:sz w:val="20"/>
              </w:rPr>
              <w:t>5</w:t>
            </w:r>
          </w:p>
        </w:tc>
        <w:tc>
          <w:tcPr>
            <w:tcW w:type="dxa" w:w="4703"/>
            <w:shd w:val="clear" w:color="auto" w:fill="D6E8F7"/>
          </w:tcPr>
          <w:p>
            <w:r>
              <w:rPr>
                <w:sz w:val="20"/>
              </w:rPr>
              <w:t>Pharmaceuticals Value Chain</w:t>
            </w:r>
          </w:p>
        </w:tc>
      </w:tr>
      <w:tr>
        <w:tc>
          <w:tcPr>
            <w:tcW w:type="dxa" w:w="4703"/>
            <w:shd w:val="clear" w:color="auto" w:fill="FFFFFF"/>
          </w:tcPr>
          <w:p>
            <w:r>
              <w:rPr>
                <w:sz w:val="20"/>
              </w:rPr>
              <w:t>6</w:t>
            </w:r>
          </w:p>
        </w:tc>
        <w:tc>
          <w:tcPr>
            <w:tcW w:type="dxa" w:w="4703"/>
            <w:shd w:val="clear" w:color="auto" w:fill="FFFFFF"/>
          </w:tcPr>
          <w:p>
            <w:r>
              <w:rPr>
                <w:sz w:val="20"/>
              </w:rPr>
              <w:t>Petrochemicals &amp; Fertilizers Value Chain</w:t>
            </w:r>
          </w:p>
        </w:tc>
      </w:tr>
      <w:tr>
        <w:tc>
          <w:tcPr>
            <w:tcW w:type="dxa" w:w="4703"/>
            <w:shd w:val="clear" w:color="auto" w:fill="D6E8F7"/>
          </w:tcPr>
          <w:p>
            <w:r>
              <w:rPr>
                <w:sz w:val="20"/>
              </w:rPr>
              <w:t>7</w:t>
            </w:r>
          </w:p>
        </w:tc>
        <w:tc>
          <w:tcPr>
            <w:tcW w:type="dxa" w:w="4703"/>
            <w:shd w:val="clear" w:color="auto" w:fill="D6E8F7"/>
          </w:tcPr>
          <w:p>
            <w:r>
              <w:rPr>
                <w:sz w:val="20"/>
              </w:rPr>
              <w:t>Sugar &amp; Confectionery Value Chain</w:t>
            </w:r>
          </w:p>
        </w:tc>
      </w:tr>
      <w:tr>
        <w:tc>
          <w:tcPr>
            <w:tcW w:type="dxa" w:w="4703"/>
            <w:shd w:val="clear" w:color="auto" w:fill="FFFFFF"/>
          </w:tcPr>
          <w:p>
            <w:r>
              <w:rPr>
                <w:sz w:val="20"/>
              </w:rPr>
              <w:t>8</w:t>
            </w:r>
          </w:p>
        </w:tc>
        <w:tc>
          <w:tcPr>
            <w:tcW w:type="dxa" w:w="4703"/>
            <w:shd w:val="clear" w:color="auto" w:fill="FFFFFF"/>
          </w:tcPr>
          <w:p>
            <w:r>
              <w:rPr>
                <w:sz w:val="20"/>
              </w:rPr>
              <w:t>Plastics &amp; Packaging Value Chain</w:t>
            </w:r>
          </w:p>
        </w:tc>
      </w:tr>
      <w:tr>
        <w:tc>
          <w:tcPr>
            <w:tcW w:type="dxa" w:w="4703"/>
            <w:shd w:val="clear" w:color="auto" w:fill="D6E8F7"/>
          </w:tcPr>
          <w:p>
            <w:r>
              <w:rPr>
                <w:sz w:val="20"/>
              </w:rPr>
              <w:t>9</w:t>
            </w:r>
          </w:p>
        </w:tc>
        <w:tc>
          <w:tcPr>
            <w:tcW w:type="dxa" w:w="4703"/>
            <w:shd w:val="clear" w:color="auto" w:fill="D6E8F7"/>
          </w:tcPr>
          <w:p>
            <w:r>
              <w:rPr>
                <w:sz w:val="20"/>
              </w:rPr>
              <w:t>Cement &amp; Building Materials Value Chain</w:t>
            </w:r>
          </w:p>
        </w:tc>
      </w:tr>
      <w:tr>
        <w:tc>
          <w:tcPr>
            <w:tcW w:type="dxa" w:w="4703"/>
            <w:shd w:val="clear" w:color="auto" w:fill="FFFFFF"/>
          </w:tcPr>
          <w:p>
            <w:r>
              <w:rPr>
                <w:sz w:val="20"/>
              </w:rPr>
              <w:t>10</w:t>
            </w:r>
          </w:p>
        </w:tc>
        <w:tc>
          <w:tcPr>
            <w:tcW w:type="dxa" w:w="4703"/>
            <w:shd w:val="clear" w:color="auto" w:fill="FFFFFF"/>
          </w:tcPr>
          <w:p>
            <w:r>
              <w:rPr>
                <w:sz w:val="20"/>
              </w:rPr>
              <w:t>Cross-Cutting Priority Actions and Policy Recommendations</w:t>
            </w:r>
          </w:p>
        </w:tc>
      </w:tr>
      <w:tr>
        <w:tc>
          <w:tcPr>
            <w:tcW w:type="dxa" w:w="4703"/>
            <w:shd w:val="clear" w:color="auto" w:fill="D6E8F7"/>
          </w:tcPr>
          <w:p>
            <w:r>
              <w:rPr>
                <w:sz w:val="20"/>
              </w:rPr>
              <w:t>11</w:t>
            </w:r>
          </w:p>
        </w:tc>
        <w:tc>
          <w:tcPr>
            <w:tcW w:type="dxa" w:w="4703"/>
            <w:shd w:val="clear" w:color="auto" w:fill="D6E8F7"/>
          </w:tcPr>
          <w:p>
            <w:r>
              <w:rPr>
                <w:sz w:val="20"/>
              </w:rPr>
              <w:t>Investment Portfolio and Implementation Roadmap</w:t>
            </w:r>
          </w:p>
        </w:tc>
      </w:tr>
    </w:tbl>
    <w:p/>
    <w:p/>
    <w:p>
      <w:pPr>
        <w:pStyle w:val="Heading3"/>
        <w:spacing w:before="280" w:after="80"/>
      </w:pPr>
      <w:r>
        <w:rPr>
          <w:b/>
          <w:color w:val="005CA8"/>
          <w:sz w:val="26"/>
        </w:rPr>
        <w:t>2.2 Scope Confirmation</w:t>
      </w:r>
    </w:p>
    <w:p/>
    <w:p>
      <w:pPr>
        <w:spacing w:after="80"/>
      </w:pPr>
      <w:r>
        <w:t>This study covers the full value chains of the six chains listed above as defined in the ToR. For each chain the study will deliver:</w:t>
      </w:r>
    </w:p>
    <w:p/>
    <w:p>
      <w:pPr>
        <w:pStyle w:val="ListBullet"/>
        <w:spacing w:after="40"/>
      </w:pPr>
      <w:r>
        <w:t>A complete value chain map from primary inputs to all end products</w:t>
      </w:r>
    </w:p>
    <w:p>
      <w:pPr>
        <w:pStyle w:val="ListBullet"/>
        <w:spacing w:after="40"/>
      </w:pPr>
      <w:r>
        <w:t>A current state assessment (production, firms, employment, capacity utilization, trade)</w:t>
      </w:r>
    </w:p>
    <w:p>
      <w:pPr>
        <w:pStyle w:val="ListBullet"/>
        <w:spacing w:after="40"/>
      </w:pPr>
      <w:r>
        <w:t>A binding constraints analysis across ten dimensions</w:t>
      </w:r>
    </w:p>
    <w:p>
      <w:pPr>
        <w:pStyle w:val="ListBullet"/>
        <w:spacing w:after="40"/>
      </w:pPr>
      <w:r>
        <w:t>A market assessment (domestic, regional EAC/COMESA, export)</w:t>
      </w:r>
    </w:p>
    <w:p>
      <w:pPr>
        <w:pStyle w:val="ListBullet"/>
        <w:spacing w:after="40"/>
      </w:pPr>
      <w:r>
        <w:t>A prioritized product selection (3–4 products per chain) with explicit deprioritization rationale</w:t>
      </w:r>
    </w:p>
    <w:p>
      <w:pPr>
        <w:pStyle w:val="ListBullet"/>
        <w:spacing w:after="40"/>
      </w:pPr>
      <w:r>
        <w:t>A priority action matrix (quick wins, medium term, long term)</w:t>
      </w:r>
    </w:p>
    <w:p/>
    <w:p>
      <w:pPr>
        <w:spacing w:after="80"/>
      </w:pPr>
      <w:r>
        <w:t>The study also delivers two cross-cutting chapters: consolidated policy recommendations and an investment portfolio and implementation roadmap.</w:t>
      </w:r>
    </w:p>
    <w:p/>
    <w:p>
      <w:pPr>
        <w:pStyle w:val="Heading3"/>
        <w:spacing w:before="280" w:after="80"/>
      </w:pPr>
      <w:r>
        <w:rPr>
          <w:b/>
          <w:color w:val="005CA8"/>
          <w:sz w:val="26"/>
        </w:rPr>
        <w:t>2.3 Workplan and Timeline</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Task</w:t>
            </w:r>
          </w:p>
        </w:tc>
        <w:tc>
          <w:tcPr>
            <w:tcW w:type="dxa" w:w="4703"/>
            <w:shd w:val="clear" w:color="auto" w:fill="002B5B"/>
          </w:tcPr>
          <w:p>
            <w:r>
              <w:rPr>
                <w:b/>
                <w:color w:val="FFFFFF"/>
                <w:sz w:val="20"/>
              </w:rPr>
              <w:t>Target Date</w:t>
            </w:r>
          </w:p>
        </w:tc>
      </w:tr>
      <w:tr>
        <w:tc>
          <w:tcPr>
            <w:tcW w:type="dxa" w:w="4703"/>
            <w:shd w:val="clear" w:color="auto" w:fill="D6E8F7"/>
          </w:tcPr>
          <w:p>
            <w:r>
              <w:rPr>
                <w:sz w:val="20"/>
              </w:rPr>
              <w:t>Inception Report submitted for TWG review</w:t>
            </w:r>
          </w:p>
        </w:tc>
        <w:tc>
          <w:tcPr>
            <w:tcW w:type="dxa" w:w="4703"/>
            <w:shd w:val="clear" w:color="auto" w:fill="D6E8F7"/>
          </w:tcPr>
          <w:p>
            <w:r>
              <w:rPr>
                <w:sz w:val="20"/>
              </w:rPr>
              <w:t>29 May 2026</w:t>
            </w:r>
          </w:p>
        </w:tc>
      </w:tr>
      <w:tr>
        <w:tc>
          <w:tcPr>
            <w:tcW w:type="dxa" w:w="4703"/>
            <w:shd w:val="clear" w:color="auto" w:fill="FFFFFF"/>
          </w:tcPr>
          <w:p>
            <w:r>
              <w:rPr>
                <w:sz w:val="20"/>
              </w:rPr>
              <w:t>TWG approval of Inception Report</w:t>
            </w:r>
          </w:p>
        </w:tc>
        <w:tc>
          <w:tcPr>
            <w:tcW w:type="dxa" w:w="4703"/>
            <w:shd w:val="clear" w:color="auto" w:fill="FFFFFF"/>
          </w:tcPr>
          <w:p>
            <w:r>
              <w:rPr>
                <w:sz w:val="20"/>
              </w:rPr>
              <w:t>31 May 2026</w:t>
            </w:r>
          </w:p>
        </w:tc>
      </w:tr>
      <w:tr>
        <w:tc>
          <w:tcPr>
            <w:tcW w:type="dxa" w:w="4703"/>
            <w:shd w:val="clear" w:color="auto" w:fill="D6E8F7"/>
          </w:tcPr>
          <w:p>
            <w:r>
              <w:rPr>
                <w:sz w:val="20"/>
              </w:rPr>
              <w:t>Chapter 2: Background and Policy Context</w:t>
            </w:r>
          </w:p>
        </w:tc>
        <w:tc>
          <w:tcPr>
            <w:tcW w:type="dxa" w:w="4703"/>
            <w:shd w:val="clear" w:color="auto" w:fill="D6E8F7"/>
          </w:tcPr>
          <w:p>
            <w:r>
              <w:rPr>
                <w:sz w:val="20"/>
              </w:rPr>
              <w:t>31 May 2026</w:t>
            </w:r>
          </w:p>
        </w:tc>
      </w:tr>
      <w:tr>
        <w:tc>
          <w:tcPr>
            <w:tcW w:type="dxa" w:w="4703"/>
            <w:shd w:val="clear" w:color="auto" w:fill="FFFFFF"/>
          </w:tcPr>
          <w:p>
            <w:r>
              <w:rPr>
                <w:sz w:val="20"/>
              </w:rPr>
              <w:t>Chapter 3: Methodology and Analytical Framework</w:t>
            </w:r>
          </w:p>
        </w:tc>
        <w:tc>
          <w:tcPr>
            <w:tcW w:type="dxa" w:w="4703"/>
            <w:shd w:val="clear" w:color="auto" w:fill="FFFFFF"/>
          </w:tcPr>
          <w:p>
            <w:r>
              <w:rPr>
                <w:sz w:val="20"/>
              </w:rPr>
              <w:t>1 June 2026</w:t>
            </w:r>
          </w:p>
        </w:tc>
      </w:tr>
      <w:tr>
        <w:tc>
          <w:tcPr>
            <w:tcW w:type="dxa" w:w="4703"/>
            <w:shd w:val="clear" w:color="auto" w:fill="D6E8F7"/>
          </w:tcPr>
          <w:p>
            <w:r>
              <w:rPr>
                <w:sz w:val="20"/>
              </w:rPr>
              <w:t>Chapter 4: Textiles &amp; Garments — draft</w:t>
            </w:r>
          </w:p>
        </w:tc>
        <w:tc>
          <w:tcPr>
            <w:tcW w:type="dxa" w:w="4703"/>
            <w:shd w:val="clear" w:color="auto" w:fill="D6E8F7"/>
          </w:tcPr>
          <w:p>
            <w:r>
              <w:rPr>
                <w:sz w:val="20"/>
              </w:rPr>
              <w:t>2 June 2026</w:t>
            </w:r>
          </w:p>
        </w:tc>
      </w:tr>
      <w:tr>
        <w:tc>
          <w:tcPr>
            <w:tcW w:type="dxa" w:w="4703"/>
            <w:shd w:val="clear" w:color="auto" w:fill="FFFFFF"/>
          </w:tcPr>
          <w:p>
            <w:r>
              <w:rPr>
                <w:sz w:val="20"/>
              </w:rPr>
              <w:t>Chapter 5: Pharmaceuticals — draft</w:t>
            </w:r>
          </w:p>
        </w:tc>
        <w:tc>
          <w:tcPr>
            <w:tcW w:type="dxa" w:w="4703"/>
            <w:shd w:val="clear" w:color="auto" w:fill="FFFFFF"/>
          </w:tcPr>
          <w:p>
            <w:r>
              <w:rPr>
                <w:sz w:val="20"/>
              </w:rPr>
              <w:t>3 June 2026</w:t>
            </w:r>
          </w:p>
        </w:tc>
      </w:tr>
      <w:tr>
        <w:tc>
          <w:tcPr>
            <w:tcW w:type="dxa" w:w="4703"/>
            <w:shd w:val="clear" w:color="auto" w:fill="D6E8F7"/>
          </w:tcPr>
          <w:p>
            <w:r>
              <w:rPr>
                <w:sz w:val="20"/>
              </w:rPr>
              <w:t>Chapter 6: Petrochemicals &amp; Fertilizers — draft</w:t>
            </w:r>
          </w:p>
        </w:tc>
        <w:tc>
          <w:tcPr>
            <w:tcW w:type="dxa" w:w="4703"/>
            <w:shd w:val="clear" w:color="auto" w:fill="D6E8F7"/>
          </w:tcPr>
          <w:p>
            <w:r>
              <w:rPr>
                <w:sz w:val="20"/>
              </w:rPr>
              <w:t>4 June 2026</w:t>
            </w:r>
          </w:p>
        </w:tc>
      </w:tr>
      <w:tr>
        <w:tc>
          <w:tcPr>
            <w:tcW w:type="dxa" w:w="4703"/>
            <w:shd w:val="clear" w:color="auto" w:fill="FFFFFF"/>
          </w:tcPr>
          <w:p>
            <w:r>
              <w:rPr>
                <w:sz w:val="20"/>
              </w:rPr>
              <w:t>Chapter 7: Sugar &amp; Confectionery — draft</w:t>
            </w:r>
          </w:p>
        </w:tc>
        <w:tc>
          <w:tcPr>
            <w:tcW w:type="dxa" w:w="4703"/>
            <w:shd w:val="clear" w:color="auto" w:fill="FFFFFF"/>
          </w:tcPr>
          <w:p>
            <w:r>
              <w:rPr>
                <w:sz w:val="20"/>
              </w:rPr>
              <w:t>5 June 2026</w:t>
            </w:r>
          </w:p>
        </w:tc>
      </w:tr>
      <w:tr>
        <w:tc>
          <w:tcPr>
            <w:tcW w:type="dxa" w:w="4703"/>
            <w:shd w:val="clear" w:color="auto" w:fill="D6E8F7"/>
          </w:tcPr>
          <w:p>
            <w:r>
              <w:rPr>
                <w:sz w:val="20"/>
              </w:rPr>
              <w:t>Chapter 8: Plastics &amp; Packaging — draft</w:t>
            </w:r>
          </w:p>
        </w:tc>
        <w:tc>
          <w:tcPr>
            <w:tcW w:type="dxa" w:w="4703"/>
            <w:shd w:val="clear" w:color="auto" w:fill="D6E8F7"/>
          </w:tcPr>
          <w:p>
            <w:r>
              <w:rPr>
                <w:sz w:val="20"/>
              </w:rPr>
              <w:t>6 June 2026</w:t>
            </w:r>
          </w:p>
        </w:tc>
      </w:tr>
      <w:tr>
        <w:tc>
          <w:tcPr>
            <w:tcW w:type="dxa" w:w="4703"/>
            <w:shd w:val="clear" w:color="auto" w:fill="FFFFFF"/>
          </w:tcPr>
          <w:p>
            <w:r>
              <w:rPr>
                <w:sz w:val="20"/>
              </w:rPr>
              <w:t>Chapter 9: Cement &amp; Building Materials — draft</w:t>
            </w:r>
          </w:p>
        </w:tc>
        <w:tc>
          <w:tcPr>
            <w:tcW w:type="dxa" w:w="4703"/>
            <w:shd w:val="clear" w:color="auto" w:fill="FFFFFF"/>
          </w:tcPr>
          <w:p>
            <w:r>
              <w:rPr>
                <w:sz w:val="20"/>
              </w:rPr>
              <w:t>6 June 2026</w:t>
            </w:r>
          </w:p>
        </w:tc>
      </w:tr>
      <w:tr>
        <w:tc>
          <w:tcPr>
            <w:tcW w:type="dxa" w:w="4703"/>
            <w:shd w:val="clear" w:color="auto" w:fill="D6E8F7"/>
          </w:tcPr>
          <w:p>
            <w:r>
              <w:rPr>
                <w:sz w:val="20"/>
              </w:rPr>
              <w:t>Chapter 10: Cross-cutting recommendations</w:t>
            </w:r>
          </w:p>
        </w:tc>
        <w:tc>
          <w:tcPr>
            <w:tcW w:type="dxa" w:w="4703"/>
            <w:shd w:val="clear" w:color="auto" w:fill="D6E8F7"/>
          </w:tcPr>
          <w:p>
            <w:r>
              <w:rPr>
                <w:sz w:val="20"/>
              </w:rPr>
              <w:t>7 June 2026</w:t>
            </w:r>
          </w:p>
        </w:tc>
      </w:tr>
      <w:tr>
        <w:tc>
          <w:tcPr>
            <w:tcW w:type="dxa" w:w="4703"/>
            <w:shd w:val="clear" w:color="auto" w:fill="FFFFFF"/>
          </w:tcPr>
          <w:p>
            <w:r>
              <w:rPr>
                <w:sz w:val="20"/>
              </w:rPr>
              <w:t>Chapter 11: Investment portfolio and roadmap</w:t>
            </w:r>
          </w:p>
        </w:tc>
        <w:tc>
          <w:tcPr>
            <w:tcW w:type="dxa" w:w="4703"/>
            <w:shd w:val="clear" w:color="auto" w:fill="FFFFFF"/>
          </w:tcPr>
          <w:p>
            <w:r>
              <w:rPr>
                <w:sz w:val="20"/>
              </w:rPr>
              <w:t>7 June 2026</w:t>
            </w:r>
          </w:p>
        </w:tc>
      </w:tr>
      <w:tr>
        <w:tc>
          <w:tcPr>
            <w:tcW w:type="dxa" w:w="4703"/>
            <w:shd w:val="clear" w:color="auto" w:fill="D6E8F7"/>
          </w:tcPr>
          <w:p>
            <w:r>
              <w:rPr>
                <w:sz w:val="20"/>
              </w:rPr>
              <w:t>Chapter 1: Executive Summary</w:t>
            </w:r>
          </w:p>
        </w:tc>
        <w:tc>
          <w:tcPr>
            <w:tcW w:type="dxa" w:w="4703"/>
            <w:shd w:val="clear" w:color="auto" w:fill="D6E8F7"/>
          </w:tcPr>
          <w:p>
            <w:r>
              <w:rPr>
                <w:sz w:val="20"/>
              </w:rPr>
              <w:t>8 June 2026</w:t>
            </w:r>
          </w:p>
        </w:tc>
      </w:tr>
      <w:tr>
        <w:tc>
          <w:tcPr>
            <w:tcW w:type="dxa" w:w="4703"/>
            <w:shd w:val="clear" w:color="auto" w:fill="FFFFFF"/>
          </w:tcPr>
          <w:p>
            <w:r>
              <w:rPr>
                <w:sz w:val="20"/>
              </w:rPr>
              <w:t>Final report submitted to MTIC</w:t>
            </w:r>
          </w:p>
        </w:tc>
        <w:tc>
          <w:tcPr>
            <w:tcW w:type="dxa" w:w="4703"/>
            <w:shd w:val="clear" w:color="auto" w:fill="FFFFFF"/>
          </w:tcPr>
          <w:p>
            <w:r>
              <w:rPr>
                <w:sz w:val="20"/>
              </w:rPr>
              <w:t>8 June 2026</w:t>
            </w:r>
          </w:p>
        </w:tc>
      </w:tr>
    </w:tbl>
    <w:p/>
    <w:p/>
    <w:p>
      <w:pPr>
        <w:pStyle w:val="Heading3"/>
        <w:spacing w:before="280" w:after="80"/>
      </w:pPr>
      <w:r>
        <w:rPr>
          <w:b/>
          <w:color w:val="005CA8"/>
          <w:sz w:val="26"/>
        </w:rPr>
        <w:t>2.4 Gantt Chart</w:t>
      </w:r>
    </w:p>
    <w:p/>
    <w:p>
      <w:pPr>
        <w:spacing w:before="80" w:after="80"/>
      </w:pPr>
      <w:r>
        <w:rPr>
          <w:rFonts w:ascii="Courier New" w:hAnsi="Courier New"/>
          <w:sz w:val="15"/>
        </w:rPr>
        <w:t>Task                              May 29  May 31  Jun 1   Jun 2   Jun 3   Jun 4   Jun 5   Jun 6   Jun 7   Jun 8</w:t>
        <w:br/>
        <w:t>Inception Report draft            ████████</w:t>
        <w:br/>
        <w:t>TWG approval                      ████████</w:t>
        <w:br/>
        <w:t>Ch2 Background and Policy Context         ████████</w:t>
        <w:br/>
        <w:t>Ch3 Methodology and Framework                     ████████</w:t>
        <w:br/>
        <w:t>Ch4 Textiles &amp; Garments                                   ████████</w:t>
        <w:br/>
        <w:t>Ch5 Pharmaceuticals                                               ████████</w:t>
        <w:br/>
        <w:t>Ch6 Petrochemicals &amp; Fertilizers                                          ████████</w:t>
        <w:br/>
        <w:t>Ch7 Sugar &amp; Confectionery                                                         ████████</w:t>
        <w:br/>
        <w:t>Ch8 Plastics &amp; Packaging                                                                  ████████</w:t>
        <w:br/>
        <w:t>Ch9 Cement &amp; Building Materials                                                           ████████</w:t>
        <w:br/>
        <w:t>Ch10 Cross-cutting                                                                                ████████</w:t>
        <w:br/>
        <w:t>Ch11 Investment Roadmap                                                                           ████████</w:t>
        <w:br/>
        <w:t>Ch1 Executive Summary                                                                                     ████████</w:t>
        <w:br/>
        <w:t>Final submission                                                                                          ████████</w:t>
      </w:r>
    </w:p>
    <w:p/>
    <w:p/>
    <w:p/>
    <w:p/>
    <w:p>
      <w:pPr>
        <w:pStyle w:val="Heading2"/>
        <w:spacing w:before="280" w:after="80"/>
      </w:pPr>
      <w:r>
        <w:rPr>
          <w:b/>
          <w:color w:val="002B5B"/>
          <w:sz w:val="32"/>
        </w:rPr>
        <w:t>3. Diagnostic Framework and Assessment Templates</w:t>
      </w:r>
    </w:p>
    <w:p/>
    <w:p>
      <w:pPr>
        <w:spacing w:after="80"/>
      </w:pPr>
      <w:r>
        <w:t>Each value chain chapter follows a consistent six-part analytical framework applied uniformly across all six chains to ensure comparability of findings.</w:t>
      </w:r>
    </w:p>
    <w:p/>
    <w:p>
      <w:pPr>
        <w:pStyle w:val="Heading3"/>
        <w:spacing w:before="280" w:after="80"/>
      </w:pPr>
      <w:r>
        <w:rPr>
          <w:b/>
          <w:color w:val="005CA8"/>
          <w:sz w:val="26"/>
        </w:rPr>
        <w:t>Part A: Value Chain Map</w:t>
      </w:r>
    </w:p>
    <w:p>
      <w:pPr>
        <w:spacing w:after="80"/>
      </w:pPr>
      <w:r>
        <w:t>Full mapping from primary inputs through all intermediate processing stages to final end products. The map identifies: (a) where Uganda currently participates in the chain; (b) where value is lost through export of unprocessed agricultural commodities or import of processed intermediates; (c) where import substitution and export opportunities exist.</w:t>
      </w:r>
    </w:p>
    <w:p/>
    <w:p>
      <w:pPr>
        <w:pStyle w:val="Heading3"/>
        <w:spacing w:before="280" w:after="80"/>
      </w:pPr>
      <w:r>
        <w:rPr>
          <w:b/>
          <w:color w:val="005CA8"/>
          <w:sz w:val="26"/>
        </w:rPr>
        <w:t>Part B: Current State Assessment</w:t>
      </w:r>
    </w:p>
    <w:p>
      <w:pPr>
        <w:spacing w:after="80"/>
      </w:pPr>
      <w:r>
        <w:t>Compilation of production volumes, number of active firms, employment, capacity utilization, export values, and import values. Key public and private sector players identified and mapped against value chain phases.</w:t>
      </w:r>
    </w:p>
    <w:p/>
    <w:p>
      <w:pPr>
        <w:pStyle w:val="Heading3"/>
        <w:spacing w:before="280" w:after="80"/>
      </w:pPr>
      <w:r>
        <w:rPr>
          <w:b/>
          <w:color w:val="005CA8"/>
          <w:sz w:val="26"/>
        </w:rPr>
        <w:t>Part C: Binding Constraints Analysis</w:t>
      </w:r>
    </w:p>
    <w:p>
      <w:pPr>
        <w:spacing w:after="80"/>
      </w:pPr>
      <w:r>
        <w:t>Analysis across ten dimensions applied consistently to each chain: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w:t>
            </w:r>
          </w:p>
        </w:tc>
        <w:tc>
          <w:tcPr>
            <w:tcW w:type="dxa" w:w="4703"/>
            <w:shd w:val="clear" w:color="auto" w:fill="002B5B"/>
          </w:tcPr>
          <w:p>
            <w:r>
              <w:rPr>
                <w:b/>
                <w:color w:val="FFFFFF"/>
                <w:sz w:val="20"/>
              </w:rPr>
              <w:t>Dimension</w:t>
            </w:r>
          </w:p>
        </w:tc>
      </w:tr>
      <w:tr>
        <w:tc>
          <w:tcPr>
            <w:tcW w:type="dxa" w:w="4703"/>
            <w:shd w:val="clear" w:color="auto" w:fill="D6E8F7"/>
          </w:tcPr>
          <w:p>
            <w:r>
              <w:rPr>
                <w:sz w:val="20"/>
              </w:rPr>
              <w:t>1</w:t>
            </w:r>
          </w:p>
        </w:tc>
        <w:tc>
          <w:tcPr>
            <w:tcW w:type="dxa" w:w="4703"/>
            <w:shd w:val="clear" w:color="auto" w:fill="D6E8F7"/>
          </w:tcPr>
          <w:p>
            <w:r>
              <w:rPr>
                <w:sz w:val="20"/>
              </w:rPr>
              <w:t>Inputs and raw materials</w:t>
            </w:r>
          </w:p>
        </w:tc>
      </w:tr>
      <w:tr>
        <w:tc>
          <w:tcPr>
            <w:tcW w:type="dxa" w:w="4703"/>
            <w:shd w:val="clear" w:color="auto" w:fill="FFFFFF"/>
          </w:tcPr>
          <w:p>
            <w:r>
              <w:rPr>
                <w:sz w:val="20"/>
              </w:rPr>
              <w:t>2</w:t>
            </w:r>
          </w:p>
        </w:tc>
        <w:tc>
          <w:tcPr>
            <w:tcW w:type="dxa" w:w="4703"/>
            <w:shd w:val="clear" w:color="auto" w:fill="FFFFFF"/>
          </w:tcPr>
          <w:p>
            <w:r>
              <w:rPr>
                <w:sz w:val="20"/>
              </w:rPr>
              <w:t>Technology and productivity</w:t>
            </w:r>
          </w:p>
        </w:tc>
      </w:tr>
      <w:tr>
        <w:tc>
          <w:tcPr>
            <w:tcW w:type="dxa" w:w="4703"/>
            <w:shd w:val="clear" w:color="auto" w:fill="D6E8F7"/>
          </w:tcPr>
          <w:p>
            <w:r>
              <w:rPr>
                <w:sz w:val="20"/>
              </w:rPr>
              <w:t>3</w:t>
            </w:r>
          </w:p>
        </w:tc>
        <w:tc>
          <w:tcPr>
            <w:tcW w:type="dxa" w:w="4703"/>
            <w:shd w:val="clear" w:color="auto" w:fill="D6E8F7"/>
          </w:tcPr>
          <w:p>
            <w:r>
              <w:rPr>
                <w:sz w:val="20"/>
              </w:rPr>
              <w:t>Energy</w:t>
            </w:r>
          </w:p>
        </w:tc>
      </w:tr>
      <w:tr>
        <w:tc>
          <w:tcPr>
            <w:tcW w:type="dxa" w:w="4703"/>
            <w:shd w:val="clear" w:color="auto" w:fill="FFFFFF"/>
          </w:tcPr>
          <w:p>
            <w:r>
              <w:rPr>
                <w:sz w:val="20"/>
              </w:rPr>
              <w:t>4</w:t>
            </w:r>
          </w:p>
        </w:tc>
        <w:tc>
          <w:tcPr>
            <w:tcW w:type="dxa" w:w="4703"/>
            <w:shd w:val="clear" w:color="auto" w:fill="FFFFFF"/>
          </w:tcPr>
          <w:p>
            <w:r>
              <w:rPr>
                <w:sz w:val="20"/>
              </w:rPr>
              <w:t>Water</w:t>
            </w:r>
          </w:p>
        </w:tc>
      </w:tr>
      <w:tr>
        <w:tc>
          <w:tcPr>
            <w:tcW w:type="dxa" w:w="4703"/>
            <w:shd w:val="clear" w:color="auto" w:fill="D6E8F7"/>
          </w:tcPr>
          <w:p>
            <w:r>
              <w:rPr>
                <w:sz w:val="20"/>
              </w:rPr>
              <w:t>5</w:t>
            </w:r>
          </w:p>
        </w:tc>
        <w:tc>
          <w:tcPr>
            <w:tcW w:type="dxa" w:w="4703"/>
            <w:shd w:val="clear" w:color="auto" w:fill="D6E8F7"/>
          </w:tcPr>
          <w:p>
            <w:r>
              <w:rPr>
                <w:sz w:val="20"/>
              </w:rPr>
              <w:t>Logistics and transport</w:t>
            </w:r>
          </w:p>
        </w:tc>
      </w:tr>
      <w:tr>
        <w:tc>
          <w:tcPr>
            <w:tcW w:type="dxa" w:w="4703"/>
            <w:shd w:val="clear" w:color="auto" w:fill="FFFFFF"/>
          </w:tcPr>
          <w:p>
            <w:r>
              <w:rPr>
                <w:sz w:val="20"/>
              </w:rPr>
              <w:t>6</w:t>
            </w:r>
          </w:p>
        </w:tc>
        <w:tc>
          <w:tcPr>
            <w:tcW w:type="dxa" w:w="4703"/>
            <w:shd w:val="clear" w:color="auto" w:fill="FFFFFF"/>
          </w:tcPr>
          <w:p>
            <w:r>
              <w:rPr>
                <w:sz w:val="20"/>
              </w:rPr>
              <w:t>Waste and effluent management</w:t>
            </w:r>
          </w:p>
        </w:tc>
      </w:tr>
      <w:tr>
        <w:tc>
          <w:tcPr>
            <w:tcW w:type="dxa" w:w="4703"/>
            <w:shd w:val="clear" w:color="auto" w:fill="D6E8F7"/>
          </w:tcPr>
          <w:p>
            <w:r>
              <w:rPr>
                <w:sz w:val="20"/>
              </w:rPr>
              <w:t>7</w:t>
            </w:r>
          </w:p>
        </w:tc>
        <w:tc>
          <w:tcPr>
            <w:tcW w:type="dxa" w:w="4703"/>
            <w:shd w:val="clear" w:color="auto" w:fill="D6E8F7"/>
          </w:tcPr>
          <w:p>
            <w:r>
              <w:rPr>
                <w:sz w:val="20"/>
              </w:rPr>
              <w:t>Finance and investment environment</w:t>
            </w:r>
          </w:p>
        </w:tc>
      </w:tr>
      <w:tr>
        <w:tc>
          <w:tcPr>
            <w:tcW w:type="dxa" w:w="4703"/>
            <w:shd w:val="clear" w:color="auto" w:fill="FFFFFF"/>
          </w:tcPr>
          <w:p>
            <w:r>
              <w:rPr>
                <w:sz w:val="20"/>
              </w:rPr>
              <w:t>8</w:t>
            </w:r>
          </w:p>
        </w:tc>
        <w:tc>
          <w:tcPr>
            <w:tcW w:type="dxa" w:w="4703"/>
            <w:shd w:val="clear" w:color="auto" w:fill="FFFFFF"/>
          </w:tcPr>
          <w:p>
            <w:r>
              <w:rPr>
                <w:sz w:val="20"/>
              </w:rPr>
              <w:t>Skills and workforce</w:t>
            </w:r>
          </w:p>
        </w:tc>
      </w:tr>
      <w:tr>
        <w:tc>
          <w:tcPr>
            <w:tcW w:type="dxa" w:w="4703"/>
            <w:shd w:val="clear" w:color="auto" w:fill="D6E8F7"/>
          </w:tcPr>
          <w:p>
            <w:r>
              <w:rPr>
                <w:sz w:val="20"/>
              </w:rPr>
              <w:t>9</w:t>
            </w:r>
          </w:p>
        </w:tc>
        <w:tc>
          <w:tcPr>
            <w:tcW w:type="dxa" w:w="4703"/>
            <w:shd w:val="clear" w:color="auto" w:fill="D6E8F7"/>
          </w:tcPr>
          <w:p>
            <w:r>
              <w:rPr>
                <w:sz w:val="20"/>
              </w:rPr>
              <w:t>Standards and quality compliance</w:t>
            </w:r>
          </w:p>
        </w:tc>
      </w:tr>
      <w:tr>
        <w:tc>
          <w:tcPr>
            <w:tcW w:type="dxa" w:w="4703"/>
            <w:shd w:val="clear" w:color="auto" w:fill="FFFFFF"/>
          </w:tcPr>
          <w:p>
            <w:r>
              <w:rPr>
                <w:sz w:val="20"/>
              </w:rPr>
              <w:t>10</w:t>
            </w:r>
          </w:p>
        </w:tc>
        <w:tc>
          <w:tcPr>
            <w:tcW w:type="dxa" w:w="4703"/>
            <w:shd w:val="clear" w:color="auto" w:fill="FFFFFF"/>
          </w:tcPr>
          <w:p>
            <w:r>
              <w:rPr>
                <w:sz w:val="20"/>
              </w:rPr>
              <w:t>Policy and regulatory environment</w:t>
            </w:r>
          </w:p>
        </w:tc>
      </w:tr>
    </w:tbl>
    <w:p/>
    <w:p/>
    <w:p>
      <w:pPr>
        <w:pStyle w:val="Heading3"/>
        <w:spacing w:before="280" w:after="80"/>
      </w:pPr>
      <w:r>
        <w:rPr>
          <w:b/>
          <w:color w:val="005CA8"/>
          <w:sz w:val="26"/>
        </w:rPr>
        <w:t>Part D: Market Assessment</w:t>
      </w:r>
    </w:p>
    <w:p>
      <w:pPr>
        <w:spacing w:after="80"/>
      </w:pPr>
      <w:r>
        <w:t>Three-level market assessment: (1) domestic Uganda market; (2) regional East African and COMESA market; (3) global export markets. For each level: market size, growth trajectory, Uganda's current share, competitive landscape, and realistic market access potential.</w:t>
      </w:r>
    </w:p>
    <w:p/>
    <w:p>
      <w:pPr>
        <w:pStyle w:val="Heading3"/>
        <w:spacing w:before="280" w:after="80"/>
      </w:pPr>
      <w:r>
        <w:rPr>
          <w:b/>
          <w:color w:val="005CA8"/>
          <w:sz w:val="26"/>
        </w:rPr>
        <w:t>Part E: Prioritized Products</w:t>
      </w:r>
    </w:p>
    <w:p>
      <w:pPr>
        <w:spacing w:after="80"/>
      </w:pPr>
      <w:r>
        <w:t>Application of the prioritization scoring framework to identify 3–4 products or sub-sectors per chain. Explicit deprioritization of products Uganda should not pursue at this stage, with rationale.</w:t>
      </w:r>
    </w:p>
    <w:p/>
    <w:p>
      <w:pPr>
        <w:pStyle w:val="Heading3"/>
        <w:spacing w:before="280" w:after="80"/>
      </w:pPr>
      <w:r>
        <w:rPr>
          <w:b/>
          <w:color w:val="005CA8"/>
          <w:sz w:val="26"/>
        </w:rPr>
        <w:t>Part F: Priority Action Matrix</w:t>
      </w:r>
    </w:p>
    <w:p>
      <w:pPr>
        <w:spacing w:after="80"/>
      </w:pPr>
      <w:r>
        <w:t>Actions organized by timeframe: quick wins (0–12 months), policy and institutional reforms (1–3 years), investment interventions (3–5 years). Each action specifies the responsible party and indicative investment or cost.</w:t>
      </w:r>
    </w:p>
    <w:p/>
    <w:p/>
    <w:p/>
    <w:p>
      <w:pPr>
        <w:pStyle w:val="Heading2"/>
        <w:spacing w:before="280" w:after="80"/>
      </w:pPr>
      <w:r>
        <w:rPr>
          <w:b/>
          <w:color w:val="002B5B"/>
          <w:sz w:val="32"/>
        </w:rPr>
        <w:t>4. Data Plan</w:t>
      </w:r>
    </w:p>
    <w:p/>
    <w:p>
      <w:pPr>
        <w:pStyle w:val="Heading3"/>
        <w:spacing w:before="280" w:after="80"/>
      </w:pPr>
      <w:r>
        <w:rPr>
          <w:b/>
          <w:color w:val="005CA8"/>
          <w:sz w:val="26"/>
        </w:rPr>
        <w:t>4.1 Primary Data Sources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Value Chain</w:t>
            </w:r>
          </w:p>
        </w:tc>
        <w:tc>
          <w:tcPr>
            <w:tcW w:type="dxa" w:w="4703"/>
            <w:shd w:val="clear" w:color="auto" w:fill="002B5B"/>
          </w:tcPr>
          <w:p>
            <w:r>
              <w:rPr>
                <w:b/>
                <w:color w:val="FFFFFF"/>
                <w:sz w:val="20"/>
              </w:rPr>
              <w:t>Primary Sources</w:t>
            </w:r>
          </w:p>
        </w:tc>
      </w:tr>
      <w:tr>
        <w:tc>
          <w:tcPr>
            <w:tcW w:type="dxa" w:w="4703"/>
            <w:shd w:val="clear" w:color="auto" w:fill="D6E8F7"/>
          </w:tcPr>
          <w:p>
            <w:r>
              <w:rPr>
                <w:sz w:val="20"/>
              </w:rPr>
              <w:t>Textiles &amp; Garments</w:t>
            </w:r>
          </w:p>
        </w:tc>
        <w:tc>
          <w:tcPr>
            <w:tcW w:type="dxa" w:w="4703"/>
            <w:shd w:val="clear" w:color="auto" w:fill="D6E8F7"/>
          </w:tcPr>
          <w:p>
            <w:r>
              <w:rPr>
                <w:sz w:val="20"/>
              </w:rPr>
              <w:t>KIIs with textile mills, garment manufacturers, cotton ginneries; Cotton Development Organisation (CDO) data; URA trade data by HS code</w:t>
            </w:r>
          </w:p>
        </w:tc>
      </w:tr>
      <w:tr>
        <w:tc>
          <w:tcPr>
            <w:tcW w:type="dxa" w:w="4703"/>
            <w:shd w:val="clear" w:color="auto" w:fill="FFFFFF"/>
          </w:tcPr>
          <w:p>
            <w:r>
              <w:rPr>
                <w:sz w:val="20"/>
              </w:rPr>
              <w:t>Pharmaceuticals</w:t>
            </w:r>
          </w:p>
        </w:tc>
        <w:tc>
          <w:tcPr>
            <w:tcW w:type="dxa" w:w="4703"/>
            <w:shd w:val="clear" w:color="auto" w:fill="FFFFFF"/>
          </w:tcPr>
          <w:p>
            <w:r>
              <w:rPr>
                <w:sz w:val="20"/>
              </w:rPr>
              <w:t>KIIs with pharmaceutical manufacturers; National Drug Authority (NDA) data; URA pharmaceutical import data</w:t>
            </w:r>
          </w:p>
        </w:tc>
      </w:tr>
      <w:tr>
        <w:tc>
          <w:tcPr>
            <w:tcW w:type="dxa" w:w="4703"/>
            <w:shd w:val="clear" w:color="auto" w:fill="D6E8F7"/>
          </w:tcPr>
          <w:p>
            <w:r>
              <w:rPr>
                <w:sz w:val="20"/>
              </w:rPr>
              <w:t>Petrochemicals &amp; Fertilizers</w:t>
            </w:r>
          </w:p>
        </w:tc>
        <w:tc>
          <w:tcPr>
            <w:tcW w:type="dxa" w:w="4703"/>
            <w:shd w:val="clear" w:color="auto" w:fill="D6E8F7"/>
          </w:tcPr>
          <w:p>
            <w:r>
              <w:rPr>
                <w:sz w:val="20"/>
              </w:rPr>
              <w:t>KIIs with fertilizer blenders; Ministry of Energy data on oil and gas feedstocks; URA chemical import data</w:t>
            </w:r>
          </w:p>
        </w:tc>
      </w:tr>
      <w:tr>
        <w:tc>
          <w:tcPr>
            <w:tcW w:type="dxa" w:w="4703"/>
            <w:shd w:val="clear" w:color="auto" w:fill="FFFFFF"/>
          </w:tcPr>
          <w:p>
            <w:r>
              <w:rPr>
                <w:sz w:val="20"/>
              </w:rPr>
              <w:t>Sugar &amp; Confectionery</w:t>
            </w:r>
          </w:p>
        </w:tc>
        <w:tc>
          <w:tcPr>
            <w:tcW w:type="dxa" w:w="4703"/>
            <w:shd w:val="clear" w:color="auto" w:fill="FFFFFF"/>
          </w:tcPr>
          <w:p>
            <w:r>
              <w:rPr>
                <w:sz w:val="20"/>
              </w:rPr>
              <w:t>KIIs with sugar manufacturers (Kakira, SCOUL, others); Uganda Sugar Board data; URA sugar trade data</w:t>
            </w:r>
          </w:p>
        </w:tc>
      </w:tr>
      <w:tr>
        <w:tc>
          <w:tcPr>
            <w:tcW w:type="dxa" w:w="4703"/>
            <w:shd w:val="clear" w:color="auto" w:fill="D6E8F7"/>
          </w:tcPr>
          <w:p>
            <w:r>
              <w:rPr>
                <w:sz w:val="20"/>
              </w:rPr>
              <w:t>Plastics &amp; Packaging</w:t>
            </w:r>
          </w:p>
        </w:tc>
        <w:tc>
          <w:tcPr>
            <w:tcW w:type="dxa" w:w="4703"/>
            <w:shd w:val="clear" w:color="auto" w:fill="D6E8F7"/>
          </w:tcPr>
          <w:p>
            <w:r>
              <w:rPr>
                <w:sz w:val="20"/>
              </w:rPr>
              <w:t>KIIs with plastics manufacturers and recyclers; URA plastic import data; NEMA data on plastic waste</w:t>
            </w:r>
          </w:p>
        </w:tc>
      </w:tr>
      <w:tr>
        <w:tc>
          <w:tcPr>
            <w:tcW w:type="dxa" w:w="4703"/>
            <w:shd w:val="clear" w:color="auto" w:fill="FFFFFF"/>
          </w:tcPr>
          <w:p>
            <w:r>
              <w:rPr>
                <w:sz w:val="20"/>
              </w:rPr>
              <w:t>Cement &amp; Building Materials</w:t>
            </w:r>
          </w:p>
        </w:tc>
        <w:tc>
          <w:tcPr>
            <w:tcW w:type="dxa" w:w="4703"/>
            <w:shd w:val="clear" w:color="auto" w:fill="FFFFFF"/>
          </w:tcPr>
          <w:p>
            <w:r>
              <w:rPr>
                <w:sz w:val="20"/>
              </w:rPr>
              <w:t>KIIs with cement plants; Uganda Cement Industry Association data; URA cement trade data; limestone reserve data from MEMD</w:t>
            </w:r>
          </w:p>
        </w:tc>
      </w:tr>
    </w:tbl>
    <w:p/>
    <w:p/>
    <w:p>
      <w:pPr>
        <w:pStyle w:val="Heading3"/>
        <w:spacing w:before="280" w:after="80"/>
      </w:pPr>
      <w:r>
        <w:rPr>
          <w:b/>
          <w:color w:val="005CA8"/>
          <w:sz w:val="26"/>
        </w:rPr>
        <w:t>4.2 Secondary Data Sources</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Source</w:t>
            </w:r>
          </w:p>
        </w:tc>
        <w:tc>
          <w:tcPr>
            <w:tcW w:type="dxa" w:w="4703"/>
            <w:shd w:val="clear" w:color="auto" w:fill="002B5B"/>
          </w:tcPr>
          <w:p>
            <w:r>
              <w:rPr>
                <w:b/>
                <w:color w:val="FFFFFF"/>
                <w:sz w:val="20"/>
              </w:rPr>
              <w:t>Use</w:t>
            </w:r>
          </w:p>
        </w:tc>
      </w:tr>
      <w:tr>
        <w:tc>
          <w:tcPr>
            <w:tcW w:type="dxa" w:w="4703"/>
            <w:shd w:val="clear" w:color="auto" w:fill="D6E8F7"/>
          </w:tcPr>
          <w:p>
            <w:r>
              <w:rPr>
                <w:sz w:val="20"/>
              </w:rPr>
              <w:t>Uganda Bureau of Statistics (UBOS)</w:t>
            </w:r>
          </w:p>
        </w:tc>
        <w:tc>
          <w:tcPr>
            <w:tcW w:type="dxa" w:w="4703"/>
            <w:shd w:val="clear" w:color="auto" w:fill="D6E8F7"/>
          </w:tcPr>
          <w:p>
            <w:r>
              <w:rPr>
                <w:sz w:val="20"/>
              </w:rPr>
              <w:t>Production, employment, national accounts</w:t>
            </w:r>
          </w:p>
        </w:tc>
      </w:tr>
      <w:tr>
        <w:tc>
          <w:tcPr>
            <w:tcW w:type="dxa" w:w="4703"/>
            <w:shd w:val="clear" w:color="auto" w:fill="FFFFFF"/>
          </w:tcPr>
          <w:p>
            <w:r>
              <w:rPr>
                <w:sz w:val="20"/>
              </w:rPr>
              <w:t>Uganda Revenue Authority (URA) trade data</w:t>
            </w:r>
          </w:p>
        </w:tc>
        <w:tc>
          <w:tcPr>
            <w:tcW w:type="dxa" w:w="4703"/>
            <w:shd w:val="clear" w:color="auto" w:fill="FFFFFF"/>
          </w:tcPr>
          <w:p>
            <w:r>
              <w:rPr>
                <w:sz w:val="20"/>
              </w:rPr>
              <w:t>Import/export volumes and values by HS code for all six chains</w:t>
            </w:r>
          </w:p>
        </w:tc>
      </w:tr>
      <w:tr>
        <w:tc>
          <w:tcPr>
            <w:tcW w:type="dxa" w:w="4703"/>
            <w:shd w:val="clear" w:color="auto" w:fill="D6E8F7"/>
          </w:tcPr>
          <w:p>
            <w:r>
              <w:rPr>
                <w:sz w:val="20"/>
              </w:rPr>
              <w:t>Uganda Investment Authority (UIA)</w:t>
            </w:r>
          </w:p>
        </w:tc>
        <w:tc>
          <w:tcPr>
            <w:tcW w:type="dxa" w:w="4703"/>
            <w:shd w:val="clear" w:color="auto" w:fill="D6E8F7"/>
          </w:tcPr>
          <w:p>
            <w:r>
              <w:rPr>
                <w:sz w:val="20"/>
              </w:rPr>
              <w:t>Investment project registry across all six chains</w:t>
            </w:r>
          </w:p>
        </w:tc>
      </w:tr>
      <w:tr>
        <w:tc>
          <w:tcPr>
            <w:tcW w:type="dxa" w:w="4703"/>
            <w:shd w:val="clear" w:color="auto" w:fill="FFFFFF"/>
          </w:tcPr>
          <w:p>
            <w:r>
              <w:rPr>
                <w:sz w:val="20"/>
              </w:rPr>
              <w:t>National Drug Authority (NDA)</w:t>
            </w:r>
          </w:p>
        </w:tc>
        <w:tc>
          <w:tcPr>
            <w:tcW w:type="dxa" w:w="4703"/>
            <w:shd w:val="clear" w:color="auto" w:fill="FFFFFF"/>
          </w:tcPr>
          <w:p>
            <w:r>
              <w:rPr>
                <w:sz w:val="20"/>
              </w:rPr>
              <w:t>Pharmaceutical manufacturer register; medicines import data</w:t>
            </w:r>
          </w:p>
        </w:tc>
      </w:tr>
      <w:tr>
        <w:tc>
          <w:tcPr>
            <w:tcW w:type="dxa" w:w="4703"/>
            <w:shd w:val="clear" w:color="auto" w:fill="D6E8F7"/>
          </w:tcPr>
          <w:p>
            <w:r>
              <w:rPr>
                <w:sz w:val="20"/>
              </w:rPr>
              <w:t>Cotton Development Organisation (CDO)</w:t>
            </w:r>
          </w:p>
        </w:tc>
        <w:tc>
          <w:tcPr>
            <w:tcW w:type="dxa" w:w="4703"/>
            <w:shd w:val="clear" w:color="auto" w:fill="D6E8F7"/>
          </w:tcPr>
          <w:p>
            <w:r>
              <w:rPr>
                <w:sz w:val="20"/>
              </w:rPr>
              <w:t>Cotton production, ginning, and lint export data</w:t>
            </w:r>
          </w:p>
        </w:tc>
      </w:tr>
      <w:tr>
        <w:tc>
          <w:tcPr>
            <w:tcW w:type="dxa" w:w="4703"/>
            <w:shd w:val="clear" w:color="auto" w:fill="FFFFFF"/>
          </w:tcPr>
          <w:p>
            <w:r>
              <w:rPr>
                <w:sz w:val="20"/>
              </w:rPr>
              <w:t>Uganda Sugar Board</w:t>
            </w:r>
          </w:p>
        </w:tc>
        <w:tc>
          <w:tcPr>
            <w:tcW w:type="dxa" w:w="4703"/>
            <w:shd w:val="clear" w:color="auto" w:fill="FFFFFF"/>
          </w:tcPr>
          <w:p>
            <w:r>
              <w:rPr>
                <w:sz w:val="20"/>
              </w:rPr>
              <w:t>Sugar production, consumption, and trade data</w:t>
            </w:r>
          </w:p>
        </w:tc>
      </w:tr>
      <w:tr>
        <w:tc>
          <w:tcPr>
            <w:tcW w:type="dxa" w:w="4703"/>
            <w:shd w:val="clear" w:color="auto" w:fill="D6E8F7"/>
          </w:tcPr>
          <w:p>
            <w:r>
              <w:rPr>
                <w:sz w:val="20"/>
              </w:rPr>
              <w:t>UN Comtrade / ITC Trade Map</w:t>
            </w:r>
          </w:p>
        </w:tc>
        <w:tc>
          <w:tcPr>
            <w:tcW w:type="dxa" w:w="4703"/>
            <w:shd w:val="clear" w:color="auto" w:fill="D6E8F7"/>
          </w:tcPr>
          <w:p>
            <w:r>
              <w:rPr>
                <w:sz w:val="20"/>
              </w:rPr>
              <w:t>Regional and global market sizing for all six chains</w:t>
            </w:r>
          </w:p>
        </w:tc>
      </w:tr>
      <w:tr>
        <w:tc>
          <w:tcPr>
            <w:tcW w:type="dxa" w:w="4703"/>
            <w:shd w:val="clear" w:color="auto" w:fill="FFFFFF"/>
          </w:tcPr>
          <w:p>
            <w:r>
              <w:rPr>
                <w:sz w:val="20"/>
              </w:rPr>
              <w:t>WHO / UNIDO pharmaceutical sector reports</w:t>
            </w:r>
          </w:p>
        </w:tc>
        <w:tc>
          <w:tcPr>
            <w:tcW w:type="dxa" w:w="4703"/>
            <w:shd w:val="clear" w:color="auto" w:fill="FFFFFF"/>
          </w:tcPr>
          <w:p>
            <w:r>
              <w:rPr>
                <w:sz w:val="20"/>
              </w:rPr>
              <w:t>Global pharmaceutical market and local manufacturing benchmarks</w:t>
            </w:r>
          </w:p>
        </w:tc>
      </w:tr>
      <w:tr>
        <w:tc>
          <w:tcPr>
            <w:tcW w:type="dxa" w:w="4703"/>
            <w:shd w:val="clear" w:color="auto" w:fill="D6E8F7"/>
          </w:tcPr>
          <w:p>
            <w:r>
              <w:rPr>
                <w:sz w:val="20"/>
              </w:rPr>
              <w:t>World Cement Association</w:t>
            </w:r>
          </w:p>
        </w:tc>
        <w:tc>
          <w:tcPr>
            <w:tcW w:type="dxa" w:w="4703"/>
            <w:shd w:val="clear" w:color="auto" w:fill="D6E8F7"/>
          </w:tcPr>
          <w:p>
            <w:r>
              <w:rPr>
                <w:sz w:val="20"/>
              </w:rPr>
              <w:t>Global cement market data and benchmarks</w:t>
            </w:r>
          </w:p>
        </w:tc>
      </w:tr>
      <w:tr>
        <w:tc>
          <w:tcPr>
            <w:tcW w:type="dxa" w:w="4703"/>
            <w:shd w:val="clear" w:color="auto" w:fill="FFFFFF"/>
          </w:tcPr>
          <w:p>
            <w:r>
              <w:rPr>
                <w:sz w:val="20"/>
              </w:rPr>
              <w:t>IFA (International Fertilizer Association)</w:t>
            </w:r>
          </w:p>
        </w:tc>
        <w:tc>
          <w:tcPr>
            <w:tcW w:type="dxa" w:w="4703"/>
            <w:shd w:val="clear" w:color="auto" w:fill="FFFFFF"/>
          </w:tcPr>
          <w:p>
            <w:r>
              <w:rPr>
                <w:sz w:val="20"/>
              </w:rPr>
              <w:t>Global fertilizer market and African consumption data</w:t>
            </w:r>
          </w:p>
        </w:tc>
      </w:tr>
    </w:tbl>
    <w:p/>
    <w:p/>
    <w:p>
      <w:pPr>
        <w:pStyle w:val="Heading3"/>
        <w:spacing w:before="280" w:after="80"/>
      </w:pPr>
      <w:r>
        <w:rPr>
          <w:b/>
          <w:color w:val="005CA8"/>
          <w:sz w:val="26"/>
        </w:rPr>
        <w:t>4.3 Data Gaps and Mitigation</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20"/>
              </w:rPr>
              <w:t>Gap</w:t>
            </w:r>
          </w:p>
        </w:tc>
        <w:tc>
          <w:tcPr>
            <w:tcW w:type="dxa" w:w="3135"/>
            <w:shd w:val="clear" w:color="auto" w:fill="002B5B"/>
          </w:tcPr>
          <w:p>
            <w:r>
              <w:rPr>
                <w:b/>
                <w:color w:val="FFFFFF"/>
                <w:sz w:val="20"/>
              </w:rPr>
              <w:t>Chain(s) affected</w:t>
            </w:r>
          </w:p>
        </w:tc>
        <w:tc>
          <w:tcPr>
            <w:tcW w:type="dxa" w:w="3135"/>
            <w:shd w:val="clear" w:color="auto" w:fill="002B5B"/>
          </w:tcPr>
          <w:p>
            <w:r>
              <w:rPr>
                <w:b/>
                <w:color w:val="FFFFFF"/>
                <w:sz w:val="20"/>
              </w:rPr>
              <w:t>Mitigation</w:t>
            </w:r>
          </w:p>
        </w:tc>
      </w:tr>
      <w:tr>
        <w:tc>
          <w:tcPr>
            <w:tcW w:type="dxa" w:w="3135"/>
            <w:shd w:val="clear" w:color="auto" w:fill="D6E8F7"/>
          </w:tcPr>
          <w:p>
            <w:r>
              <w:rPr>
                <w:sz w:val="20"/>
              </w:rPr>
              <w:t>Firm-level production capacity data</w:t>
            </w:r>
          </w:p>
        </w:tc>
        <w:tc>
          <w:tcPr>
            <w:tcW w:type="dxa" w:w="3135"/>
            <w:shd w:val="clear" w:color="auto" w:fill="D6E8F7"/>
          </w:tcPr>
          <w:p>
            <w:r>
              <w:rPr>
                <w:sz w:val="20"/>
              </w:rPr>
              <w:t>All six chains</w:t>
            </w:r>
          </w:p>
        </w:tc>
        <w:tc>
          <w:tcPr>
            <w:tcW w:type="dxa" w:w="3135"/>
            <w:shd w:val="clear" w:color="auto" w:fill="D6E8F7"/>
          </w:tcPr>
          <w:p>
            <w:r>
              <w:rPr>
                <w:sz w:val="20"/>
              </w:rPr>
              <w:t>KIIs with UMA member firms; URA HS code trade data as proxy</w:t>
            </w:r>
          </w:p>
        </w:tc>
      </w:tr>
      <w:tr>
        <w:tc>
          <w:tcPr>
            <w:tcW w:type="dxa" w:w="3135"/>
            <w:shd w:val="clear" w:color="auto" w:fill="FFFFFF"/>
          </w:tcPr>
          <w:p>
            <w:r>
              <w:rPr>
                <w:sz w:val="20"/>
              </w:rPr>
              <w:t>Cotton lint processing capacity vs. installed capacity</w:t>
            </w:r>
          </w:p>
        </w:tc>
        <w:tc>
          <w:tcPr>
            <w:tcW w:type="dxa" w:w="3135"/>
            <w:shd w:val="clear" w:color="auto" w:fill="FFFFFF"/>
          </w:tcPr>
          <w:p>
            <w:r>
              <w:rPr>
                <w:sz w:val="20"/>
              </w:rPr>
              <w:t>Textiles &amp; Garments</w:t>
            </w:r>
          </w:p>
        </w:tc>
        <w:tc>
          <w:tcPr>
            <w:tcW w:type="dxa" w:w="3135"/>
            <w:shd w:val="clear" w:color="auto" w:fill="FFFFFF"/>
          </w:tcPr>
          <w:p>
            <w:r>
              <w:rPr>
                <w:sz w:val="20"/>
              </w:rPr>
              <w:t>CDO consultation; UMA textile members</w:t>
            </w:r>
          </w:p>
        </w:tc>
      </w:tr>
      <w:tr>
        <w:tc>
          <w:tcPr>
            <w:tcW w:type="dxa" w:w="3135"/>
            <w:shd w:val="clear" w:color="auto" w:fill="D6E8F7"/>
          </w:tcPr>
          <w:p>
            <w:r>
              <w:rPr>
                <w:sz w:val="20"/>
              </w:rPr>
              <w:t>Pharmaceutical manufacturing output by product type</w:t>
            </w:r>
          </w:p>
        </w:tc>
        <w:tc>
          <w:tcPr>
            <w:tcW w:type="dxa" w:w="3135"/>
            <w:shd w:val="clear" w:color="auto" w:fill="D6E8F7"/>
          </w:tcPr>
          <w:p>
            <w:r>
              <w:rPr>
                <w:sz w:val="20"/>
              </w:rPr>
              <w:t>Pharmaceuticals</w:t>
            </w:r>
          </w:p>
        </w:tc>
        <w:tc>
          <w:tcPr>
            <w:tcW w:type="dxa" w:w="3135"/>
            <w:shd w:val="clear" w:color="auto" w:fill="D6E8F7"/>
          </w:tcPr>
          <w:p>
            <w:r>
              <w:rPr>
                <w:sz w:val="20"/>
              </w:rPr>
              <w:t>NDA manufacturer register; KIIs with top 10 manufacturers</w:t>
            </w:r>
          </w:p>
        </w:tc>
      </w:tr>
      <w:tr>
        <w:tc>
          <w:tcPr>
            <w:tcW w:type="dxa" w:w="3135"/>
            <w:shd w:val="clear" w:color="auto" w:fill="FFFFFF"/>
          </w:tcPr>
          <w:p>
            <w:r>
              <w:rPr>
                <w:sz w:val="20"/>
              </w:rPr>
              <w:t>Petrochemical feedstock availability timeline</w:t>
            </w:r>
          </w:p>
        </w:tc>
        <w:tc>
          <w:tcPr>
            <w:tcW w:type="dxa" w:w="3135"/>
            <w:shd w:val="clear" w:color="auto" w:fill="FFFFFF"/>
          </w:tcPr>
          <w:p>
            <w:r>
              <w:rPr>
                <w:sz w:val="20"/>
              </w:rPr>
              <w:t>Petrochemicals &amp; Fertilizers</w:t>
            </w:r>
          </w:p>
        </w:tc>
        <w:tc>
          <w:tcPr>
            <w:tcW w:type="dxa" w:w="3135"/>
            <w:shd w:val="clear" w:color="auto" w:fill="FFFFFF"/>
          </w:tcPr>
          <w:p>
            <w:r>
              <w:rPr>
                <w:sz w:val="20"/>
              </w:rPr>
              <w:t>Ministry of Energy and TOTAL/CNOOC/Tullow project data</w:t>
            </w:r>
          </w:p>
        </w:tc>
      </w:tr>
      <w:tr>
        <w:tc>
          <w:tcPr>
            <w:tcW w:type="dxa" w:w="3135"/>
            <w:shd w:val="clear" w:color="auto" w:fill="D6E8F7"/>
          </w:tcPr>
          <w:p>
            <w:r>
              <w:rPr>
                <w:sz w:val="20"/>
              </w:rPr>
              <w:t>Plastics recycling capacity and waste volumes</w:t>
            </w:r>
          </w:p>
        </w:tc>
        <w:tc>
          <w:tcPr>
            <w:tcW w:type="dxa" w:w="3135"/>
            <w:shd w:val="clear" w:color="auto" w:fill="D6E8F7"/>
          </w:tcPr>
          <w:p>
            <w:r>
              <w:rPr>
                <w:sz w:val="20"/>
              </w:rPr>
              <w:t>Plastics &amp; Packaging</w:t>
            </w:r>
          </w:p>
        </w:tc>
        <w:tc>
          <w:tcPr>
            <w:tcW w:type="dxa" w:w="3135"/>
            <w:shd w:val="clear" w:color="auto" w:fill="D6E8F7"/>
          </w:tcPr>
          <w:p>
            <w:r>
              <w:rPr>
                <w:sz w:val="20"/>
              </w:rPr>
              <w:t>NEMA; KIIs with recyclers</w:t>
            </w:r>
          </w:p>
        </w:tc>
      </w:tr>
      <w:tr>
        <w:tc>
          <w:tcPr>
            <w:tcW w:type="dxa" w:w="3135"/>
            <w:shd w:val="clear" w:color="auto" w:fill="FFFFFF"/>
          </w:tcPr>
          <w:p>
            <w:r>
              <w:rPr>
                <w:sz w:val="20"/>
              </w:rPr>
              <w:t>Limestone reserve quality and location data</w:t>
            </w:r>
          </w:p>
        </w:tc>
        <w:tc>
          <w:tcPr>
            <w:tcW w:type="dxa" w:w="3135"/>
            <w:shd w:val="clear" w:color="auto" w:fill="FFFFFF"/>
          </w:tcPr>
          <w:p>
            <w:r>
              <w:rPr>
                <w:sz w:val="20"/>
              </w:rPr>
              <w:t>Cement &amp; Building Materials</w:t>
            </w:r>
          </w:p>
        </w:tc>
        <w:tc>
          <w:tcPr>
            <w:tcW w:type="dxa" w:w="3135"/>
            <w:shd w:val="clear" w:color="auto" w:fill="FFFFFF"/>
          </w:tcPr>
          <w:p>
            <w:r>
              <w:rPr>
                <w:sz w:val="20"/>
              </w:rPr>
              <w:t>MEMD geological survey data</w:t>
            </w:r>
          </w:p>
        </w:tc>
      </w:tr>
    </w:tbl>
    <w:p/>
    <w:p/>
    <w:p/>
    <w:p/>
    <w:p>
      <w:pPr>
        <w:pStyle w:val="Heading2"/>
        <w:spacing w:before="280" w:after="80"/>
      </w:pPr>
      <w:r>
        <w:rPr>
          <w:b/>
          <w:color w:val="002B5B"/>
          <w:sz w:val="32"/>
        </w:rPr>
        <w:t>5. Stakeholder Consultation Plan</w:t>
      </w:r>
    </w:p>
    <w:p/>
    <w:p>
      <w:pPr>
        <w:pStyle w:val="Heading3"/>
        <w:spacing w:before="280" w:after="80"/>
      </w:pPr>
      <w:r>
        <w:rPr>
          <w:b/>
          <w:color w:val="005CA8"/>
          <w:sz w:val="26"/>
        </w:rPr>
        <w:t>5.1 Key Informant Interviews (KIIs)</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002B5B"/>
          </w:tcPr>
          <w:p>
            <w:r>
              <w:rPr>
                <w:b/>
                <w:color w:val="FFFFFF"/>
                <w:sz w:val="20"/>
              </w:rPr>
              <w:t>Stakeholder category</w:t>
            </w:r>
          </w:p>
        </w:tc>
        <w:tc>
          <w:tcPr>
            <w:tcW w:type="dxa" w:w="3135"/>
            <w:shd w:val="clear" w:color="auto" w:fill="002B5B"/>
          </w:tcPr>
          <w:p>
            <w:r>
              <w:rPr>
                <w:b/>
                <w:color w:val="FFFFFF"/>
                <w:sz w:val="20"/>
              </w:rPr>
              <w:t>Institutions / firms</w:t>
            </w:r>
          </w:p>
        </w:tc>
        <w:tc>
          <w:tcPr>
            <w:tcW w:type="dxa" w:w="3135"/>
            <w:shd w:val="clear" w:color="auto" w:fill="002B5B"/>
          </w:tcPr>
          <w:p>
            <w:r>
              <w:rPr>
                <w:b/>
                <w:color w:val="FFFFFF"/>
                <w:sz w:val="20"/>
              </w:rPr>
              <w:t>Chain(s)</w:t>
            </w:r>
          </w:p>
        </w:tc>
      </w:tr>
      <w:tr>
        <w:tc>
          <w:tcPr>
            <w:tcW w:type="dxa" w:w="3135"/>
            <w:shd w:val="clear" w:color="auto" w:fill="D6E8F7"/>
          </w:tcPr>
          <w:p>
            <w:r>
              <w:rPr>
                <w:sz w:val="20"/>
              </w:rPr>
            </w:r>
            <w:r>
              <w:rPr>
                <w:b/>
                <w:sz w:val="20"/>
              </w:rPr>
              <w:t>Public sector</w:t>
            </w:r>
            <w:r>
              <w:rPr>
                <w:sz w:val="20"/>
              </w:rPr>
            </w:r>
          </w:p>
        </w:tc>
        <w:tc>
          <w:tcPr>
            <w:tcW w:type="dxa" w:w="3135"/>
            <w:shd w:val="clear" w:color="auto" w:fill="D6E8F7"/>
          </w:tcPr>
          <w:p>
            <w:r>
              <w:rPr>
                <w:sz w:val="20"/>
              </w:rPr>
              <w:t>MTIC, UIA, URA, UBOS, UNBS, UEPB, NDA, CDO, Uganda Sugar Board, NEMA, Ministry of Energy</w:t>
            </w:r>
          </w:p>
        </w:tc>
        <w:tc>
          <w:tcPr>
            <w:tcW w:type="dxa" w:w="3135"/>
            <w:shd w:val="clear" w:color="auto" w:fill="D6E8F7"/>
          </w:tcPr>
          <w:p>
            <w:r>
              <w:rPr>
                <w:sz w:val="20"/>
              </w:rPr>
              <w:t>All</w:t>
            </w:r>
          </w:p>
        </w:tc>
      </w:tr>
      <w:tr>
        <w:tc>
          <w:tcPr>
            <w:tcW w:type="dxa" w:w="3135"/>
            <w:shd w:val="clear" w:color="auto" w:fill="FFFFFF"/>
          </w:tcPr>
          <w:p>
            <w:r>
              <w:rPr>
                <w:sz w:val="20"/>
              </w:rPr>
            </w:r>
            <w:r>
              <w:rPr>
                <w:b/>
                <w:sz w:val="20"/>
              </w:rPr>
              <w:t>Private sector — Textiles</w:t>
            </w:r>
            <w:r>
              <w:rPr>
                <w:sz w:val="20"/>
              </w:rPr>
            </w:r>
          </w:p>
        </w:tc>
        <w:tc>
          <w:tcPr>
            <w:tcW w:type="dxa" w:w="3135"/>
            <w:shd w:val="clear" w:color="auto" w:fill="FFFFFF"/>
          </w:tcPr>
          <w:p>
            <w:r>
              <w:rPr>
                <w:sz w:val="20"/>
              </w:rPr>
              <w:t>Nytil, Phenix Logistics, garment exporters, cotton ginneries</w:t>
            </w:r>
          </w:p>
        </w:tc>
        <w:tc>
          <w:tcPr>
            <w:tcW w:type="dxa" w:w="3135"/>
            <w:shd w:val="clear" w:color="auto" w:fill="FFFFFF"/>
          </w:tcPr>
          <w:p>
            <w:r>
              <w:rPr>
                <w:sz w:val="20"/>
              </w:rPr>
              <w:t>Textiles &amp; Garments</w:t>
            </w:r>
          </w:p>
        </w:tc>
      </w:tr>
      <w:tr>
        <w:tc>
          <w:tcPr>
            <w:tcW w:type="dxa" w:w="3135"/>
            <w:shd w:val="clear" w:color="auto" w:fill="D6E8F7"/>
          </w:tcPr>
          <w:p>
            <w:r>
              <w:rPr>
                <w:sz w:val="20"/>
              </w:rPr>
            </w:r>
            <w:r>
              <w:rPr>
                <w:b/>
                <w:sz w:val="20"/>
              </w:rPr>
              <w:t>Private sector — Pharmaceuticals</w:t>
            </w:r>
            <w:r>
              <w:rPr>
                <w:sz w:val="20"/>
              </w:rPr>
            </w:r>
          </w:p>
        </w:tc>
        <w:tc>
          <w:tcPr>
            <w:tcW w:type="dxa" w:w="3135"/>
            <w:shd w:val="clear" w:color="auto" w:fill="D6E8F7"/>
          </w:tcPr>
          <w:p>
            <w:r>
              <w:rPr>
                <w:sz w:val="20"/>
              </w:rPr>
              <w:t>Cipla Quality Chemical, Abacus Pharma, Rene Industries, Joint Medical Store</w:t>
            </w:r>
          </w:p>
        </w:tc>
        <w:tc>
          <w:tcPr>
            <w:tcW w:type="dxa" w:w="3135"/>
            <w:shd w:val="clear" w:color="auto" w:fill="D6E8F7"/>
          </w:tcPr>
          <w:p>
            <w:r>
              <w:rPr>
                <w:sz w:val="20"/>
              </w:rPr>
              <w:t>Pharmaceuticals</w:t>
            </w:r>
          </w:p>
        </w:tc>
      </w:tr>
      <w:tr>
        <w:tc>
          <w:tcPr>
            <w:tcW w:type="dxa" w:w="3135"/>
            <w:shd w:val="clear" w:color="auto" w:fill="FFFFFF"/>
          </w:tcPr>
          <w:p>
            <w:r>
              <w:rPr>
                <w:sz w:val="20"/>
              </w:rPr>
            </w:r>
            <w:r>
              <w:rPr>
                <w:b/>
                <w:sz w:val="20"/>
              </w:rPr>
              <w:t>Private sector — Petrochemicals</w:t>
            </w:r>
            <w:r>
              <w:rPr>
                <w:sz w:val="20"/>
              </w:rPr>
            </w:r>
          </w:p>
        </w:tc>
        <w:tc>
          <w:tcPr>
            <w:tcW w:type="dxa" w:w="3135"/>
            <w:shd w:val="clear" w:color="auto" w:fill="FFFFFF"/>
          </w:tcPr>
          <w:p>
            <w:r>
              <w:rPr>
                <w:sz w:val="20"/>
              </w:rPr>
              <w:t>Fertilizer blenders, petroleum distributors, oil sector players</w:t>
            </w:r>
          </w:p>
        </w:tc>
        <w:tc>
          <w:tcPr>
            <w:tcW w:type="dxa" w:w="3135"/>
            <w:shd w:val="clear" w:color="auto" w:fill="FFFFFF"/>
          </w:tcPr>
          <w:p>
            <w:r>
              <w:rPr>
                <w:sz w:val="20"/>
              </w:rPr>
              <w:t>Petrochemicals &amp; Fertilizers</w:t>
            </w:r>
          </w:p>
        </w:tc>
      </w:tr>
      <w:tr>
        <w:tc>
          <w:tcPr>
            <w:tcW w:type="dxa" w:w="3135"/>
            <w:shd w:val="clear" w:color="auto" w:fill="D6E8F7"/>
          </w:tcPr>
          <w:p>
            <w:r>
              <w:rPr>
                <w:sz w:val="20"/>
              </w:rPr>
            </w:r>
            <w:r>
              <w:rPr>
                <w:b/>
                <w:sz w:val="20"/>
              </w:rPr>
              <w:t>Private sector — Sugar</w:t>
            </w:r>
            <w:r>
              <w:rPr>
                <w:sz w:val="20"/>
              </w:rPr>
            </w:r>
          </w:p>
        </w:tc>
        <w:tc>
          <w:tcPr>
            <w:tcW w:type="dxa" w:w="3135"/>
            <w:shd w:val="clear" w:color="auto" w:fill="D6E8F7"/>
          </w:tcPr>
          <w:p>
            <w:r>
              <w:rPr>
                <w:sz w:val="20"/>
              </w:rPr>
              <w:t>Kakira Sugar Works, Sugar Corporation of Uganda (SCOUL), Kinyara Sugar, Mayuge Sugar</w:t>
            </w:r>
          </w:p>
        </w:tc>
        <w:tc>
          <w:tcPr>
            <w:tcW w:type="dxa" w:w="3135"/>
            <w:shd w:val="clear" w:color="auto" w:fill="D6E8F7"/>
          </w:tcPr>
          <w:p>
            <w:r>
              <w:rPr>
                <w:sz w:val="20"/>
              </w:rPr>
              <w:t>Sugar &amp; Confectionery</w:t>
            </w:r>
          </w:p>
        </w:tc>
      </w:tr>
      <w:tr>
        <w:tc>
          <w:tcPr>
            <w:tcW w:type="dxa" w:w="3135"/>
            <w:shd w:val="clear" w:color="auto" w:fill="FFFFFF"/>
          </w:tcPr>
          <w:p>
            <w:r>
              <w:rPr>
                <w:sz w:val="20"/>
              </w:rPr>
            </w:r>
            <w:r>
              <w:rPr>
                <w:b/>
                <w:sz w:val="20"/>
              </w:rPr>
              <w:t>Private sector — Plastics</w:t>
            </w:r>
            <w:r>
              <w:rPr>
                <w:sz w:val="20"/>
              </w:rPr>
            </w:r>
          </w:p>
        </w:tc>
        <w:tc>
          <w:tcPr>
            <w:tcW w:type="dxa" w:w="3135"/>
            <w:shd w:val="clear" w:color="auto" w:fill="FFFFFF"/>
          </w:tcPr>
          <w:p>
            <w:r>
              <w:rPr>
                <w:sz w:val="20"/>
              </w:rPr>
              <w:t>Crown Beverages, plastics manufacturers in Namanve, recycling firms</w:t>
            </w:r>
          </w:p>
        </w:tc>
        <w:tc>
          <w:tcPr>
            <w:tcW w:type="dxa" w:w="3135"/>
            <w:shd w:val="clear" w:color="auto" w:fill="FFFFFF"/>
          </w:tcPr>
          <w:p>
            <w:r>
              <w:rPr>
                <w:sz w:val="20"/>
              </w:rPr>
              <w:t>Plastics &amp; Packaging</w:t>
            </w:r>
          </w:p>
        </w:tc>
      </w:tr>
      <w:tr>
        <w:tc>
          <w:tcPr>
            <w:tcW w:type="dxa" w:w="3135"/>
            <w:shd w:val="clear" w:color="auto" w:fill="D6E8F7"/>
          </w:tcPr>
          <w:p>
            <w:r>
              <w:rPr>
                <w:sz w:val="20"/>
              </w:rPr>
            </w:r>
            <w:r>
              <w:rPr>
                <w:b/>
                <w:sz w:val="20"/>
              </w:rPr>
              <w:t>Private sector — Cement</w:t>
            </w:r>
            <w:r>
              <w:rPr>
                <w:sz w:val="20"/>
              </w:rPr>
            </w:r>
          </w:p>
        </w:tc>
        <w:tc>
          <w:tcPr>
            <w:tcW w:type="dxa" w:w="3135"/>
            <w:shd w:val="clear" w:color="auto" w:fill="D6E8F7"/>
          </w:tcPr>
          <w:p>
            <w:r>
              <w:rPr>
                <w:sz w:val="20"/>
              </w:rPr>
              <w:t>Hima Cement, Tororo Cement, National Cement Company</w:t>
            </w:r>
          </w:p>
        </w:tc>
        <w:tc>
          <w:tcPr>
            <w:tcW w:type="dxa" w:w="3135"/>
            <w:shd w:val="clear" w:color="auto" w:fill="D6E8F7"/>
          </w:tcPr>
          <w:p>
            <w:r>
              <w:rPr>
                <w:sz w:val="20"/>
              </w:rPr>
              <w:t>Cement &amp; Building Materials</w:t>
            </w:r>
          </w:p>
        </w:tc>
      </w:tr>
      <w:tr>
        <w:tc>
          <w:tcPr>
            <w:tcW w:type="dxa" w:w="3135"/>
            <w:shd w:val="clear" w:color="auto" w:fill="FFFFFF"/>
          </w:tcPr>
          <w:p>
            <w:r>
              <w:rPr>
                <w:sz w:val="20"/>
              </w:rPr>
            </w:r>
            <w:r>
              <w:rPr>
                <w:b/>
                <w:sz w:val="20"/>
              </w:rPr>
              <w:t>Industry associations</w:t>
            </w:r>
            <w:r>
              <w:rPr>
                <w:sz w:val="20"/>
              </w:rPr>
            </w:r>
          </w:p>
        </w:tc>
        <w:tc>
          <w:tcPr>
            <w:tcW w:type="dxa" w:w="3135"/>
            <w:shd w:val="clear" w:color="auto" w:fill="FFFFFF"/>
          </w:tcPr>
          <w:p>
            <w:r>
              <w:rPr>
                <w:sz w:val="20"/>
              </w:rPr>
              <w:t>Uganda Manufacturers Association (UMA), Uganda Pharmaceutical Manufacturers Association</w:t>
            </w:r>
          </w:p>
        </w:tc>
        <w:tc>
          <w:tcPr>
            <w:tcW w:type="dxa" w:w="3135"/>
            <w:shd w:val="clear" w:color="auto" w:fill="FFFFFF"/>
          </w:tcPr>
          <w:p>
            <w:r>
              <w:rPr>
                <w:sz w:val="20"/>
              </w:rPr>
              <w:t>All</w:t>
            </w:r>
          </w:p>
        </w:tc>
      </w:tr>
      <w:tr>
        <w:tc>
          <w:tcPr>
            <w:tcW w:type="dxa" w:w="3135"/>
            <w:shd w:val="clear" w:color="auto" w:fill="D6E8F7"/>
          </w:tcPr>
          <w:p>
            <w:r>
              <w:rPr>
                <w:sz w:val="20"/>
              </w:rPr>
            </w:r>
            <w:r>
              <w:rPr>
                <w:b/>
                <w:sz w:val="20"/>
              </w:rPr>
              <w:t>Financiers</w:t>
            </w:r>
            <w:r>
              <w:rPr>
                <w:sz w:val="20"/>
              </w:rPr>
            </w:r>
          </w:p>
        </w:tc>
        <w:tc>
          <w:tcPr>
            <w:tcW w:type="dxa" w:w="3135"/>
            <w:shd w:val="clear" w:color="auto" w:fill="D6E8F7"/>
          </w:tcPr>
          <w:p>
            <w:r>
              <w:rPr>
                <w:sz w:val="20"/>
              </w:rPr>
              <w:t>Uganda Development Bank (UDB), EADB, commercial banks</w:t>
            </w:r>
          </w:p>
        </w:tc>
        <w:tc>
          <w:tcPr>
            <w:tcW w:type="dxa" w:w="3135"/>
            <w:shd w:val="clear" w:color="auto" w:fill="D6E8F7"/>
          </w:tcPr>
          <w:p>
            <w:r>
              <w:rPr>
                <w:sz w:val="20"/>
              </w:rPr>
              <w:t>All</w:t>
            </w:r>
          </w:p>
        </w:tc>
      </w:tr>
      <w:tr>
        <w:tc>
          <w:tcPr>
            <w:tcW w:type="dxa" w:w="3135"/>
            <w:shd w:val="clear" w:color="auto" w:fill="FFFFFF"/>
          </w:tcPr>
          <w:p>
            <w:r>
              <w:rPr>
                <w:sz w:val="20"/>
              </w:rPr>
            </w:r>
            <w:r>
              <w:rPr>
                <w:b/>
                <w:sz w:val="20"/>
              </w:rPr>
              <w:t>Research / academia</w:t>
            </w:r>
            <w:r>
              <w:rPr>
                <w:sz w:val="20"/>
              </w:rPr>
            </w:r>
          </w:p>
        </w:tc>
        <w:tc>
          <w:tcPr>
            <w:tcW w:type="dxa" w:w="3135"/>
            <w:shd w:val="clear" w:color="auto" w:fill="FFFFFF"/>
          </w:tcPr>
          <w:p>
            <w:r>
              <w:rPr>
                <w:sz w:val="20"/>
              </w:rPr>
              <w:t>Makerere University (pharmacy, chemistry, engineering), UIRI</w:t>
            </w:r>
          </w:p>
        </w:tc>
        <w:tc>
          <w:tcPr>
            <w:tcW w:type="dxa" w:w="3135"/>
            <w:shd w:val="clear" w:color="auto" w:fill="FFFFFF"/>
          </w:tcPr>
          <w:p>
            <w:r>
              <w:rPr>
                <w:sz w:val="20"/>
              </w:rPr>
              <w:t>All</w:t>
            </w:r>
          </w:p>
        </w:tc>
      </w:tr>
    </w:tbl>
    <w:p/>
    <w:p/>
    <w:p>
      <w:pPr>
        <w:pStyle w:val="Heading3"/>
        <w:spacing w:before="280" w:after="80"/>
      </w:pPr>
      <w:r>
        <w:rPr>
          <w:b/>
          <w:color w:val="005CA8"/>
          <w:sz w:val="26"/>
        </w:rPr>
        <w:t>5.2 Validation Workshop</w:t>
      </w:r>
    </w:p>
    <w:p/>
    <w:p>
      <w:pPr>
        <w:spacing w:after="80"/>
      </w:pPr>
      <w:r>
        <w:t>A structured stakeholder validation workshop will be held before the report is finalized. The workshop will:</w:t>
      </w:r>
    </w:p>
    <w:p/>
    <w:p>
      <w:pPr>
        <w:pStyle w:val="ListBullet"/>
        <w:spacing w:after="40"/>
      </w:pPr>
      <w:r>
        <w:t>Present draft prioritization findings for each of the six value chains</w:t>
      </w:r>
    </w:p>
    <w:p>
      <w:pPr>
        <w:pStyle w:val="ListBullet"/>
        <w:spacing w:after="40"/>
      </w:pPr>
      <w:r>
        <w:t>Test the priority product selections and action matrices against stakeholder knowledge</w:t>
      </w:r>
    </w:p>
    <w:p>
      <w:pPr>
        <w:pStyle w:val="ListBullet"/>
        <w:spacing w:after="40"/>
      </w:pPr>
      <w:r>
        <w:t>Identify any material gaps or contested findings</w:t>
      </w:r>
    </w:p>
    <w:p>
      <w:pPr>
        <w:pStyle w:val="ListBullet"/>
        <w:spacing w:after="40"/>
      </w:pPr>
      <w:r>
        <w:t>Produce agreed outputs reflected in the final report</w:t>
      </w:r>
    </w:p>
    <w:p/>
    <w:p>
      <w:pPr>
        <w:spacing w:after="40"/>
      </w:pPr>
      <w:r/>
      <w:r>
        <w:rPr>
          <w:b/>
        </w:rPr>
        <w:t>Proposed timing:</w:t>
      </w:r>
      <w:r>
        <w:t xml:space="preserve"> Week of 2–6 June 2026 (after chapter drafts are complete, before final submission). This may be combined with the Report 1 validation workshop if Jerome and the TWG prefer a single joint session.</w:t>
      </w:r>
    </w:p>
    <w:p>
      <w:pPr>
        <w:spacing w:after="40"/>
      </w:pPr>
      <w:r/>
      <w:r>
        <w:rPr>
          <w:b/>
        </w:rPr>
        <w:t>Proposed participants:</w:t>
      </w:r>
      <w:r>
        <w:t xml:space="preserve"> TWG members, private sector representatives from each of the six chains, MTIC, UIA, UNBS, NDA, UDB, and relevant development partners.</w:t>
      </w:r>
    </w:p>
    <w:p/>
    <w:p/>
    <w:p/>
    <w:p>
      <w:pPr>
        <w:pStyle w:val="Heading2"/>
        <w:spacing w:before="280" w:after="80"/>
      </w:pPr>
      <w:r>
        <w:rPr>
          <w:b/>
          <w:color w:val="002B5B"/>
          <w:sz w:val="32"/>
        </w:rPr>
        <w:t>6. Prioritization Methodology and Criteria</w:t>
      </w:r>
    </w:p>
    <w:p/>
    <w:p>
      <w:pPr>
        <w:pStyle w:val="Heading3"/>
        <w:spacing w:before="280" w:after="80"/>
      </w:pPr>
      <w:r>
        <w:rPr>
          <w:b/>
          <w:color w:val="005CA8"/>
          <w:sz w:val="26"/>
        </w:rPr>
        <w:t>6.1 Scoring Framework</w:t>
      </w:r>
    </w:p>
    <w:p/>
    <w:p>
      <w:pPr>
        <w:spacing w:after="80"/>
      </w:pPr>
      <w:r>
        <w:t>Products and sub-sectors within each chain are scored against five criteria to identify the 3–4 that Uganda should prioritize. The framework is applied consistently across all six chains.</w:t>
      </w:r>
    </w:p>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val="clear" w:color="auto" w:fill="002B5B"/>
          </w:tcPr>
          <w:p>
            <w:r>
              <w:rPr>
                <w:b/>
                <w:color w:val="FFFFFF"/>
                <w:sz w:val="20"/>
              </w:rPr>
              <w:t>#</w:t>
            </w:r>
          </w:p>
        </w:tc>
        <w:tc>
          <w:tcPr>
            <w:tcW w:type="dxa" w:w="2351"/>
            <w:shd w:val="clear" w:color="auto" w:fill="002B5B"/>
          </w:tcPr>
          <w:p>
            <w:r>
              <w:rPr>
                <w:b/>
                <w:color w:val="FFFFFF"/>
                <w:sz w:val="20"/>
              </w:rPr>
              <w:t>Criterion</w:t>
            </w:r>
          </w:p>
        </w:tc>
        <w:tc>
          <w:tcPr>
            <w:tcW w:type="dxa" w:w="2351"/>
            <w:shd w:val="clear" w:color="auto" w:fill="002B5B"/>
          </w:tcPr>
          <w:p>
            <w:r>
              <w:rPr>
                <w:b/>
                <w:color w:val="FFFFFF"/>
                <w:sz w:val="20"/>
              </w:rPr>
              <w:t>Description</w:t>
            </w:r>
          </w:p>
        </w:tc>
        <w:tc>
          <w:tcPr>
            <w:tcW w:type="dxa" w:w="2351"/>
            <w:shd w:val="clear" w:color="auto" w:fill="002B5B"/>
          </w:tcPr>
          <w:p>
            <w:r>
              <w:rPr>
                <w:b/>
                <w:color w:val="FFFFFF"/>
                <w:sz w:val="20"/>
              </w:rPr>
              <w:t>Proposed Weight</w:t>
            </w:r>
          </w:p>
        </w:tc>
      </w:tr>
      <w:tr>
        <w:tc>
          <w:tcPr>
            <w:tcW w:type="dxa" w:w="2351"/>
            <w:shd w:val="clear" w:color="auto" w:fill="D6E8F7"/>
          </w:tcPr>
          <w:p>
            <w:r>
              <w:rPr>
                <w:sz w:val="20"/>
              </w:rPr>
              <w:t>1</w:t>
            </w:r>
          </w:p>
        </w:tc>
        <w:tc>
          <w:tcPr>
            <w:tcW w:type="dxa" w:w="2351"/>
            <w:shd w:val="clear" w:color="auto" w:fill="D6E8F7"/>
          </w:tcPr>
          <w:p>
            <w:r>
              <w:rPr>
                <w:sz w:val="20"/>
              </w:rPr>
              <w:t>Accessible market size</w:t>
            </w:r>
          </w:p>
        </w:tc>
        <w:tc>
          <w:tcPr>
            <w:tcW w:type="dxa" w:w="2351"/>
            <w:shd w:val="clear" w:color="auto" w:fill="D6E8F7"/>
          </w:tcPr>
          <w:p>
            <w:r>
              <w:rPr>
                <w:sz w:val="20"/>
              </w:rPr>
              <w:t>Size and growth rate of the domestic, regional, and export market Uganda can realistically access</w:t>
            </w:r>
          </w:p>
        </w:tc>
        <w:tc>
          <w:tcPr>
            <w:tcW w:type="dxa" w:w="2351"/>
            <w:shd w:val="clear" w:color="auto" w:fill="D6E8F7"/>
          </w:tcPr>
          <w:p>
            <w:r>
              <w:rPr>
                <w:sz w:val="20"/>
              </w:rPr>
              <w:t>25%</w:t>
            </w:r>
          </w:p>
        </w:tc>
      </w:tr>
      <w:tr>
        <w:tc>
          <w:tcPr>
            <w:tcW w:type="dxa" w:w="2351"/>
            <w:shd w:val="clear" w:color="auto" w:fill="FFFFFF"/>
          </w:tcPr>
          <w:p>
            <w:r>
              <w:rPr>
                <w:sz w:val="20"/>
              </w:rPr>
              <w:t>2</w:t>
            </w:r>
          </w:p>
        </w:tc>
        <w:tc>
          <w:tcPr>
            <w:tcW w:type="dxa" w:w="2351"/>
            <w:shd w:val="clear" w:color="auto" w:fill="FFFFFF"/>
          </w:tcPr>
          <w:p>
            <w:r>
              <w:rPr>
                <w:sz w:val="20"/>
              </w:rPr>
              <w:t>Uganda's comparative advantage</w:t>
            </w:r>
          </w:p>
        </w:tc>
        <w:tc>
          <w:tcPr>
            <w:tcW w:type="dxa" w:w="2351"/>
            <w:shd w:val="clear" w:color="auto" w:fill="FFFFFF"/>
          </w:tcPr>
          <w:p>
            <w:r>
              <w:rPr>
                <w:sz w:val="20"/>
              </w:rPr>
              <w:t>Availability of raw material inputs, existing productive base, geographic proximity to key markets</w:t>
            </w:r>
          </w:p>
        </w:tc>
        <w:tc>
          <w:tcPr>
            <w:tcW w:type="dxa" w:w="2351"/>
            <w:shd w:val="clear" w:color="auto" w:fill="FFFFFF"/>
          </w:tcPr>
          <w:p>
            <w:r>
              <w:rPr>
                <w:sz w:val="20"/>
              </w:rPr>
              <w:t>25%</w:t>
            </w:r>
          </w:p>
        </w:tc>
      </w:tr>
      <w:tr>
        <w:tc>
          <w:tcPr>
            <w:tcW w:type="dxa" w:w="2351"/>
            <w:shd w:val="clear" w:color="auto" w:fill="D6E8F7"/>
          </w:tcPr>
          <w:p>
            <w:r>
              <w:rPr>
                <w:sz w:val="20"/>
              </w:rPr>
              <w:t>3</w:t>
            </w:r>
          </w:p>
        </w:tc>
        <w:tc>
          <w:tcPr>
            <w:tcW w:type="dxa" w:w="2351"/>
            <w:shd w:val="clear" w:color="auto" w:fill="D6E8F7"/>
          </w:tcPr>
          <w:p>
            <w:r>
              <w:rPr>
                <w:sz w:val="20"/>
              </w:rPr>
              <w:t>Feasibility</w:t>
            </w:r>
          </w:p>
        </w:tc>
        <w:tc>
          <w:tcPr>
            <w:tcW w:type="dxa" w:w="2351"/>
            <w:shd w:val="clear" w:color="auto" w:fill="D6E8F7"/>
          </w:tcPr>
          <w:p>
            <w:r>
              <w:rPr>
                <w:sz w:val="20"/>
              </w:rPr>
              <w:t>Capital requirements, technology readiness, lead time to commercial scale, management capability</w:t>
            </w:r>
          </w:p>
        </w:tc>
        <w:tc>
          <w:tcPr>
            <w:tcW w:type="dxa" w:w="2351"/>
            <w:shd w:val="clear" w:color="auto" w:fill="D6E8F7"/>
          </w:tcPr>
          <w:p>
            <w:r>
              <w:rPr>
                <w:sz w:val="20"/>
              </w:rPr>
              <w:t>20%</w:t>
            </w:r>
          </w:p>
        </w:tc>
      </w:tr>
      <w:tr>
        <w:tc>
          <w:tcPr>
            <w:tcW w:type="dxa" w:w="2351"/>
            <w:shd w:val="clear" w:color="auto" w:fill="FFFFFF"/>
          </w:tcPr>
          <w:p>
            <w:r>
              <w:rPr>
                <w:sz w:val="20"/>
              </w:rPr>
              <w:t>4</w:t>
            </w:r>
          </w:p>
        </w:tc>
        <w:tc>
          <w:tcPr>
            <w:tcW w:type="dxa" w:w="2351"/>
            <w:shd w:val="clear" w:color="auto" w:fill="FFFFFF"/>
          </w:tcPr>
          <w:p>
            <w:r>
              <w:rPr>
                <w:sz w:val="20"/>
              </w:rPr>
              <w:t>Job creation and income potential</w:t>
            </w:r>
          </w:p>
        </w:tc>
        <w:tc>
          <w:tcPr>
            <w:tcW w:type="dxa" w:w="2351"/>
            <w:shd w:val="clear" w:color="auto" w:fill="FFFFFF"/>
          </w:tcPr>
          <w:p>
            <w:r>
              <w:rPr>
                <w:sz w:val="20"/>
              </w:rPr>
              <w:t>Direct and indirect employment, wage levels, upstream and downstream linkage effects</w:t>
            </w:r>
          </w:p>
        </w:tc>
        <w:tc>
          <w:tcPr>
            <w:tcW w:type="dxa" w:w="2351"/>
            <w:shd w:val="clear" w:color="auto" w:fill="FFFFFF"/>
          </w:tcPr>
          <w:p>
            <w:r>
              <w:rPr>
                <w:sz w:val="20"/>
              </w:rPr>
              <w:t>15%</w:t>
            </w:r>
          </w:p>
        </w:tc>
      </w:tr>
      <w:tr>
        <w:tc>
          <w:tcPr>
            <w:tcW w:type="dxa" w:w="2351"/>
            <w:shd w:val="clear" w:color="auto" w:fill="D6E8F7"/>
          </w:tcPr>
          <w:p>
            <w:r>
              <w:rPr>
                <w:sz w:val="20"/>
              </w:rPr>
              <w:t>5</w:t>
            </w:r>
          </w:p>
        </w:tc>
        <w:tc>
          <w:tcPr>
            <w:tcW w:type="dxa" w:w="2351"/>
            <w:shd w:val="clear" w:color="auto" w:fill="D6E8F7"/>
          </w:tcPr>
          <w:p>
            <w:r>
              <w:rPr>
                <w:sz w:val="20"/>
              </w:rPr>
              <w:t>Import substitution impact</w:t>
            </w:r>
          </w:p>
        </w:tc>
        <w:tc>
          <w:tcPr>
            <w:tcW w:type="dxa" w:w="2351"/>
            <w:shd w:val="clear" w:color="auto" w:fill="D6E8F7"/>
          </w:tcPr>
          <w:p>
            <w:r>
              <w:rPr>
                <w:sz w:val="20"/>
              </w:rPr>
              <w:t>Value of current imports that domestic production could displace; current account benefit</w:t>
            </w:r>
          </w:p>
        </w:tc>
        <w:tc>
          <w:tcPr>
            <w:tcW w:type="dxa" w:w="2351"/>
            <w:shd w:val="clear" w:color="auto" w:fill="D6E8F7"/>
          </w:tcPr>
          <w:p>
            <w:r>
              <w:rPr>
                <w:sz w:val="20"/>
              </w:rPr>
              <w:t>15%</w:t>
            </w:r>
          </w:p>
        </w:tc>
      </w:tr>
    </w:tbl>
    <w:p/>
    <w:p/>
    <w:p>
      <w:pPr>
        <w:pStyle w:val="Heading3"/>
        <w:spacing w:before="280" w:after="80"/>
      </w:pPr>
      <w:r>
        <w:rPr>
          <w:b/>
          <w:color w:val="005CA8"/>
          <w:sz w:val="26"/>
        </w:rPr>
        <w:t>6.2 Scoring Scale</w:t>
      </w:r>
    </w:p>
    <w:p/>
    <w:p>
      <w:pPr>
        <w:spacing w:after="80"/>
      </w:pPr>
      <w:r>
        <w:t>Each product or sub-sector is scored 1–5 on each criterion:</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002B5B"/>
          </w:tcPr>
          <w:p>
            <w:r>
              <w:rPr>
                <w:b/>
                <w:color w:val="FFFFFF"/>
                <w:sz w:val="20"/>
              </w:rPr>
              <w:t>Score</w:t>
            </w:r>
          </w:p>
        </w:tc>
        <w:tc>
          <w:tcPr>
            <w:tcW w:type="dxa" w:w="4703"/>
            <w:shd w:val="clear" w:color="auto" w:fill="002B5B"/>
          </w:tcPr>
          <w:p>
            <w:r>
              <w:rPr>
                <w:b/>
                <w:color w:val="FFFFFF"/>
                <w:sz w:val="20"/>
              </w:rPr>
              <w:t>Meaning</w:t>
            </w:r>
          </w:p>
        </w:tc>
      </w:tr>
      <w:tr>
        <w:tc>
          <w:tcPr>
            <w:tcW w:type="dxa" w:w="4703"/>
            <w:shd w:val="clear" w:color="auto" w:fill="D6E8F7"/>
          </w:tcPr>
          <w:p>
            <w:r>
              <w:rPr>
                <w:sz w:val="20"/>
              </w:rPr>
              <w:t>5</w:t>
            </w:r>
          </w:p>
        </w:tc>
        <w:tc>
          <w:tcPr>
            <w:tcW w:type="dxa" w:w="4703"/>
            <w:shd w:val="clear" w:color="auto" w:fill="D6E8F7"/>
          </w:tcPr>
          <w:p>
            <w:r>
              <w:rPr>
                <w:sz w:val="20"/>
              </w:rPr>
              <w:t>Excellent — strong evidence of competitive advantage or large accessible market</w:t>
            </w:r>
          </w:p>
        </w:tc>
      </w:tr>
      <w:tr>
        <w:tc>
          <w:tcPr>
            <w:tcW w:type="dxa" w:w="4703"/>
            <w:shd w:val="clear" w:color="auto" w:fill="FFFFFF"/>
          </w:tcPr>
          <w:p>
            <w:r>
              <w:rPr>
                <w:sz w:val="20"/>
              </w:rPr>
              <w:t>4</w:t>
            </w:r>
          </w:p>
        </w:tc>
        <w:tc>
          <w:tcPr>
            <w:tcW w:type="dxa" w:w="4703"/>
            <w:shd w:val="clear" w:color="auto" w:fill="FFFFFF"/>
          </w:tcPr>
          <w:p>
            <w:r>
              <w:rPr>
                <w:sz w:val="20"/>
              </w:rPr>
              <w:t>Good — solid case with manageable constraints</w:t>
            </w:r>
          </w:p>
        </w:tc>
      </w:tr>
      <w:tr>
        <w:tc>
          <w:tcPr>
            <w:tcW w:type="dxa" w:w="4703"/>
            <w:shd w:val="clear" w:color="auto" w:fill="D6E8F7"/>
          </w:tcPr>
          <w:p>
            <w:r>
              <w:rPr>
                <w:sz w:val="20"/>
              </w:rPr>
              <w:t>3</w:t>
            </w:r>
          </w:p>
        </w:tc>
        <w:tc>
          <w:tcPr>
            <w:tcW w:type="dxa" w:w="4703"/>
            <w:shd w:val="clear" w:color="auto" w:fill="D6E8F7"/>
          </w:tcPr>
          <w:p>
            <w:r>
              <w:rPr>
                <w:sz w:val="20"/>
              </w:rPr>
              <w:t>Moderate — feasible but with significant constraints to address</w:t>
            </w:r>
          </w:p>
        </w:tc>
      </w:tr>
      <w:tr>
        <w:tc>
          <w:tcPr>
            <w:tcW w:type="dxa" w:w="4703"/>
            <w:shd w:val="clear" w:color="auto" w:fill="FFFFFF"/>
          </w:tcPr>
          <w:p>
            <w:r>
              <w:rPr>
                <w:sz w:val="20"/>
              </w:rPr>
              <w:t>2</w:t>
            </w:r>
          </w:p>
        </w:tc>
        <w:tc>
          <w:tcPr>
            <w:tcW w:type="dxa" w:w="4703"/>
            <w:shd w:val="clear" w:color="auto" w:fill="FFFFFF"/>
          </w:tcPr>
          <w:p>
            <w:r>
              <w:rPr>
                <w:sz w:val="20"/>
              </w:rPr>
              <w:t>Weak — limited advantage or small market; would require disproportionate investment</w:t>
            </w:r>
          </w:p>
        </w:tc>
      </w:tr>
      <w:tr>
        <w:tc>
          <w:tcPr>
            <w:tcW w:type="dxa" w:w="4703"/>
            <w:shd w:val="clear" w:color="auto" w:fill="D6E8F7"/>
          </w:tcPr>
          <w:p>
            <w:r>
              <w:rPr>
                <w:sz w:val="20"/>
              </w:rPr>
              <w:t>1</w:t>
            </w:r>
          </w:p>
        </w:tc>
        <w:tc>
          <w:tcPr>
            <w:tcW w:type="dxa" w:w="4703"/>
            <w:shd w:val="clear" w:color="auto" w:fill="D6E8F7"/>
          </w:tcPr>
          <w:p>
            <w:r>
              <w:rPr>
                <w:sz w:val="20"/>
              </w:rPr>
              <w:t>Poor — Uganda has no realistic competitive position; not recommended</w:t>
            </w:r>
          </w:p>
        </w:tc>
      </w:tr>
    </w:tbl>
    <w:p/>
    <w:p/>
    <w:p>
      <w:pPr>
        <w:pStyle w:val="Heading3"/>
        <w:spacing w:before="280" w:after="80"/>
      </w:pPr>
      <w:r>
        <w:rPr>
          <w:b/>
          <w:color w:val="005CA8"/>
          <w:sz w:val="26"/>
        </w:rPr>
        <w:t>6.3 Composite Score and Interpretation</w:t>
      </w:r>
    </w:p>
    <w:p/>
    <w:p>
      <w:pPr>
        <w:spacing w:after="80"/>
      </w:pPr>
      <w:r>
        <w:t>Composite score = sum of (criterion score × criterion weight) across all five criteria.</w:t>
      </w:r>
    </w:p>
    <w:p/>
    <w:p>
      <w:pPr>
        <w:spacing w:after="80"/>
      </w:pPr>
      <w:r>
        <w:t xml:space="preserve">Products scoring above </w:t>
      </w:r>
      <w:r>
        <w:rPr>
          <w:b/>
        </w:rPr>
        <w:t>3.5</w:t>
      </w:r>
      <w:r>
        <w:t xml:space="preserve"> (out of 5) are designated priority products. Products scoring below </w:t>
      </w:r>
      <w:r>
        <w:rPr>
          <w:b/>
        </w:rPr>
        <w:t>2.5</w:t>
      </w:r>
      <w:r>
        <w:t xml:space="preserve"> are explicitly deprioritized with rationale. Products scoring 2.5–3.5 are noted as conditional priorities subject to specific enabling conditions being met.</w:t>
      </w:r>
    </w:p>
    <w:p/>
    <w:p>
      <w:pPr>
        <w:pStyle w:val="Heading3"/>
        <w:spacing w:before="280" w:after="80"/>
      </w:pPr>
      <w:r>
        <w:rPr>
          <w:b/>
          <w:color w:val="005CA8"/>
          <w:sz w:val="26"/>
        </w:rPr>
        <w:t>6.4 Analytical Principle</w:t>
      </w:r>
    </w:p>
    <w:p/>
    <w:p>
      <w:pPr>
        <w:spacing w:after="80"/>
      </w:pPr>
      <w:r>
        <w:t>The prioritization framework operationalizes the core analytical principle of this study, as stated by Jerome Nuwabaasa:</w:t>
      </w:r>
    </w:p>
    <w:p/>
    <w:p>
      <w:pPr>
        <w:pStyle w:val="Quote"/>
        <w:ind w:left="576"/>
      </w:pPr>
      <w:r>
        <w:rPr>
          <w:i/>
          <w:sz w:val="22"/>
        </w:rPr>
        <w:t>"Successful countries are known for three or four products. The economies are built around those few. Uganda must not try to do everything."</w:t>
      </w:r>
    </w:p>
    <w:p/>
    <w:p>
      <w:pPr>
        <w:spacing w:after="80"/>
      </w:pPr>
      <w:r>
        <w:t>With six value chains in scope, the discipline of focused prioritization is especially important. The risk of recommending too many products across too many chains is high; the output must be a clear, defensible set of priorities — not a catalogue.</w:t>
      </w:r>
    </w:p>
    <w:p/>
    <w:p/>
    <w:p/>
    <w:p>
      <w:pPr>
        <w:pStyle w:val="Heading2"/>
        <w:spacing w:before="280" w:after="80"/>
      </w:pPr>
      <w:r>
        <w:rPr>
          <w:b/>
          <w:color w:val="002B5B"/>
          <w:sz w:val="32"/>
        </w:rPr>
        <w:t>7. Request for TWG Approval</w:t>
      </w:r>
    </w:p>
    <w:p/>
    <w:p>
      <w:pPr>
        <w:spacing w:after="80"/>
      </w:pPr>
      <w:r>
        <w:t>This Inception Report is submitted to the Technical Working Group for review and approval. The TWG is requested to:</w:t>
      </w:r>
    </w:p>
    <w:p/>
    <w:p>
      <w:pPr>
        <w:pStyle w:val="ListNumber"/>
        <w:spacing w:after="40"/>
      </w:pPr>
      <w:r>
        <w:t>Confirm the study scope, diagnostic framework, and assessment templates set out in Section 3</w:t>
      </w:r>
    </w:p>
    <w:p>
      <w:pPr>
        <w:pStyle w:val="ListNumber"/>
        <w:spacing w:after="40"/>
      </w:pPr>
      <w:r>
        <w:t>Confirm or revise the prioritization criteria and weights set out in Section 6</w:t>
      </w:r>
    </w:p>
    <w:p>
      <w:pPr>
        <w:pStyle w:val="ListNumber"/>
        <w:spacing w:after="40"/>
      </w:pPr>
      <w:r>
        <w:t>Approve the workplan and timeline in Section 2, including the 8 June 2026 final submission deadline</w:t>
      </w:r>
    </w:p>
    <w:p>
      <w:pPr>
        <w:pStyle w:val="ListNumber"/>
        <w:spacing w:after="40"/>
      </w:pPr>
      <w:r>
        <w:t>Provide any additional guidance before chapter drafting commences</w:t>
      </w:r>
    </w:p>
    <w:p/>
    <w:p>
      <w:pPr>
        <w:spacing w:after="80"/>
      </w:pPr>
      <w:r>
        <w:t>Upon TWG approval, chapter drafting will proceed in accordance with the workplan. The TWG will be kept informed of progress and any material data gaps as they arise.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