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D4ED8"/>
          <w:sz w:val="17"/>
        </w:rPr>
        <w:t>2026 POTRAZ INNOVATION EXPO &amp; CONFERENCE | OFFICIAL EXHIBITOR ARTWORK &amp; PORTFOLIO</w:t>
        <w:br/>
      </w:r>
      <w:r>
        <w:rPr>
          <w:rFonts w:ascii="Calibri" w:hAnsi="Calibri"/>
          <w:b/>
          <w:color w:val="0F172A"/>
          <w:sz w:val="34"/>
        </w:rPr>
        <w:t>TEAM &amp; ORGANIZATION INNOVATION SHOWCASE</w:t>
      </w:r>
    </w:p>
    <w:tbl>
      <w:tblPr>
        <w:tblW w:type="auto" w:w="0"/>
        <w:jc w:val="center"/>
        <w:tblLayout w:type="fixed"/>
        <w:tblLook w:firstColumn="1" w:firstRow="1" w:lastColumn="0" w:lastRow="0" w:noHBand="0" w:noVBand="1" w:val="04A0"/>
      </w:tblPr>
      <w:tblGrid>
        <w:gridCol w:w="5328"/>
        <w:gridCol w:w="5328"/>
      </w:tblGrid>
      <w:tr>
        <w:tc>
          <w:tcPr>
            <w:tcW w:type="dxa" w:w="2448"/>
            <w:shd w:fill="F8FAFC"/>
            <w:tcMar>
              <w:top w:w="50" w:type="dxa"/>
              <w:bottom w:w="50" w:type="dxa"/>
              <w:left w:w="50" w:type="dxa"/>
              <w:right w:w="50" w:type="dxa"/>
            </w:tcMar>
            <w:tcBorders>
              <w:top w:val="single" w:sz="12" w:space="0" w:color="3B82F6"/>
              <w:left w:val="single" w:sz="24" w:space="0" w:color="3B82F6"/>
              <w:bottom w:val="single" w:sz="12" w:space="0" w:color="3B82F6"/>
              <w:right w:val="single" w:sz="12" w:space="0" w:color="3B82F6"/>
            </w:tcBorders>
          </w:tcPr>
          <w:p>
            <w:pPr>
              <w:jc w:val="center"/>
            </w:pPr>
            <w:r>
              <w:drawing>
                <wp:inline xmlns:a="http://schemas.openxmlformats.org/drawingml/2006/main" xmlns:pic="http://schemas.openxmlformats.org/drawingml/2006/picture">
                  <wp:extent cx="1280160" cy="2741242"/>
                  <wp:docPr id="1" name="Picture 1"/>
                  <wp:cNvGraphicFramePr>
                    <a:graphicFrameLocks noChangeAspect="1"/>
                  </wp:cNvGraphicFramePr>
                  <a:graphic>
                    <a:graphicData uri="http://schemas.openxmlformats.org/drawingml/2006/picture">
                      <pic:pic>
                        <pic:nvPicPr>
                          <pic:cNvPr id="0" name="clean_user_profile.jpg"/>
                          <pic:cNvPicPr/>
                        </pic:nvPicPr>
                        <pic:blipFill>
                          <a:blip r:embed="rId10"/>
                          <a:stretch>
                            <a:fillRect/>
                          </a:stretch>
                        </pic:blipFill>
                        <pic:spPr>
                          <a:xfrm>
                            <a:off x="0" y="0"/>
                            <a:ext cx="1280160" cy="2741242"/>
                          </a:xfrm>
                          <a:prstGeom prst="rect"/>
                        </pic:spPr>
                      </pic:pic>
                    </a:graphicData>
                  </a:graphic>
                </wp:inline>
              </w:drawing>
            </w:r>
          </w:p>
        </w:tc>
        <w:tc>
          <w:tcPr>
            <w:tcW w:type="dxa" w:w="7920"/>
            <w:shd w:fill="F8FAFC"/>
            <w:tcMar>
              <w:top w:w="50" w:type="dxa"/>
              <w:bottom w:w="50" w:type="dxa"/>
              <w:left w:w="90" w:type="dxa"/>
              <w:right w:w="70" w:type="dxa"/>
            </w:tcMar>
            <w:tcBorders>
              <w:top w:val="single" w:sz="12" w:space="0" w:color="3B82F6"/>
              <w:left w:val="single" w:sz="24" w:space="0" w:color="3B82F6"/>
              <w:bottom w:val="single" w:sz="12" w:space="0" w:color="3B82F6"/>
              <w:right w:val="single" w:sz="12" w:space="0" w:color="3B82F6"/>
            </w:tcBorders>
          </w:tcPr>
          <w:p>
            <w:pPr>
              <w:spacing w:after="40"/>
            </w:pPr>
            <w:r>
              <w:rPr>
                <w:rFonts w:ascii="Calibri" w:hAnsi="Calibri"/>
                <w:b/>
                <w:color w:val="0F172A"/>
                <w:sz w:val="22"/>
              </w:rPr>
              <w:t>TAKUNDA NIGEL MHANDU — Lead Innovator &amp; Systems Architect</w:t>
              <w:br/>
            </w:r>
            <w:r>
              <w:rPr>
                <w:rFonts w:ascii="Calibri" w:hAnsi="Calibri"/>
                <w:b/>
                <w:color w:val="1D4ED8"/>
                <w:sz w:val="17"/>
              </w:rPr>
              <w:t>GIS &amp; Remote Sensing Graduate | National University of Science and Technology (NUST, Bulawayo)</w:t>
              <w:br/>
            </w:r>
            <w:r>
              <w:rPr>
                <w:rFonts w:ascii="Calibri" w:hAnsi="Calibri"/>
                <w:color w:val="334155"/>
                <w:sz w:val="17"/>
              </w:rPr>
              <w:t>Recent NUST GIS &amp; Remote Sensing graduate specializing in Applied Machine Learning, Deep Learning computer vision, and cloud Earth Observation (Google Earth Engine). Expert in training predictive architectures (Random Forests, neural networks) on multispectral and climate telemetry to build production-grade, inclusive digital solutions for Zimbabwe’s extractive and agricultural sectors.</w:t>
              <w:br/>
            </w:r>
            <w:r>
              <w:rPr>
                <w:rFonts w:ascii="Calibri" w:hAnsi="Calibri"/>
                <w:b/>
                <w:color w:val="047857"/>
                <w:sz w:val="16"/>
              </w:rPr>
              <w:t>Contact: mhandutakunda@gmail.com | Theme: Harnessing Local Innovation for Inclusive Development</w:t>
            </w:r>
          </w:p>
        </w:tc>
      </w:tr>
    </w:tbl>
    <w:p>
      <w:pPr>
        <w:spacing w:after="80"/>
      </w:pPr>
    </w:p>
    <w:p>
      <w:pPr>
        <w:spacing w:before="40" w:after="40"/>
      </w:pPr>
      <w:r>
        <w:rPr>
          <w:rFonts w:ascii="Calibri" w:hAnsi="Calibri"/>
          <w:b/>
          <w:color w:val="1D4ED8"/>
          <w:sz w:val="23"/>
        </w:rPr>
        <w:t>FLAGSHIP SOLUTION 1: THE NATIONAL MINERAL INTELLIGENCE HUB (SMART MINING)</w:t>
      </w:r>
    </w:p>
    <w:tbl>
      <w:tblPr>
        <w:tblW w:type="auto" w:w="0"/>
        <w:jc w:val="center"/>
        <w:tblLayout w:type="fixed"/>
        <w:tblLook w:firstColumn="1" w:firstRow="1" w:lastColumn="0" w:lastRow="0" w:noHBand="0" w:noVBand="1" w:val="04A0"/>
      </w:tblPr>
      <w:tblGrid>
        <w:gridCol w:w="5328"/>
        <w:gridCol w:w="5328"/>
      </w:tblGrid>
      <w:tr>
        <w:tc>
          <w:tcPr>
            <w:tcW w:type="dxa" w:w="4608"/>
            <w:shd w:fill="FFFFFF"/>
            <w:tcMar>
              <w:top w:w="40" w:type="dxa"/>
              <w:bottom w:w="40" w:type="dxa"/>
              <w:left w:w="40" w:type="dxa"/>
              <w:right w:w="40" w:type="dxa"/>
            </w:tcMar>
            <w:tcBorders>
              <w:top w:val="single" w:sz="12" w:space="0" w:color="1D4ED8"/>
              <w:left w:val="single" w:sz="24" w:space="0" w:color="1D4ED8"/>
              <w:bottom w:val="single" w:sz="12" w:space="0" w:color="1D4ED8"/>
              <w:right w:val="single" w:sz="12" w:space="0" w:color="1D4ED8"/>
            </w:tcBorders>
          </w:tcPr>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clean_cover_page.jpg"/>
                          <pic:cNvPicPr/>
                        </pic:nvPicPr>
                        <pic:blipFill>
                          <a:blip r:embed="rId11"/>
                          <a:stretch>
                            <a:fillRect/>
                          </a:stretch>
                        </pic:blipFill>
                        <pic:spPr>
                          <a:xfrm>
                            <a:off x="0" y="0"/>
                            <a:ext cx="2743200" cy="2743200"/>
                          </a:xfrm>
                          <a:prstGeom prst="rect"/>
                        </pic:spPr>
                      </pic:pic>
                    </a:graphicData>
                  </a:graphic>
                </wp:inline>
              </w:drawing>
            </w:r>
          </w:p>
        </w:tc>
        <w:tc>
          <w:tcPr>
            <w:tcW w:type="dxa" w:w="5760"/>
            <w:shd w:fill="F0F9FF"/>
            <w:tcMar>
              <w:top w:w="40" w:type="dxa"/>
              <w:bottom w:w="40" w:type="dxa"/>
              <w:left w:w="70" w:type="dxa"/>
              <w:right w:w="70" w:type="dxa"/>
            </w:tcMar>
            <w:tcBorders>
              <w:top w:val="single" w:sz="12" w:space="0" w:color="1D4ED8"/>
              <w:left w:val="single" w:sz="24" w:space="0" w:color="1D4ED8"/>
              <w:bottom w:val="single" w:sz="12" w:space="0" w:color="1D4ED8"/>
              <w:right w:val="single" w:sz="12" w:space="0" w:color="1D4ED8"/>
            </w:tcBorders>
          </w:tcPr>
          <w:p>
            <w:pPr>
              <w:spacing w:after="40"/>
            </w:pPr>
            <w:r>
              <w:rPr>
                <w:rFonts w:ascii="Calibri" w:hAnsi="Calibri"/>
                <w:b/>
                <w:color w:val="0F172A"/>
                <w:sz w:val="19"/>
              </w:rPr>
              <w:t>Digital Mineral Exploration &amp; Value-Chain Modernization</w:t>
              <w:br/>
            </w:r>
          </w:p>
          <w:p>
            <w:pPr>
              <w:spacing w:before="20" w:after="20" w:line="252" w:lineRule="auto"/>
            </w:pPr>
            <w:r>
              <w:rPr>
                <w:b/>
                <w:color w:val="1D4ED8"/>
              </w:rPr>
              <w:t xml:space="preserve">• </w:t>
            </w:r>
            <w:r>
              <w:rPr>
                <w:rFonts w:ascii="Calibri" w:hAnsi="Calibri"/>
                <w:color w:val="334155"/>
                <w:sz w:val="16"/>
              </w:rPr>
              <w:t>Multispectral Earth Observation: Sentinel-2 L2A via Google Earth Engine with automated Iron Oxide, Hydrothermal Alteration, Gossan, and NDVI band ratios.</w:t>
            </w:r>
          </w:p>
          <w:p>
            <w:pPr>
              <w:spacing w:before="20" w:after="20" w:line="252" w:lineRule="auto"/>
            </w:pPr>
            <w:r>
              <w:rPr>
                <w:b/>
                <w:color w:val="1D4ED8"/>
              </w:rPr>
              <w:t xml:space="preserve">• </w:t>
            </w:r>
            <w:r>
              <w:rPr>
                <w:rFonts w:ascii="Calibri" w:hAnsi="Calibri"/>
                <w:color w:val="334155"/>
                <w:sz w:val="16"/>
              </w:rPr>
              <w:t>Artisanal Mining De-risking: Replaces dangerous, capital-wasting 'blind digging' with orbital reef targeting.</w:t>
            </w:r>
          </w:p>
          <w:p>
            <w:pPr>
              <w:spacing w:before="20" w:after="20" w:line="252" w:lineRule="auto"/>
            </w:pPr>
            <w:r>
              <w:rPr>
                <w:b/>
                <w:color w:val="1D4ED8"/>
              </w:rPr>
              <w:t xml:space="preserve">• </w:t>
            </w:r>
            <w:r>
              <w:rPr>
                <w:rFonts w:ascii="Calibri" w:hAnsi="Calibri"/>
                <w:color w:val="334155"/>
                <w:sz w:val="16"/>
              </w:rPr>
              <w:t>Live Market Telemetry: Real-time price feeds for Gold, Platinum, Palladium &amp; Copper with 15-min caching.</w:t>
            </w:r>
          </w:p>
          <w:p>
            <w:pPr>
              <w:spacing w:before="20" w:after="20" w:line="252" w:lineRule="auto"/>
            </w:pPr>
            <w:r>
              <w:rPr>
                <w:b/>
                <w:color w:val="1D4ED8"/>
              </w:rPr>
              <w:t xml:space="preserve">• </w:t>
            </w:r>
            <w:r>
              <w:rPr>
                <w:rFonts w:ascii="Calibri" w:hAnsi="Calibri"/>
                <w:color w:val="334155"/>
                <w:sz w:val="16"/>
              </w:rPr>
              <w:t>Decentralized Youth Gig Engine: Empowers STEM graduates to earn mobile income via field ground-truthing.</w:t>
            </w:r>
          </w:p>
          <w:p>
            <w:pPr>
              <w:spacing w:before="20" w:after="20" w:line="252" w:lineRule="auto"/>
            </w:pPr>
            <w:r>
              <w:rPr>
                <w:b/>
                <w:color w:val="1D4ED8"/>
              </w:rPr>
              <w:t xml:space="preserve">• </w:t>
            </w:r>
            <w:r>
              <w:rPr>
                <w:rFonts w:ascii="Calibri" w:hAnsi="Calibri"/>
                <w:color w:val="334155"/>
                <w:sz w:val="16"/>
              </w:rPr>
              <w:t>Cashless Telecommunications: Instant EcoCash QR merchant payments &amp; P2P wallet settlement.</w:t>
            </w:r>
          </w:p>
        </w:tc>
      </w:tr>
    </w:tbl>
    <w:p>
      <w:r>
        <w:br w:type="page"/>
      </w:r>
    </w:p>
    <w:p>
      <w:pPr>
        <w:spacing w:before="0" w:after="40"/>
      </w:pPr>
      <w:r>
        <w:rPr>
          <w:rFonts w:ascii="Calibri" w:hAnsi="Calibri"/>
          <w:b/>
          <w:color w:val="047857"/>
          <w:sz w:val="17"/>
        </w:rPr>
        <w:t>PROVEN INNOVATION TRACK RECORD &amp; PRODUCTION-READY DEPLOYMENTS</w:t>
        <w:br/>
      </w:r>
      <w:r>
        <w:rPr>
          <w:rFonts w:ascii="Calibri" w:hAnsi="Calibri"/>
          <w:b/>
          <w:color w:val="0F172A"/>
          <w:sz w:val="32"/>
        </w:rPr>
        <w:t>FLAGSHIP SOLUTION 2: AGRISHIELD (CLIMATE &amp; AGRITECH)</w:t>
      </w:r>
    </w:p>
    <w:tbl>
      <w:tblPr>
        <w:tblW w:type="auto" w:w="0"/>
        <w:jc w:val="center"/>
        <w:tblLayout w:type="fixed"/>
        <w:tblLook w:firstColumn="1" w:firstRow="1" w:lastColumn="0" w:lastRow="0" w:noHBand="0" w:noVBand="1" w:val="04A0"/>
      </w:tblPr>
      <w:tblGrid>
        <w:gridCol w:w="5328"/>
        <w:gridCol w:w="5328"/>
      </w:tblGrid>
      <w:tr>
        <w:tc>
          <w:tcPr>
            <w:tcW w:type="dxa" w:w="3888"/>
            <w:shd w:fill="FFFFFF"/>
            <w:tcMar>
              <w:top w:w="40" w:type="dxa"/>
              <w:bottom w:w="40" w:type="dxa"/>
              <w:left w:w="40" w:type="dxa"/>
              <w:right w:w="40" w:type="dxa"/>
            </w:tcMar>
            <w:tcBorders>
              <w:top w:val="single" w:sz="12" w:space="0" w:color="047857"/>
              <w:left w:val="single" w:sz="24" w:space="0" w:color="047857"/>
              <w:bottom w:val="single" w:sz="12" w:space="0" w:color="047857"/>
              <w:right w:val="single" w:sz="12" w:space="0" w:color="047857"/>
            </w:tcBorders>
          </w:tcPr>
          <w:p>
            <w:pPr>
              <w:jc w:val="center"/>
            </w:pPr>
            <w:r>
              <w:drawing>
                <wp:inline xmlns:a="http://schemas.openxmlformats.org/drawingml/2006/main" xmlns:pic="http://schemas.openxmlformats.org/drawingml/2006/picture">
                  <wp:extent cx="2286000" cy="2286000"/>
                  <wp:docPr id="3" name="Picture 3"/>
                  <wp:cNvGraphicFramePr>
                    <a:graphicFrameLocks noChangeAspect="1"/>
                  </wp:cNvGraphicFramePr>
                  <a:graphic>
                    <a:graphicData uri="http://schemas.openxmlformats.org/drawingml/2006/picture">
                      <pic:pic>
                        <pic:nvPicPr>
                          <pic:cNvPr id="0" name="clean_agri_shield_logo.jpg"/>
                          <pic:cNvPicPr/>
                        </pic:nvPicPr>
                        <pic:blipFill>
                          <a:blip r:embed="rId12"/>
                          <a:stretch>
                            <a:fillRect/>
                          </a:stretch>
                        </pic:blipFill>
                        <pic:spPr>
                          <a:xfrm>
                            <a:off x="0" y="0"/>
                            <a:ext cx="2286000" cy="2286000"/>
                          </a:xfrm>
                          <a:prstGeom prst="rect"/>
                        </pic:spPr>
                      </pic:pic>
                    </a:graphicData>
                  </a:graphic>
                </wp:inline>
              </w:drawing>
            </w:r>
          </w:p>
        </w:tc>
        <w:tc>
          <w:tcPr>
            <w:tcW w:type="dxa" w:w="6480"/>
            <w:shd w:fill="ECFDF5"/>
            <w:tcMar>
              <w:top w:w="40" w:type="dxa"/>
              <w:bottom w:w="40" w:type="dxa"/>
              <w:left w:w="70" w:type="dxa"/>
              <w:right w:w="70" w:type="dxa"/>
            </w:tcMar>
            <w:tcBorders>
              <w:top w:val="single" w:sz="12" w:space="0" w:color="047857"/>
              <w:left w:val="single" w:sz="24" w:space="0" w:color="047857"/>
              <w:bottom w:val="single" w:sz="12" w:space="0" w:color="047857"/>
              <w:right w:val="single" w:sz="12" w:space="0" w:color="047857"/>
            </w:tcBorders>
          </w:tcPr>
          <w:p>
            <w:pPr>
              <w:spacing w:after="40"/>
            </w:pPr>
            <w:r>
              <w:rPr>
                <w:rFonts w:ascii="Calibri" w:hAnsi="Calibri"/>
                <w:b/>
                <w:color w:val="047857"/>
                <w:sz w:val="19"/>
              </w:rPr>
              <w:t>AgriShield: AI-Driven Agricultural Drought Forecasting &amp; Resilience</w:t>
              <w:br/>
            </w:r>
            <w:r>
              <w:rPr>
                <w:rFonts w:ascii="Calibri" w:hAnsi="Calibri"/>
                <w:b/>
                <w:color w:val="1D4ED8"/>
                <w:sz w:val="17"/>
              </w:rPr>
              <w:t>Live Cloud System: https://agrishield-1-j2tg.onrender.com/</w:t>
              <w:br/>
            </w:r>
          </w:p>
          <w:p>
            <w:pPr>
              <w:spacing w:before="20" w:after="20" w:line="252" w:lineRule="auto"/>
            </w:pPr>
            <w:r>
              <w:rPr>
                <w:b/>
                <w:color w:val="047857"/>
              </w:rPr>
              <w:t xml:space="preserve">• </w:t>
            </w:r>
            <w:r>
              <w:rPr>
                <w:rFonts w:ascii="Calibri" w:hAnsi="Calibri"/>
                <w:color w:val="334155"/>
                <w:sz w:val="16"/>
              </w:rPr>
              <w:t>Multi-Sensor Drought Analytics: Integrates FLDAS Soil Moisture Index (SMI), CHIRPS Standardized Precipitation Index (SPI), and MODIS/Sentinel-2 Vegetation Condition Index (VCI).</w:t>
            </w:r>
          </w:p>
          <w:p>
            <w:pPr>
              <w:spacing w:before="20" w:after="20" w:line="252" w:lineRule="auto"/>
            </w:pPr>
            <w:r>
              <w:rPr>
                <w:b/>
                <w:color w:val="047857"/>
              </w:rPr>
              <w:t xml:space="preserve">• </w:t>
            </w:r>
            <w:r>
              <w:rPr>
                <w:rFonts w:ascii="Calibri" w:hAnsi="Calibri"/>
                <w:color w:val="334155"/>
                <w:sz w:val="16"/>
              </w:rPr>
              <w:t>Machine Learning Forecasting: Trained Random Forest models over a comprehensive longitudinal dataset (Binga District, 2000–2025) for early drought detection.</w:t>
            </w:r>
          </w:p>
          <w:p>
            <w:pPr>
              <w:spacing w:before="20" w:after="20" w:line="252" w:lineRule="auto"/>
            </w:pPr>
            <w:r>
              <w:rPr>
                <w:b/>
                <w:color w:val="047857"/>
              </w:rPr>
              <w:t xml:space="preserve">• </w:t>
            </w:r>
            <w:r>
              <w:rPr>
                <w:rFonts w:ascii="Calibri" w:hAnsi="Calibri"/>
                <w:color w:val="334155"/>
                <w:sz w:val="16"/>
              </w:rPr>
              <w:t>Production-Grade Cloud Deployment: Fully deployed and publicly live on Render with automated REST APIs, Docker containerization, and sub-second analytical response.</w:t>
            </w:r>
          </w:p>
          <w:p>
            <w:pPr>
              <w:spacing w:before="20" w:after="20" w:line="252" w:lineRule="auto"/>
            </w:pPr>
            <w:r>
              <w:rPr>
                <w:b/>
                <w:color w:val="047857"/>
              </w:rPr>
              <w:t xml:space="preserve">• </w:t>
            </w:r>
            <w:r>
              <w:rPr>
                <w:rFonts w:ascii="Calibri" w:hAnsi="Calibri"/>
                <w:color w:val="334155"/>
                <w:sz w:val="16"/>
              </w:rPr>
              <w:t>Food Security Alignment: Enables rural smallholders and policy makers to prepare for El Niño-induced climatic shocks before total crop failure ensues.</w:t>
            </w:r>
          </w:p>
        </w:tc>
      </w:tr>
    </w:tbl>
    <w:p>
      <w:pPr>
        <w:spacing w:after="80"/>
      </w:pPr>
    </w:p>
    <w:p>
      <w:pPr>
        <w:spacing w:before="40" w:after="40"/>
      </w:pPr>
      <w:r>
        <w:rPr>
          <w:rFonts w:ascii="Calibri" w:hAnsi="Calibri"/>
          <w:b/>
          <w:color w:val="0F172A"/>
          <w:sz w:val="21"/>
        </w:rPr>
        <w:t>ORGANIZATION TECHNICAL CAPABILITIES &amp; DEPLOYMENT MATURITY</w:t>
      </w:r>
    </w:p>
    <w:tbl>
      <w:tblPr>
        <w:tblW w:type="auto" w:w="0"/>
        <w:jc w:val="center"/>
        <w:tblLayout w:type="fixed"/>
        <w:tblLook w:firstColumn="1" w:firstRow="1" w:lastColumn="0" w:lastRow="0" w:noHBand="0" w:noVBand="1" w:val="04A0"/>
      </w:tblPr>
      <w:tblGrid>
        <w:gridCol w:w="3552"/>
        <w:gridCol w:w="3552"/>
        <w:gridCol w:w="3552"/>
      </w:tblGrid>
      <w:tr>
        <w:tc>
          <w:tcPr>
            <w:tcW w:type="dxa" w:w="3552"/>
            <w:shd w:fill="0F172A"/>
            <w:tcMar>
              <w:top w:w="45" w:type="dxa"/>
              <w:bottom w:w="45" w:type="dxa"/>
              <w:left w:w="60" w:type="dxa"/>
              <w:right w:w="60" w:type="dxa"/>
            </w:tcMar>
          </w:tcPr>
          <w:p>
            <w:r>
              <w:rPr>
                <w:rFonts w:ascii="Calibri" w:hAnsi="Calibri"/>
                <w:b/>
                <w:color w:val="FFFFFF"/>
                <w:sz w:val="17"/>
              </w:rPr>
              <w:t>Domain &amp; Competency</w:t>
            </w:r>
          </w:p>
        </w:tc>
        <w:tc>
          <w:tcPr>
            <w:tcW w:type="dxa" w:w="3552"/>
            <w:shd w:fill="0F172A"/>
            <w:tcMar>
              <w:top w:w="45" w:type="dxa"/>
              <w:bottom w:w="45" w:type="dxa"/>
              <w:left w:w="60" w:type="dxa"/>
              <w:right w:w="60" w:type="dxa"/>
            </w:tcMar>
          </w:tcPr>
          <w:p>
            <w:r>
              <w:rPr>
                <w:rFonts w:ascii="Calibri" w:hAnsi="Calibri"/>
                <w:b/>
                <w:color w:val="FFFFFF"/>
                <w:sz w:val="17"/>
              </w:rPr>
              <w:t>Demonstrated Systems &amp; Artifacts</w:t>
            </w:r>
          </w:p>
        </w:tc>
        <w:tc>
          <w:tcPr>
            <w:tcW w:type="dxa" w:w="3552"/>
            <w:shd w:fill="0F172A"/>
            <w:tcMar>
              <w:top w:w="45" w:type="dxa"/>
              <w:bottom w:w="45" w:type="dxa"/>
              <w:left w:w="60" w:type="dxa"/>
              <w:right w:w="60" w:type="dxa"/>
            </w:tcMar>
          </w:tcPr>
          <w:p>
            <w:r>
              <w:rPr>
                <w:rFonts w:ascii="Calibri" w:hAnsi="Calibri"/>
                <w:b/>
                <w:color w:val="FFFFFF"/>
                <w:sz w:val="17"/>
              </w:rPr>
              <w:t>Strategic Value to Zimbabwe &amp; POTRAZ</w:t>
            </w:r>
          </w:p>
        </w:tc>
      </w:tr>
      <w:tr>
        <w:tc>
          <w:tcPr>
            <w:tcW w:type="dxa" w:w="2592"/>
            <w:shd w:fill="F8FAFC"/>
            <w:tcMar>
              <w:top w:w="35" w:type="dxa"/>
              <w:bottom w:w="35" w:type="dxa"/>
              <w:left w:w="50" w:type="dxa"/>
              <w:right w:w="50" w:type="dxa"/>
            </w:tcMar>
          </w:tcPr>
          <w:p>
            <w:r>
              <w:rPr>
                <w:rFonts w:ascii="Calibri" w:hAnsi="Calibri"/>
                <w:color w:val="334155"/>
                <w:sz w:val="16"/>
              </w:rPr>
              <w:t>Cloud Earth Observation &amp; GIS</w:t>
            </w:r>
          </w:p>
        </w:tc>
        <w:tc>
          <w:tcPr>
            <w:tcW w:type="dxa" w:w="3888"/>
            <w:shd w:fill="F8FAFC"/>
            <w:tcMar>
              <w:top w:w="35" w:type="dxa"/>
              <w:bottom w:w="35" w:type="dxa"/>
              <w:left w:w="50" w:type="dxa"/>
              <w:right w:w="50" w:type="dxa"/>
            </w:tcMar>
          </w:tcPr>
          <w:p>
            <w:r>
              <w:rPr>
                <w:rFonts w:ascii="Calibri" w:hAnsi="Calibri"/>
                <w:color w:val="334155"/>
                <w:sz w:val="16"/>
              </w:rPr>
              <w:t>Sentinel-2, GEE APIs, MODIS, CHIRPS, NumPy band math pipelines</w:t>
            </w:r>
          </w:p>
        </w:tc>
        <w:tc>
          <w:tcPr>
            <w:tcW w:type="dxa" w:w="3888"/>
            <w:shd w:fill="F8FAFC"/>
            <w:tcMar>
              <w:top w:w="35" w:type="dxa"/>
              <w:bottom w:w="35" w:type="dxa"/>
              <w:left w:w="50" w:type="dxa"/>
              <w:right w:w="50" w:type="dxa"/>
            </w:tcMar>
          </w:tcPr>
          <w:p>
            <w:r>
              <w:rPr>
                <w:rFonts w:ascii="Calibri" w:hAnsi="Calibri"/>
                <w:color w:val="334155"/>
                <w:sz w:val="16"/>
              </w:rPr>
              <w:t>Eliminates multi-million-dollar software and hardware licensing barriers for national industries.</w:t>
            </w:r>
          </w:p>
        </w:tc>
      </w:tr>
      <w:tr>
        <w:tc>
          <w:tcPr>
            <w:tcW w:type="dxa" w:w="2592"/>
            <w:shd w:fill="FFFFFF"/>
            <w:tcMar>
              <w:top w:w="35" w:type="dxa"/>
              <w:bottom w:w="35" w:type="dxa"/>
              <w:left w:w="50" w:type="dxa"/>
              <w:right w:w="50" w:type="dxa"/>
            </w:tcMar>
          </w:tcPr>
          <w:p>
            <w:r>
              <w:rPr>
                <w:rFonts w:ascii="Calibri" w:hAnsi="Calibri"/>
                <w:color w:val="334155"/>
                <w:sz w:val="16"/>
              </w:rPr>
              <w:t>Applied Machine Learning &amp; Deep Learning</w:t>
            </w:r>
          </w:p>
        </w:tc>
        <w:tc>
          <w:tcPr>
            <w:tcW w:type="dxa" w:w="3888"/>
            <w:shd w:fill="FFFFFF"/>
            <w:tcMar>
              <w:top w:w="35" w:type="dxa"/>
              <w:bottom w:w="35" w:type="dxa"/>
              <w:left w:w="50" w:type="dxa"/>
              <w:right w:w="50" w:type="dxa"/>
            </w:tcMar>
          </w:tcPr>
          <w:p>
            <w:r>
              <w:rPr>
                <w:rFonts w:ascii="Calibri" w:hAnsi="Calibri"/>
                <w:color w:val="334155"/>
                <w:sz w:val="16"/>
              </w:rPr>
              <w:t>Production Random Forest models, neural networks, computer vision for EO</w:t>
            </w:r>
          </w:p>
        </w:tc>
        <w:tc>
          <w:tcPr>
            <w:tcW w:type="dxa" w:w="3888"/>
            <w:shd w:fill="FFFFFF"/>
            <w:tcMar>
              <w:top w:w="35" w:type="dxa"/>
              <w:bottom w:w="35" w:type="dxa"/>
              <w:left w:w="50" w:type="dxa"/>
              <w:right w:w="50" w:type="dxa"/>
            </w:tcMar>
          </w:tcPr>
          <w:p>
            <w:r>
              <w:rPr>
                <w:rFonts w:ascii="Calibri" w:hAnsi="Calibri"/>
                <w:color w:val="334155"/>
                <w:sz w:val="16"/>
              </w:rPr>
              <w:t>Brings predictive intelligence to extractive and agricultural value-chains.</w:t>
            </w:r>
          </w:p>
        </w:tc>
      </w:tr>
      <w:tr>
        <w:tc>
          <w:tcPr>
            <w:tcW w:type="dxa" w:w="2592"/>
            <w:shd w:fill="F8FAFC"/>
            <w:tcMar>
              <w:top w:w="35" w:type="dxa"/>
              <w:bottom w:w="35" w:type="dxa"/>
              <w:left w:w="50" w:type="dxa"/>
              <w:right w:w="50" w:type="dxa"/>
            </w:tcMar>
          </w:tcPr>
          <w:p>
            <w:r>
              <w:rPr>
                <w:rFonts w:ascii="Calibri" w:hAnsi="Calibri"/>
                <w:color w:val="334155"/>
                <w:sz w:val="16"/>
              </w:rPr>
              <w:t>Telecommunications &amp; FinTech</w:t>
            </w:r>
          </w:p>
        </w:tc>
        <w:tc>
          <w:tcPr>
            <w:tcW w:type="dxa" w:w="3888"/>
            <w:shd w:fill="F8FAFC"/>
            <w:tcMar>
              <w:top w:w="35" w:type="dxa"/>
              <w:bottom w:w="35" w:type="dxa"/>
              <w:left w:w="50" w:type="dxa"/>
              <w:right w:w="50" w:type="dxa"/>
            </w:tcMar>
          </w:tcPr>
          <w:p>
            <w:r>
              <w:rPr>
                <w:rFonts w:ascii="Calibri" w:hAnsi="Calibri"/>
                <w:color w:val="334155"/>
                <w:sz w:val="16"/>
              </w:rPr>
              <w:t>EcoCash API gateway, QR merchant generation, Gmail SMTP, SMS logging</w:t>
            </w:r>
          </w:p>
        </w:tc>
        <w:tc>
          <w:tcPr>
            <w:tcW w:type="dxa" w:w="3888"/>
            <w:shd w:fill="F8FAFC"/>
            <w:tcMar>
              <w:top w:w="35" w:type="dxa"/>
              <w:bottom w:w="35" w:type="dxa"/>
              <w:left w:w="50" w:type="dxa"/>
              <w:right w:w="50" w:type="dxa"/>
            </w:tcMar>
          </w:tcPr>
          <w:p>
            <w:r>
              <w:rPr>
                <w:rFonts w:ascii="Calibri" w:hAnsi="Calibri"/>
                <w:color w:val="334155"/>
                <w:sz w:val="16"/>
              </w:rPr>
              <w:t>Bridges remote, unbanked communities with digital financial inclusion and traceable receipts.</w:t>
            </w:r>
          </w:p>
        </w:tc>
      </w:tr>
      <w:tr>
        <w:tc>
          <w:tcPr>
            <w:tcW w:type="dxa" w:w="2592"/>
            <w:shd w:fill="FFFFFF"/>
            <w:tcMar>
              <w:top w:w="35" w:type="dxa"/>
              <w:bottom w:w="35" w:type="dxa"/>
              <w:left w:w="50" w:type="dxa"/>
              <w:right w:w="50" w:type="dxa"/>
            </w:tcMar>
          </w:tcPr>
          <w:p>
            <w:r>
              <w:rPr>
                <w:rFonts w:ascii="Calibri" w:hAnsi="Calibri"/>
                <w:color w:val="334155"/>
                <w:sz w:val="16"/>
              </w:rPr>
              <w:t>Cloud DevOps &amp; Rapid Delivery</w:t>
            </w:r>
          </w:p>
        </w:tc>
        <w:tc>
          <w:tcPr>
            <w:tcW w:type="dxa" w:w="3888"/>
            <w:shd w:fill="FFFFFF"/>
            <w:tcMar>
              <w:top w:w="35" w:type="dxa"/>
              <w:bottom w:w="35" w:type="dxa"/>
              <w:left w:w="50" w:type="dxa"/>
              <w:right w:w="50" w:type="dxa"/>
            </w:tcMar>
          </w:tcPr>
          <w:p>
            <w:r>
              <w:rPr>
                <w:rFonts w:ascii="Calibri" w:hAnsi="Calibri"/>
                <w:color w:val="334155"/>
                <w:sz w:val="16"/>
              </w:rPr>
              <w:t>Live Render deployments (AgriShield, Mineral Hub), Docker, Streamlit</w:t>
            </w:r>
          </w:p>
        </w:tc>
        <w:tc>
          <w:tcPr>
            <w:tcW w:type="dxa" w:w="3888"/>
            <w:shd w:fill="FFFFFF"/>
            <w:tcMar>
              <w:top w:w="35" w:type="dxa"/>
              <w:bottom w:w="35" w:type="dxa"/>
              <w:left w:w="50" w:type="dxa"/>
              <w:right w:w="50" w:type="dxa"/>
            </w:tcMar>
          </w:tcPr>
          <w:p>
            <w:r>
              <w:rPr>
                <w:rFonts w:ascii="Calibri" w:hAnsi="Calibri"/>
                <w:color w:val="334155"/>
                <w:sz w:val="16"/>
              </w:rPr>
              <w:t>Demonstrates capability to rapidly prototype, deploy, and maintain robust national public services.</w:t>
            </w:r>
          </w:p>
        </w:tc>
      </w:tr>
    </w:tbl>
    <w:p>
      <w:pPr>
        <w:spacing w:after="40"/>
      </w:pPr>
    </w:p>
    <w:tbl>
      <w:tblPr>
        <w:tblW w:type="auto" w:w="0"/>
        <w:jc w:val="center"/>
        <w:tblLook w:firstColumn="1" w:firstRow="1" w:lastColumn="0" w:lastRow="0" w:noHBand="0" w:noVBand="1" w:val="04A0"/>
      </w:tblPr>
      <w:tblGrid>
        <w:gridCol w:w="10656"/>
      </w:tblGrid>
      <w:tr>
        <w:tc>
          <w:tcPr>
            <w:tcW w:type="dxa" w:w="10368"/>
            <w:shd w:fill="F1F5F9"/>
            <w:tcMar>
              <w:top w:w="45" w:type="dxa"/>
              <w:bottom w:w="45" w:type="dxa"/>
              <w:left w:w="90" w:type="dxa"/>
              <w:right w:w="90" w:type="dxa"/>
            </w:tcMar>
            <w:tcBorders>
              <w:top w:val="single" w:sz="12" w:space="0" w:color="0F172A"/>
              <w:left w:val="single" w:sz="24" w:space="0" w:color="0F172A"/>
              <w:bottom w:val="single" w:sz="12" w:space="0" w:color="0F172A"/>
              <w:right w:val="single" w:sz="12" w:space="0" w:color="0F172A"/>
            </w:tcBorders>
          </w:tcPr>
          <w:p>
            <w:r>
              <w:rPr>
                <w:rFonts w:ascii="Calibri" w:hAnsi="Calibri"/>
                <w:b/>
                <w:color w:val="1D4ED8"/>
                <w:sz w:val="17"/>
              </w:rPr>
              <w:t xml:space="preserve">EXHIBITION READINESS STATEMENT: </w:t>
            </w:r>
            <w:r>
              <w:rPr>
                <w:rFonts w:ascii="Calibri" w:hAnsi="Calibri"/>
                <w:i/>
                <w:color w:val="334155"/>
                <w:sz w:val="16"/>
              </w:rPr>
              <w:t>As a NUST (Bulawayo) graduate, our team is proud to showcase live, interactive demonstrations of both The National Mineral Intelligence Hub and AgriShield on home soil at the 2026 POTRAZ Innovation Expo at the ZIEC Grounds in Bulawayo. We welcome partnerships with POTRAZ, industry financiers, mining syndicates, and mobile telecommunications operators to scale these homegrown innovations nationwide.</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Team &amp; Organization Artwork Showcase | 2026 POTRAZ Innovation Expo &amp; Conference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