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1D4ED8"/>
          <w:sz w:val="19"/>
        </w:rPr>
        <w:t>2026 POTRAZ INNOVATION EXPO &amp; CONFERENCE | COMPREHENSIVE SOLUTION SPECIFICATION</w:t>
        <w:br/>
      </w:r>
      <w:r>
        <w:rPr>
          <w:rFonts w:ascii="Calibri" w:hAnsi="Calibri"/>
          <w:b/>
          <w:color w:val="0F172A"/>
          <w:sz w:val="42"/>
        </w:rPr>
        <w:t>THE NATIONAL MINERAL INTELLIGENCE HUB</w:t>
      </w:r>
    </w:p>
    <w:p>
      <w:pPr>
        <w:spacing w:before="0" w:after="160"/>
      </w:pPr>
      <w:r>
        <w:rPr>
          <w:rFonts w:ascii="Calibri" w:hAnsi="Calibri"/>
          <w:i/>
          <w:color w:val="334155"/>
          <w:sz w:val="23"/>
        </w:rPr>
        <w:t>Harnessing Multi-Sensor Satellite Earth Observation, Cloud Telemetry, and Youth Field Crowdsourcing for Inclusive Mineral Value-Chain Modernization in Zimbabwe</w:t>
      </w:r>
    </w:p>
    <w:tbl>
      <w:tblPr>
        <w:tblW w:type="auto" w:w="0"/>
        <w:jc w:val="center"/>
        <w:tblLayout w:type="fixed"/>
        <w:tblLook w:firstColumn="1" w:firstRow="1" w:lastColumn="0" w:lastRow="0" w:noHBand="0" w:noVBand="1" w:val="04A0"/>
      </w:tblPr>
      <w:tblGrid>
        <w:gridCol w:w="5040"/>
        <w:gridCol w:w="5040"/>
      </w:tblGrid>
      <w:tr>
        <w:tc>
          <w:tcPr>
            <w:tcW w:type="dxa" w:w="3168"/>
            <w:shd w:fill="F8FAFC"/>
            <w:tcMar>
              <w:top w:w="50" w:type="dxa"/>
              <w:bottom w:w="50" w:type="dxa"/>
              <w:left w:w="100" w:type="dxa"/>
              <w:right w:w="100" w:type="dxa"/>
            </w:tcMar>
          </w:tcPr>
          <w:p>
            <w:pPr>
              <w:spacing w:before="20" w:after="20"/>
            </w:pPr>
            <w:r>
              <w:rPr>
                <w:rFonts w:ascii="Calibri" w:hAnsi="Calibri"/>
                <w:b/>
                <w:color w:val="0F172A"/>
                <w:sz w:val="18"/>
              </w:rPr>
              <w:t>Theme Alignment:</w:t>
            </w:r>
          </w:p>
        </w:tc>
        <w:tc>
          <w:tcPr>
            <w:tcW w:type="dxa" w:w="6624"/>
            <w:shd w:fill="FFFFFF"/>
            <w:tcMar>
              <w:top w:w="50" w:type="dxa"/>
              <w:bottom w:w="50" w:type="dxa"/>
              <w:left w:w="100" w:type="dxa"/>
              <w:right w:w="100" w:type="dxa"/>
            </w:tcMar>
          </w:tcPr>
          <w:p>
            <w:pPr>
              <w:spacing w:before="20" w:after="20"/>
            </w:pPr>
            <w:r>
              <w:rPr>
                <w:rFonts w:ascii="Calibri" w:hAnsi="Calibri"/>
                <w:color w:val="334155"/>
                <w:sz w:val="18"/>
              </w:rPr>
              <w:t>Harnessing Local Innovation for Inclusive Development</w:t>
            </w:r>
          </w:p>
        </w:tc>
      </w:tr>
      <w:tr>
        <w:tc>
          <w:tcPr>
            <w:tcW w:type="dxa" w:w="3168"/>
            <w:shd w:fill="F8FAFC"/>
            <w:tcMar>
              <w:top w:w="50" w:type="dxa"/>
              <w:bottom w:w="50" w:type="dxa"/>
              <w:left w:w="100" w:type="dxa"/>
              <w:right w:w="100" w:type="dxa"/>
            </w:tcMar>
          </w:tcPr>
          <w:p>
            <w:pPr>
              <w:spacing w:before="20" w:after="20"/>
            </w:pPr>
            <w:r>
              <w:rPr>
                <w:rFonts w:ascii="Calibri" w:hAnsi="Calibri"/>
                <w:b/>
                <w:color w:val="0F172A"/>
                <w:sz w:val="18"/>
              </w:rPr>
              <w:t>Expo Sub-Theme:</w:t>
            </w:r>
          </w:p>
        </w:tc>
        <w:tc>
          <w:tcPr>
            <w:tcW w:type="dxa" w:w="6624"/>
            <w:shd w:fill="FFFFFF"/>
            <w:tcMar>
              <w:top w:w="50" w:type="dxa"/>
              <w:bottom w:w="50" w:type="dxa"/>
              <w:left w:w="100" w:type="dxa"/>
              <w:right w:w="100" w:type="dxa"/>
            </w:tcMar>
          </w:tcPr>
          <w:p>
            <w:pPr>
              <w:spacing w:before="20" w:after="20"/>
            </w:pPr>
            <w:r>
              <w:rPr>
                <w:rFonts w:ascii="Calibri" w:hAnsi="Calibri"/>
                <w:color w:val="334155"/>
                <w:sz w:val="18"/>
              </w:rPr>
              <w:t>Industry Innovation, Manufacturing and Mineral Value-Chain Development</w:t>
            </w:r>
          </w:p>
        </w:tc>
      </w:tr>
      <w:tr>
        <w:tc>
          <w:tcPr>
            <w:tcW w:type="dxa" w:w="3168"/>
            <w:shd w:fill="F8FAFC"/>
            <w:tcMar>
              <w:top w:w="50" w:type="dxa"/>
              <w:bottom w:w="50" w:type="dxa"/>
              <w:left w:w="100" w:type="dxa"/>
              <w:right w:w="100" w:type="dxa"/>
            </w:tcMar>
          </w:tcPr>
          <w:p>
            <w:pPr>
              <w:spacing w:before="20" w:after="20"/>
            </w:pPr>
            <w:r>
              <w:rPr>
                <w:rFonts w:ascii="Calibri" w:hAnsi="Calibri"/>
                <w:b/>
                <w:color w:val="0F172A"/>
                <w:sz w:val="18"/>
              </w:rPr>
              <w:t>Sector &amp; Category:</w:t>
            </w:r>
          </w:p>
        </w:tc>
        <w:tc>
          <w:tcPr>
            <w:tcW w:type="dxa" w:w="6624"/>
            <w:shd w:fill="FFFFFF"/>
            <w:tcMar>
              <w:top w:w="50" w:type="dxa"/>
              <w:bottom w:w="50" w:type="dxa"/>
              <w:left w:w="100" w:type="dxa"/>
              <w:right w:w="100" w:type="dxa"/>
            </w:tcMar>
          </w:tcPr>
          <w:p>
            <w:pPr>
              <w:spacing w:before="20" w:after="20"/>
            </w:pPr>
            <w:r>
              <w:rPr>
                <w:rFonts w:ascii="Calibri" w:hAnsi="Calibri"/>
                <w:color w:val="334155"/>
                <w:sz w:val="18"/>
              </w:rPr>
              <w:t>Smart Mining | Emerging Technologies &amp; Digital Inclusion</w:t>
            </w:r>
          </w:p>
        </w:tc>
      </w:tr>
      <w:tr>
        <w:tc>
          <w:tcPr>
            <w:tcW w:type="dxa" w:w="3168"/>
            <w:shd w:fill="F8FAFC"/>
            <w:tcMar>
              <w:top w:w="50" w:type="dxa"/>
              <w:bottom w:w="50" w:type="dxa"/>
              <w:left w:w="100" w:type="dxa"/>
              <w:right w:w="100" w:type="dxa"/>
            </w:tcMar>
          </w:tcPr>
          <w:p>
            <w:pPr>
              <w:spacing w:before="20" w:after="20"/>
            </w:pPr>
            <w:r>
              <w:rPr>
                <w:rFonts w:ascii="Calibri" w:hAnsi="Calibri"/>
                <w:b/>
                <w:color w:val="0F172A"/>
                <w:sz w:val="18"/>
              </w:rPr>
              <w:t>Lead Innovator / Institution:</w:t>
            </w:r>
          </w:p>
        </w:tc>
        <w:tc>
          <w:tcPr>
            <w:tcW w:type="dxa" w:w="6624"/>
            <w:shd w:fill="FFFFFF"/>
            <w:tcMar>
              <w:top w:w="50" w:type="dxa"/>
              <w:bottom w:w="50" w:type="dxa"/>
              <w:left w:w="100" w:type="dxa"/>
              <w:right w:w="100" w:type="dxa"/>
            </w:tcMar>
          </w:tcPr>
          <w:p>
            <w:pPr>
              <w:spacing w:before="20" w:after="20"/>
            </w:pPr>
            <w:r>
              <w:rPr>
                <w:rFonts w:ascii="Calibri" w:hAnsi="Calibri"/>
                <w:color w:val="334155"/>
                <w:sz w:val="18"/>
              </w:rPr>
              <w:t>Takunda Nigel Mhandu | BSc (Hons) GIS &amp; Remote Sensing (NUST, Bulawayo) | mhandutakunda@gmail.com</w:t>
            </w:r>
          </w:p>
        </w:tc>
      </w:tr>
    </w:tbl>
    <w:p>
      <w:pPr>
        <w:spacing w:after="80"/>
      </w:pPr>
    </w:p>
    <w:p>
      <w:pPr>
        <w:pStyle w:val="Heading1"/>
        <w:spacing w:before="120" w:after="80"/>
      </w:pPr>
      <w:r>
        <w:rPr>
          <w:rFonts w:ascii="Calibri" w:hAnsi="Calibri"/>
          <w:b/>
          <w:color w:val="1D4ED8"/>
          <w:sz w:val="25"/>
        </w:rPr>
        <w:t>TABLE OF CONTENTS</w:t>
      </w:r>
    </w:p>
    <w:tbl>
      <w:tblPr>
        <w:tblW w:type="auto" w:w="0"/>
        <w:jc w:val="center"/>
        <w:tblLook w:firstColumn="1" w:firstRow="1" w:lastColumn="0" w:lastRow="0" w:noHBand="0" w:noVBand="1" w:val="04A0"/>
      </w:tblPr>
      <w:tblGrid>
        <w:gridCol w:w="5040"/>
        <w:gridCol w:w="5040"/>
      </w:tblGrid>
      <w:tr>
        <w:tc>
          <w:tcPr>
            <w:tcW w:type="dxa" w:w="8352"/>
            <w:shd w:fill="FAFAFA"/>
            <w:tcMar>
              <w:top w:w="35" w:type="dxa"/>
              <w:bottom w:w="35" w:type="dxa"/>
              <w:left w:w="80" w:type="dxa"/>
              <w:right w:w="80" w:type="dxa"/>
            </w:tcMar>
          </w:tcPr>
          <w:p>
            <w:pPr>
              <w:spacing w:before="20" w:after="20"/>
            </w:pPr>
            <w:r>
              <w:rPr>
                <w:rFonts w:ascii="Calibri" w:hAnsi="Calibri"/>
                <w:color w:val="0F172A"/>
                <w:sz w:val="18"/>
              </w:rPr>
              <w:t>1. Executive Summary &amp; Innovation Concept</w:t>
            </w:r>
          </w:p>
        </w:tc>
        <w:tc>
          <w:tcPr>
            <w:tcW w:type="dxa" w:w="1440"/>
            <w:shd w:fill="FAFAFA"/>
            <w:tcMar>
              <w:top w:w="35" w:type="dxa"/>
              <w:bottom w:w="35" w:type="dxa"/>
              <w:left w:w="80" w:type="dxa"/>
              <w:right w:w="80" w:type="dxa"/>
            </w:tcMar>
          </w:tcPr>
          <w:p>
            <w:pPr>
              <w:spacing w:before="20" w:after="20"/>
              <w:jc w:val="right"/>
            </w:pPr>
            <w:r>
              <w:rPr>
                <w:rFonts w:ascii="Calibri" w:hAnsi="Calibri"/>
                <w:b/>
                <w:color w:val="1D4ED8"/>
                <w:sz w:val="18"/>
              </w:rPr>
              <w:t>Page 2</w:t>
            </w:r>
          </w:p>
        </w:tc>
      </w:tr>
      <w:tr>
        <w:tc>
          <w:tcPr>
            <w:tcW w:type="dxa" w:w="8352"/>
            <w:shd w:fill="FFFFFF"/>
            <w:tcMar>
              <w:top w:w="35" w:type="dxa"/>
              <w:bottom w:w="35" w:type="dxa"/>
              <w:left w:w="80" w:type="dxa"/>
              <w:right w:w="80" w:type="dxa"/>
            </w:tcMar>
          </w:tcPr>
          <w:p>
            <w:pPr>
              <w:spacing w:before="20" w:after="20"/>
            </w:pPr>
            <w:r>
              <w:rPr>
                <w:rFonts w:ascii="Calibri" w:hAnsi="Calibri"/>
                <w:color w:val="0F172A"/>
                <w:sz w:val="18"/>
              </w:rPr>
              <w:t>2. Comprehensive Problem Definition in Zimbabwe's Extractive Sector</w:t>
            </w:r>
          </w:p>
        </w:tc>
        <w:tc>
          <w:tcPr>
            <w:tcW w:type="dxa" w:w="1440"/>
            <w:shd w:fill="FFFFFF"/>
            <w:tcMar>
              <w:top w:w="35" w:type="dxa"/>
              <w:bottom w:w="35" w:type="dxa"/>
              <w:left w:w="80" w:type="dxa"/>
              <w:right w:w="80" w:type="dxa"/>
            </w:tcMar>
          </w:tcPr>
          <w:p>
            <w:pPr>
              <w:spacing w:before="20" w:after="20"/>
              <w:jc w:val="right"/>
            </w:pPr>
            <w:r>
              <w:rPr>
                <w:rFonts w:ascii="Calibri" w:hAnsi="Calibri"/>
                <w:b/>
                <w:color w:val="1D4ED8"/>
                <w:sz w:val="18"/>
              </w:rPr>
              <w:t>Page 2</w:t>
            </w:r>
          </w:p>
        </w:tc>
      </w:tr>
      <w:tr>
        <w:tc>
          <w:tcPr>
            <w:tcW w:type="dxa" w:w="8352"/>
            <w:shd w:fill="FAFAFA"/>
            <w:tcMar>
              <w:top w:w="35" w:type="dxa"/>
              <w:bottom w:w="35" w:type="dxa"/>
              <w:left w:w="80" w:type="dxa"/>
              <w:right w:w="80" w:type="dxa"/>
            </w:tcMar>
          </w:tcPr>
          <w:p>
            <w:pPr>
              <w:spacing w:before="20" w:after="20"/>
            </w:pPr>
            <w:r>
              <w:rPr>
                <w:rFonts w:ascii="Calibri" w:hAnsi="Calibri"/>
                <w:color w:val="0F172A"/>
                <w:sz w:val="18"/>
              </w:rPr>
              <w:t>3. Strategic Solution Objectives</w:t>
            </w:r>
          </w:p>
        </w:tc>
        <w:tc>
          <w:tcPr>
            <w:tcW w:type="dxa" w:w="1440"/>
            <w:shd w:fill="FAFAFA"/>
            <w:tcMar>
              <w:top w:w="35" w:type="dxa"/>
              <w:bottom w:w="35" w:type="dxa"/>
              <w:left w:w="80" w:type="dxa"/>
              <w:right w:w="80" w:type="dxa"/>
            </w:tcMar>
          </w:tcPr>
          <w:p>
            <w:pPr>
              <w:spacing w:before="20" w:after="20"/>
              <w:jc w:val="right"/>
            </w:pPr>
            <w:r>
              <w:rPr>
                <w:rFonts w:ascii="Calibri" w:hAnsi="Calibri"/>
                <w:b/>
                <w:color w:val="1D4ED8"/>
                <w:sz w:val="18"/>
              </w:rPr>
              <w:t>Page 2</w:t>
            </w:r>
          </w:p>
        </w:tc>
      </w:tr>
      <w:tr>
        <w:tc>
          <w:tcPr>
            <w:tcW w:type="dxa" w:w="8352"/>
            <w:shd w:fill="FFFFFF"/>
            <w:tcMar>
              <w:top w:w="35" w:type="dxa"/>
              <w:bottom w:w="35" w:type="dxa"/>
              <w:left w:w="80" w:type="dxa"/>
              <w:right w:w="80" w:type="dxa"/>
            </w:tcMar>
          </w:tcPr>
          <w:p>
            <w:pPr>
              <w:spacing w:before="20" w:after="20"/>
            </w:pPr>
            <w:r>
              <w:rPr>
                <w:rFonts w:ascii="Calibri" w:hAnsi="Calibri"/>
                <w:color w:val="0F172A"/>
                <w:sz w:val="18"/>
              </w:rPr>
              <w:t>4. Social and Technological Impact Assessment</w:t>
            </w:r>
          </w:p>
        </w:tc>
        <w:tc>
          <w:tcPr>
            <w:tcW w:type="dxa" w:w="1440"/>
            <w:shd w:fill="FFFFFF"/>
            <w:tcMar>
              <w:top w:w="35" w:type="dxa"/>
              <w:bottom w:w="35" w:type="dxa"/>
              <w:left w:w="80" w:type="dxa"/>
              <w:right w:w="80" w:type="dxa"/>
            </w:tcMar>
          </w:tcPr>
          <w:p>
            <w:pPr>
              <w:spacing w:before="20" w:after="20"/>
              <w:jc w:val="right"/>
            </w:pPr>
            <w:r>
              <w:rPr>
                <w:rFonts w:ascii="Calibri" w:hAnsi="Calibri"/>
                <w:b/>
                <w:color w:val="1D4ED8"/>
                <w:sz w:val="18"/>
              </w:rPr>
              <w:t>Page 4</w:t>
            </w:r>
          </w:p>
        </w:tc>
      </w:tr>
      <w:tr>
        <w:tc>
          <w:tcPr>
            <w:tcW w:type="dxa" w:w="8352"/>
            <w:shd w:fill="FAFAFA"/>
            <w:tcMar>
              <w:top w:w="35" w:type="dxa"/>
              <w:bottom w:w="35" w:type="dxa"/>
              <w:left w:w="80" w:type="dxa"/>
              <w:right w:w="80" w:type="dxa"/>
            </w:tcMar>
          </w:tcPr>
          <w:p>
            <w:pPr>
              <w:spacing w:before="20" w:after="20"/>
            </w:pPr>
            <w:r>
              <w:rPr>
                <w:rFonts w:ascii="Calibri" w:hAnsi="Calibri"/>
                <w:color w:val="0F172A"/>
                <w:sz w:val="18"/>
              </w:rPr>
              <w:t>5. Solution Design, System Architecture &amp; Implementation Specifications</w:t>
            </w:r>
          </w:p>
        </w:tc>
        <w:tc>
          <w:tcPr>
            <w:tcW w:type="dxa" w:w="1440"/>
            <w:shd w:fill="FAFAFA"/>
            <w:tcMar>
              <w:top w:w="35" w:type="dxa"/>
              <w:bottom w:w="35" w:type="dxa"/>
              <w:left w:w="80" w:type="dxa"/>
              <w:right w:w="80" w:type="dxa"/>
            </w:tcMar>
          </w:tcPr>
          <w:p>
            <w:pPr>
              <w:spacing w:before="20" w:after="20"/>
              <w:jc w:val="right"/>
            </w:pPr>
            <w:r>
              <w:rPr>
                <w:rFonts w:ascii="Calibri" w:hAnsi="Calibri"/>
                <w:b/>
                <w:color w:val="1D4ED8"/>
                <w:sz w:val="18"/>
              </w:rPr>
              <w:t>Page 4</w:t>
            </w:r>
          </w:p>
        </w:tc>
      </w:tr>
      <w:tr>
        <w:tc>
          <w:tcPr>
            <w:tcW w:type="dxa" w:w="8352"/>
            <w:shd w:fill="FFFFFF"/>
            <w:tcMar>
              <w:top w:w="35" w:type="dxa"/>
              <w:bottom w:w="35" w:type="dxa"/>
              <w:left w:w="80" w:type="dxa"/>
              <w:right w:w="80" w:type="dxa"/>
            </w:tcMar>
          </w:tcPr>
          <w:p>
            <w:pPr>
              <w:spacing w:before="20" w:after="20"/>
            </w:pPr>
            <w:r>
              <w:rPr>
                <w:rFonts w:ascii="Calibri" w:hAnsi="Calibri"/>
                <w:color w:val="0F172A"/>
                <w:sz w:val="18"/>
              </w:rPr>
              <w:t>6. Proof of Concept, Pilot Validations &amp; Operational Simulations</w:t>
            </w:r>
          </w:p>
        </w:tc>
        <w:tc>
          <w:tcPr>
            <w:tcW w:type="dxa" w:w="1440"/>
            <w:shd w:fill="FFFFFF"/>
            <w:tcMar>
              <w:top w:w="35" w:type="dxa"/>
              <w:bottom w:w="35" w:type="dxa"/>
              <w:left w:w="80" w:type="dxa"/>
              <w:right w:w="80" w:type="dxa"/>
            </w:tcMar>
          </w:tcPr>
          <w:p>
            <w:pPr>
              <w:spacing w:before="20" w:after="20"/>
              <w:jc w:val="right"/>
            </w:pPr>
            <w:r>
              <w:rPr>
                <w:rFonts w:ascii="Calibri" w:hAnsi="Calibri"/>
                <w:b/>
                <w:color w:val="1D4ED8"/>
                <w:sz w:val="18"/>
              </w:rPr>
              <w:t>Page 6</w:t>
            </w:r>
          </w:p>
        </w:tc>
      </w:tr>
      <w:tr>
        <w:tc>
          <w:tcPr>
            <w:tcW w:type="dxa" w:w="8352"/>
            <w:shd w:fill="FAFAFA"/>
            <w:tcMar>
              <w:top w:w="35" w:type="dxa"/>
              <w:bottom w:w="35" w:type="dxa"/>
              <w:left w:w="80" w:type="dxa"/>
              <w:right w:w="80" w:type="dxa"/>
            </w:tcMar>
          </w:tcPr>
          <w:p>
            <w:pPr>
              <w:spacing w:before="20" w:after="20"/>
            </w:pPr>
            <w:r>
              <w:rPr>
                <w:rFonts w:ascii="Calibri" w:hAnsi="Calibri"/>
                <w:color w:val="0F172A"/>
                <w:sz w:val="18"/>
              </w:rPr>
              <w:t>7. Cyber Security, Data Privacy &amp; Regulatory Compliance</w:t>
            </w:r>
          </w:p>
        </w:tc>
        <w:tc>
          <w:tcPr>
            <w:tcW w:type="dxa" w:w="1440"/>
            <w:shd w:fill="FAFAFA"/>
            <w:tcMar>
              <w:top w:w="35" w:type="dxa"/>
              <w:bottom w:w="35" w:type="dxa"/>
              <w:left w:w="80" w:type="dxa"/>
              <w:right w:w="80" w:type="dxa"/>
            </w:tcMar>
          </w:tcPr>
          <w:p>
            <w:pPr>
              <w:spacing w:before="20" w:after="20"/>
              <w:jc w:val="right"/>
            </w:pPr>
            <w:r>
              <w:rPr>
                <w:rFonts w:ascii="Calibri" w:hAnsi="Calibri"/>
                <w:b/>
                <w:color w:val="1D4ED8"/>
                <w:sz w:val="18"/>
              </w:rPr>
              <w:t>Page 6</w:t>
            </w:r>
          </w:p>
        </w:tc>
      </w:tr>
      <w:tr>
        <w:tc>
          <w:tcPr>
            <w:tcW w:type="dxa" w:w="8352"/>
            <w:shd w:fill="FFFFFF"/>
            <w:tcMar>
              <w:top w:w="35" w:type="dxa"/>
              <w:bottom w:w="35" w:type="dxa"/>
              <w:left w:w="80" w:type="dxa"/>
              <w:right w:w="80" w:type="dxa"/>
            </w:tcMar>
          </w:tcPr>
          <w:p>
            <w:pPr>
              <w:spacing w:before="20" w:after="20"/>
            </w:pPr>
            <w:r>
              <w:rPr>
                <w:rFonts w:ascii="Calibri" w:hAnsi="Calibri"/>
                <w:color w:val="0F172A"/>
                <w:sz w:val="18"/>
              </w:rPr>
              <w:t>8. Business Viability, Revenue Model &amp; Nationwide Scalability</w:t>
            </w:r>
          </w:p>
        </w:tc>
        <w:tc>
          <w:tcPr>
            <w:tcW w:type="dxa" w:w="1440"/>
            <w:shd w:fill="FFFFFF"/>
            <w:tcMar>
              <w:top w:w="35" w:type="dxa"/>
              <w:bottom w:w="35" w:type="dxa"/>
              <w:left w:w="80" w:type="dxa"/>
              <w:right w:w="80" w:type="dxa"/>
            </w:tcMar>
          </w:tcPr>
          <w:p>
            <w:pPr>
              <w:spacing w:before="20" w:after="20"/>
              <w:jc w:val="right"/>
            </w:pPr>
            <w:r>
              <w:rPr>
                <w:rFonts w:ascii="Calibri" w:hAnsi="Calibri"/>
                <w:b/>
                <w:color w:val="1D4ED8"/>
                <w:sz w:val="18"/>
              </w:rPr>
              <w:t>Page 7</w:t>
            </w:r>
          </w:p>
        </w:tc>
      </w:tr>
    </w:tbl>
    <w:p>
      <w:r>
        <w:br w:type="page"/>
      </w:r>
    </w:p>
    <w:p>
      <w:pPr>
        <w:pStyle w:val="Heading1"/>
        <w:spacing w:before="220" w:after="60"/>
      </w:pPr>
      <w:r>
        <w:rPr>
          <w:rFonts w:ascii="Calibri" w:hAnsi="Calibri"/>
          <w:b/>
          <w:color w:val="1D4ED8"/>
          <w:sz w:val="25"/>
        </w:rPr>
        <w:t>1. Executive Summary &amp; Innovation Concept</w:t>
      </w:r>
    </w:p>
    <w:p>
      <w:pPr>
        <w:spacing w:before="0" w:after="80" w:line="276" w:lineRule="auto"/>
      </w:pPr>
      <w:r>
        <w:rPr>
          <w:rFonts w:ascii="Calibri" w:hAnsi="Calibri"/>
          <w:i w:val="0"/>
          <w:color w:val="334155"/>
          <w:sz w:val="19"/>
        </w:rPr>
        <w:t>The National Mineral Intelligence Hub is an indigenous, cloud-native digital intelligence platform engineered to revolutionize Zimbabwe’s mining exploration, eliminate market asymmetries, and empower youth through high-tech decentralized field employment. By combining European Space Agency (ESA) Copernicus Sentinel-2 multispectral satellite telemetry, Google Earth Engine (GEE) planetary computation, and ubiquitous mobile financial rails (EcoCash), the Hub democratizes enterprise-grade prospecting intelligence that was historically restricted to multinational corporations.</w:t>
      </w:r>
    </w:p>
    <w:tbl>
      <w:tblPr>
        <w:tblW w:type="auto" w:w="0"/>
        <w:jc w:val="center"/>
        <w:tblLayout w:type="fixed"/>
        <w:tblLook w:firstColumn="1" w:firstRow="1" w:lastColumn="0" w:lastRow="0" w:noHBand="0" w:noVBand="1" w:val="04A0"/>
      </w:tblPr>
      <w:tblGrid>
        <w:gridCol w:w="10080"/>
      </w:tblGrid>
      <w:tr>
        <w:tc>
          <w:tcPr>
            <w:tcW w:type="dxa" w:w="9792"/>
            <w:shd w:fill="EFF6FF"/>
            <w:tcMar>
              <w:top w:w="120" w:type="dxa"/>
              <w:bottom w:w="120" w:type="dxa"/>
              <w:left w:w="180" w:type="dxa"/>
              <w:right w:w="160" w:type="dxa"/>
            </w:tcMar>
            <w:tcBorders>
              <w:top w:val="none"/>
              <w:left w:val="single" w:sz="36" w:space="0" w:color="1D4ED8"/>
              <w:bottom w:val="none"/>
              <w:right w:val="none"/>
            </w:tcBorders>
          </w:tcPr>
          <w:p>
            <w:pPr>
              <w:spacing w:before="40" w:after="40" w:line="276" w:lineRule="auto"/>
            </w:pPr>
            <w:r>
              <w:rPr>
                <w:rFonts w:ascii="Calibri" w:hAnsi="Calibri"/>
                <w:b/>
                <w:i w:val="0"/>
                <w:color w:val="1D4ED8"/>
                <w:sz w:val="19"/>
              </w:rPr>
              <w:t xml:space="preserve">Core Innovation Value Proposition: </w:t>
            </w:r>
          </w:p>
          <w:p>
            <w:pPr>
              <w:spacing w:before="40" w:after="40" w:line="276" w:lineRule="auto"/>
            </w:pPr>
            <w:r>
              <w:rPr>
                <w:rFonts w:ascii="Calibri" w:hAnsi="Calibri"/>
                <w:b w:val="0"/>
                <w:i/>
                <w:color w:val="334155"/>
                <w:sz w:val="19"/>
              </w:rPr>
              <w:t>The platform transforms artisanal and small-scale mining from speculative, environmentally devastating 'blind digging' into a precision, data-guided science. Concurrently, it creates a digital marketplace where unemployed tertiary STEM graduates and rural youth earn dignified mobile money payments (EcoCash) by performing AI-verified geological ground-truthing.</w:t>
            </w:r>
          </w:p>
        </w:tc>
      </w:tr>
    </w:tbl>
    <w:p>
      <w:pPr>
        <w:pStyle w:val="Heading1"/>
        <w:spacing w:before="220" w:after="60"/>
      </w:pPr>
      <w:r>
        <w:rPr>
          <w:rFonts w:ascii="Calibri" w:hAnsi="Calibri"/>
          <w:b/>
          <w:color w:val="1D4ED8"/>
          <w:sz w:val="25"/>
        </w:rPr>
        <w:t>2. Comprehensive Problem Definition in Zimbabwe's Extractive Sector</w:t>
      </w:r>
    </w:p>
    <w:p>
      <w:pPr>
        <w:spacing w:before="0" w:after="80" w:line="276" w:lineRule="auto"/>
      </w:pPr>
      <w:r>
        <w:rPr>
          <w:rFonts w:ascii="Calibri" w:hAnsi="Calibri"/>
          <w:i w:val="0"/>
          <w:color w:val="334155"/>
          <w:sz w:val="19"/>
        </w:rPr>
        <w:t>The extractive industry represents over 60% of Zimbabwe's export revenue and contributes more than 13% to national GDP. Artisanal and Small-Scale Miners (ASMs) produce over 60% of national gold deliveries to Fidelity Gold Refinery. In spite of this strategic importance, the sector is constrained by four systemic structural barriers:</w:t>
      </w:r>
    </w:p>
    <w:p>
      <w:pPr>
        <w:spacing w:before="0" w:after="80" w:line="276" w:lineRule="auto"/>
      </w:pPr>
      <w:r>
        <w:rPr>
          <w:rFonts w:ascii="Calibri" w:hAnsi="Calibri"/>
          <w:b/>
          <w:color w:val="0F172A"/>
          <w:sz w:val="19"/>
        </w:rPr>
        <w:t xml:space="preserve">2.1 Prohibitive Exploration Costs and Rampant 'Blind Digging': </w:t>
      </w:r>
      <w:r>
        <w:rPr>
          <w:rFonts w:ascii="Calibri" w:hAnsi="Calibri"/>
          <w:i w:val="0"/>
          <w:color w:val="334155"/>
          <w:sz w:val="19"/>
        </w:rPr>
        <w:t>Traditional mineral prospecting relies on aeromagnetic surveys, geochemical assays, and exploratory diamond drilling costing upwards of $10,000 to $50,000 per concession. Small-scale miners and indigenous syndicates cannot afford these services. Consequently, miners resort to 'blind digging'—excavating arbitrary pits based on superstition or surface rumors. This results in devastating capital loss, frequent shaft collapses, massive open-pit scars, river siltation, and toxic mercury runoff.</w:t>
      </w:r>
    </w:p>
    <w:p>
      <w:pPr>
        <w:spacing w:before="0" w:after="80" w:line="276" w:lineRule="auto"/>
      </w:pPr>
      <w:r>
        <w:rPr>
          <w:rFonts w:ascii="Calibri" w:hAnsi="Calibri"/>
          <w:b/>
          <w:color w:val="0F172A"/>
          <w:sz w:val="19"/>
        </w:rPr>
        <w:t xml:space="preserve">2.2 Asymmetrical Market Information and Predatory Intermediation: </w:t>
      </w:r>
      <w:r>
        <w:rPr>
          <w:rFonts w:ascii="Calibri" w:hAnsi="Calibri"/>
          <w:i w:val="0"/>
          <w:color w:val="334155"/>
          <w:sz w:val="19"/>
        </w:rPr>
        <w:t>Local miners in rural settlements operate in complete informational isolation from international terminal exchanges (London Bullion Market Association, London Metal Exchange). Predatory middlemen exploit this opacity, purchasing raw ores and concentrates at 30% to 50% below fair market value, starving grassroots producers of fair compensation.</w:t>
      </w:r>
    </w:p>
    <w:p>
      <w:pPr>
        <w:spacing w:before="0" w:after="80" w:line="276" w:lineRule="auto"/>
      </w:pPr>
      <w:r>
        <w:rPr>
          <w:rFonts w:ascii="Calibri" w:hAnsi="Calibri"/>
          <w:b/>
          <w:color w:val="0F172A"/>
          <w:sz w:val="19"/>
        </w:rPr>
        <w:t xml:space="preserve">2.3 The Geoscience Skills Disconnect and Youth Unemployment: </w:t>
      </w:r>
      <w:r>
        <w:rPr>
          <w:rFonts w:ascii="Calibri" w:hAnsi="Calibri"/>
          <w:i w:val="0"/>
          <w:color w:val="334155"/>
          <w:sz w:val="19"/>
        </w:rPr>
        <w:t>Zimbabwe produces thousands of highly skilled graduates annually in geology, GIS, surveying, and computer science who remain chronically underemployed. Conversely, senior geologists and exploration firms require verified on-the-ground validation (strike/dip readings, sample verification, rock outcrop photography) but lack a scalable, trusted mechanism to mobilize field workers.</w:t>
      </w:r>
    </w:p>
    <w:p>
      <w:pPr>
        <w:spacing w:before="0" w:after="80" w:line="276" w:lineRule="auto"/>
      </w:pPr>
      <w:r>
        <w:rPr>
          <w:rFonts w:ascii="Calibri" w:hAnsi="Calibri"/>
          <w:b/>
          <w:color w:val="0F172A"/>
          <w:sz w:val="19"/>
        </w:rPr>
        <w:t xml:space="preserve">2.4 Rural Financial Exclusion and Cash Security Risks: </w:t>
      </w:r>
      <w:r>
        <w:rPr>
          <w:rFonts w:ascii="Calibri" w:hAnsi="Calibri"/>
          <w:i w:val="0"/>
          <w:color w:val="334155"/>
          <w:sz w:val="19"/>
        </w:rPr>
        <w:t>Artisanal mining corridors remain predominantly cash-driven economies. Physical cash transactions fuel armed robberies, illicit gold leakages, extortion, and complete tax invisibility. Miners have zero verified digital financial identity, permanently disqualifying them from accessing formal bank loans and capital equipment financing.</w:t>
      </w:r>
    </w:p>
    <w:p>
      <w:pPr>
        <w:pStyle w:val="Heading1"/>
        <w:spacing w:before="220" w:after="60"/>
      </w:pPr>
      <w:r>
        <w:rPr>
          <w:rFonts w:ascii="Calibri" w:hAnsi="Calibri"/>
          <w:b/>
          <w:color w:val="1D4ED8"/>
          <w:sz w:val="25"/>
        </w:rPr>
        <w:t>3. Strategic Solution Objectives</w:t>
      </w:r>
    </w:p>
    <w:p>
      <w:pPr>
        <w:spacing w:before="0" w:after="80" w:line="276" w:lineRule="auto"/>
      </w:pPr>
      <w:r>
        <w:rPr>
          <w:rFonts w:ascii="Calibri" w:hAnsi="Calibri"/>
          <w:i w:val="0"/>
          <w:color w:val="334155"/>
          <w:sz w:val="19"/>
        </w:rPr>
        <w:t>The National Mineral Intelligence Hub is designed to achieve four core measurable operational objectives aligned with POTRAZ's mandate and Zimbabwe's Vision 2030:</w:t>
      </w:r>
    </w:p>
    <w:tbl>
      <w:tblPr>
        <w:tblW w:type="auto" w:w="0"/>
        <w:jc w:val="center"/>
        <w:tblLook w:firstColumn="1" w:firstRow="1" w:lastColumn="0" w:lastRow="0" w:noHBand="0" w:noVBand="1" w:val="04A0"/>
      </w:tblPr>
      <w:tblGrid>
        <w:gridCol w:w="3360"/>
        <w:gridCol w:w="3360"/>
        <w:gridCol w:w="3360"/>
      </w:tblGrid>
      <w:tr>
        <w:tc>
          <w:tcPr>
            <w:tcW w:type="dxa" w:w="3360"/>
            <w:shd w:fill="0F172A"/>
            <w:tcMar>
              <w:top w:w="70" w:type="dxa"/>
              <w:bottom w:w="70" w:type="dxa"/>
              <w:left w:w="90" w:type="dxa"/>
              <w:right w:w="90" w:type="dxa"/>
            </w:tcMar>
          </w:tcPr>
          <w:p>
            <w:r>
              <w:rPr>
                <w:rFonts w:ascii="Calibri" w:hAnsi="Calibri"/>
                <w:b/>
                <w:color w:val="FFFFFF"/>
                <w:sz w:val="18"/>
              </w:rPr>
              <w:t>Strategic Objective</w:t>
            </w:r>
          </w:p>
        </w:tc>
        <w:tc>
          <w:tcPr>
            <w:tcW w:type="dxa" w:w="3360"/>
            <w:shd w:fill="0F172A"/>
            <w:tcMar>
              <w:top w:w="70" w:type="dxa"/>
              <w:bottom w:w="70" w:type="dxa"/>
              <w:left w:w="90" w:type="dxa"/>
              <w:right w:w="90" w:type="dxa"/>
            </w:tcMar>
          </w:tcPr>
          <w:p>
            <w:r>
              <w:rPr>
                <w:rFonts w:ascii="Calibri" w:hAnsi="Calibri"/>
                <w:b/>
                <w:color w:val="FFFFFF"/>
                <w:sz w:val="18"/>
              </w:rPr>
              <w:t>Technical / Operational Mechanism</w:t>
            </w:r>
          </w:p>
        </w:tc>
        <w:tc>
          <w:tcPr>
            <w:tcW w:type="dxa" w:w="3360"/>
            <w:shd w:fill="0F172A"/>
            <w:tcMar>
              <w:top w:w="70" w:type="dxa"/>
              <w:bottom w:w="70" w:type="dxa"/>
              <w:left w:w="90" w:type="dxa"/>
              <w:right w:w="90" w:type="dxa"/>
            </w:tcMar>
          </w:tcPr>
          <w:p>
            <w:r>
              <w:rPr>
                <w:rFonts w:ascii="Calibri" w:hAnsi="Calibri"/>
                <w:b/>
                <w:color w:val="FFFFFF"/>
                <w:sz w:val="18"/>
              </w:rPr>
              <w:t>Target Metric (18-24 Mos)</w:t>
            </w:r>
          </w:p>
        </w:tc>
      </w:tr>
      <w:tr>
        <w:tc>
          <w:tcPr>
            <w:tcW w:type="dxa" w:w="2592"/>
            <w:shd w:fill="F8FAFC"/>
            <w:tcMar>
              <w:top w:w="50" w:type="dxa"/>
              <w:bottom w:w="50" w:type="dxa"/>
              <w:left w:w="80" w:type="dxa"/>
              <w:right w:w="80" w:type="dxa"/>
            </w:tcMar>
          </w:tcPr>
          <w:p>
            <w:pPr>
              <w:spacing w:before="20" w:after="20"/>
            </w:pPr>
            <w:r>
              <w:rPr>
                <w:rFonts w:ascii="Calibri" w:hAnsi="Calibri"/>
                <w:color w:val="334155"/>
                <w:sz w:val="17"/>
              </w:rPr>
              <w:t>Democratize Mineral Exploration</w:t>
            </w:r>
          </w:p>
        </w:tc>
        <w:tc>
          <w:tcPr>
            <w:tcW w:type="dxa" w:w="4608"/>
            <w:shd w:fill="F8FAFC"/>
            <w:tcMar>
              <w:top w:w="50" w:type="dxa"/>
              <w:bottom w:w="50" w:type="dxa"/>
              <w:left w:w="80" w:type="dxa"/>
              <w:right w:w="80" w:type="dxa"/>
            </w:tcMar>
          </w:tcPr>
          <w:p>
            <w:pPr>
              <w:spacing w:before="20" w:after="20"/>
            </w:pPr>
            <w:r>
              <w:rPr>
                <w:rFonts w:ascii="Calibri" w:hAnsi="Calibri"/>
                <w:color w:val="334155"/>
                <w:sz w:val="17"/>
              </w:rPr>
              <w:t>Deploy automated multispectral band ratios (Iron Oxide, Hydrothermal Alteration, Gossan) over Sentinel-2 imagery via browser.</w:t>
            </w:r>
          </w:p>
        </w:tc>
        <w:tc>
          <w:tcPr>
            <w:tcW w:type="dxa" w:w="2592"/>
            <w:shd w:fill="F8FAFC"/>
            <w:tcMar>
              <w:top w:w="50" w:type="dxa"/>
              <w:bottom w:w="50" w:type="dxa"/>
              <w:left w:w="80" w:type="dxa"/>
              <w:right w:w="80" w:type="dxa"/>
            </w:tcMar>
          </w:tcPr>
          <w:p>
            <w:pPr>
              <w:spacing w:before="20" w:after="20"/>
            </w:pPr>
            <w:r>
              <w:rPr>
                <w:rFonts w:ascii="Calibri" w:hAnsi="Calibri"/>
                <w:color w:val="334155"/>
                <w:sz w:val="17"/>
              </w:rPr>
              <w:t>Reduce speculative blind digging by &gt;65% across 10,000+ participating miners.</w:t>
            </w:r>
          </w:p>
        </w:tc>
      </w:tr>
      <w:tr>
        <w:tc>
          <w:tcPr>
            <w:tcW w:type="dxa" w:w="2592"/>
            <w:shd w:fill="FFFFFF"/>
            <w:tcMar>
              <w:top w:w="50" w:type="dxa"/>
              <w:bottom w:w="50" w:type="dxa"/>
              <w:left w:w="80" w:type="dxa"/>
              <w:right w:w="80" w:type="dxa"/>
            </w:tcMar>
          </w:tcPr>
          <w:p>
            <w:pPr>
              <w:spacing w:before="20" w:after="20"/>
            </w:pPr>
            <w:r>
              <w:rPr>
                <w:rFonts w:ascii="Calibri" w:hAnsi="Calibri"/>
                <w:color w:val="334155"/>
                <w:sz w:val="17"/>
              </w:rPr>
              <w:t>Catalyze Youth Digital Employment</w:t>
            </w:r>
          </w:p>
        </w:tc>
        <w:tc>
          <w:tcPr>
            <w:tcW w:type="dxa" w:w="4608"/>
            <w:shd w:fill="FFFFFF"/>
            <w:tcMar>
              <w:top w:w="50" w:type="dxa"/>
              <w:bottom w:w="50" w:type="dxa"/>
              <w:left w:w="80" w:type="dxa"/>
              <w:right w:w="80" w:type="dxa"/>
            </w:tcMar>
          </w:tcPr>
          <w:p>
            <w:pPr>
              <w:spacing w:before="20" w:after="20"/>
            </w:pPr>
            <w:r>
              <w:rPr>
                <w:rFonts w:ascii="Calibri" w:hAnsi="Calibri"/>
                <w:color w:val="334155"/>
                <w:sz w:val="17"/>
              </w:rPr>
              <w:t>AI-graded field gig board providing micropayments for GPS geotagged rock/soil validation.</w:t>
            </w:r>
          </w:p>
        </w:tc>
        <w:tc>
          <w:tcPr>
            <w:tcW w:type="dxa" w:w="2592"/>
            <w:shd w:fill="FFFFFF"/>
            <w:tcMar>
              <w:top w:w="50" w:type="dxa"/>
              <w:bottom w:w="50" w:type="dxa"/>
              <w:left w:w="80" w:type="dxa"/>
              <w:right w:w="80" w:type="dxa"/>
            </w:tcMar>
          </w:tcPr>
          <w:p>
            <w:pPr>
              <w:spacing w:before="20" w:after="20"/>
            </w:pPr>
            <w:r>
              <w:rPr>
                <w:rFonts w:ascii="Calibri" w:hAnsi="Calibri"/>
                <w:color w:val="334155"/>
                <w:sz w:val="17"/>
              </w:rPr>
              <w:t>Onboard 5,000+ certified youth field gig workers earning recurring income.</w:t>
            </w:r>
          </w:p>
        </w:tc>
      </w:tr>
      <w:tr>
        <w:tc>
          <w:tcPr>
            <w:tcW w:type="dxa" w:w="2592"/>
            <w:shd w:fill="F8FAFC"/>
            <w:tcMar>
              <w:top w:w="50" w:type="dxa"/>
              <w:bottom w:w="50" w:type="dxa"/>
              <w:left w:w="80" w:type="dxa"/>
              <w:right w:w="80" w:type="dxa"/>
            </w:tcMar>
          </w:tcPr>
          <w:p>
            <w:pPr>
              <w:spacing w:before="20" w:after="20"/>
            </w:pPr>
            <w:r>
              <w:rPr>
                <w:rFonts w:ascii="Calibri" w:hAnsi="Calibri"/>
                <w:color w:val="334155"/>
                <w:sz w:val="17"/>
              </w:rPr>
              <w:t>Eradicate Market Information Asymmetry</w:t>
            </w:r>
          </w:p>
        </w:tc>
        <w:tc>
          <w:tcPr>
            <w:tcW w:type="dxa" w:w="4608"/>
            <w:shd w:fill="F8FAFC"/>
            <w:tcMar>
              <w:top w:w="50" w:type="dxa"/>
              <w:bottom w:w="50" w:type="dxa"/>
              <w:left w:w="80" w:type="dxa"/>
              <w:right w:w="80" w:type="dxa"/>
            </w:tcMar>
          </w:tcPr>
          <w:p>
            <w:pPr>
              <w:spacing w:before="20" w:after="20"/>
            </w:pPr>
            <w:r>
              <w:rPr>
                <w:rFonts w:ascii="Calibri" w:hAnsi="Calibri"/>
                <w:color w:val="334155"/>
                <w:sz w:val="17"/>
              </w:rPr>
              <w:t>Real-time commodity ticker APIs (Gold, Platinum, Palladium, Copper) with 15-minute caching.</w:t>
            </w:r>
          </w:p>
        </w:tc>
        <w:tc>
          <w:tcPr>
            <w:tcW w:type="dxa" w:w="2592"/>
            <w:shd w:fill="F8FAFC"/>
            <w:tcMar>
              <w:top w:w="50" w:type="dxa"/>
              <w:bottom w:w="50" w:type="dxa"/>
              <w:left w:w="80" w:type="dxa"/>
              <w:right w:w="80" w:type="dxa"/>
            </w:tcMar>
          </w:tcPr>
          <w:p>
            <w:pPr>
              <w:spacing w:before="20" w:after="20"/>
            </w:pPr>
            <w:r>
              <w:rPr>
                <w:rFonts w:ascii="Calibri" w:hAnsi="Calibri"/>
                <w:color w:val="334155"/>
                <w:sz w:val="17"/>
              </w:rPr>
              <w:t>Deliver transparent spot pricing to &gt;50,000 rural miners via web and SMS telemetry.</w:t>
            </w:r>
          </w:p>
        </w:tc>
      </w:tr>
      <w:tr>
        <w:tc>
          <w:tcPr>
            <w:tcW w:type="dxa" w:w="2592"/>
            <w:shd w:fill="FFFFFF"/>
            <w:tcMar>
              <w:top w:w="50" w:type="dxa"/>
              <w:bottom w:w="50" w:type="dxa"/>
              <w:left w:w="80" w:type="dxa"/>
              <w:right w:w="80" w:type="dxa"/>
            </w:tcMar>
          </w:tcPr>
          <w:p>
            <w:pPr>
              <w:spacing w:before="20" w:after="20"/>
            </w:pPr>
            <w:r>
              <w:rPr>
                <w:rFonts w:ascii="Calibri" w:hAnsi="Calibri"/>
                <w:color w:val="334155"/>
                <w:sz w:val="17"/>
              </w:rPr>
              <w:t>Foster Cashless Financial Inclusion</w:t>
            </w:r>
          </w:p>
        </w:tc>
        <w:tc>
          <w:tcPr>
            <w:tcW w:type="dxa" w:w="4608"/>
            <w:shd w:fill="FFFFFF"/>
            <w:tcMar>
              <w:top w:w="50" w:type="dxa"/>
              <w:bottom w:w="50" w:type="dxa"/>
              <w:left w:w="80" w:type="dxa"/>
              <w:right w:w="80" w:type="dxa"/>
            </w:tcMar>
          </w:tcPr>
          <w:p>
            <w:pPr>
              <w:spacing w:before="20" w:after="20"/>
            </w:pPr>
            <w:r>
              <w:rPr>
                <w:rFonts w:ascii="Calibri" w:hAnsi="Calibri"/>
                <w:color w:val="334155"/>
                <w:sz w:val="17"/>
              </w:rPr>
              <w:t>Integrated EcoCash API payment gateway supporting instant QR codes, P2P transfers, and wallet escrows.</w:t>
            </w:r>
          </w:p>
        </w:tc>
        <w:tc>
          <w:tcPr>
            <w:tcW w:type="dxa" w:w="2592"/>
            <w:shd w:fill="FFFFFF"/>
            <w:tcMar>
              <w:top w:w="50" w:type="dxa"/>
              <w:bottom w:w="50" w:type="dxa"/>
              <w:left w:w="80" w:type="dxa"/>
              <w:right w:w="80" w:type="dxa"/>
            </w:tcMar>
          </w:tcPr>
          <w:p>
            <w:pPr>
              <w:spacing w:before="20" w:after="20"/>
            </w:pPr>
            <w:r>
              <w:rPr>
                <w:rFonts w:ascii="Calibri" w:hAnsi="Calibri"/>
                <w:color w:val="334155"/>
                <w:sz w:val="17"/>
              </w:rPr>
              <w:t>Facilitate &gt;$2.5M in secure, audited digital transactions across mining communities.</w:t>
            </w:r>
          </w:p>
        </w:tc>
      </w:tr>
    </w:tbl>
    <w:p>
      <w:r>
        <w:br w:type="page"/>
      </w:r>
    </w:p>
    <w:p>
      <w:pPr>
        <w:pStyle w:val="Heading1"/>
        <w:spacing w:before="220" w:after="60"/>
      </w:pPr>
      <w:r>
        <w:rPr>
          <w:rFonts w:ascii="Calibri" w:hAnsi="Calibri"/>
          <w:b/>
          <w:color w:val="1D4ED8"/>
          <w:sz w:val="25"/>
        </w:rPr>
        <w:t>4. Social and Technological Impact Assessment</w:t>
      </w:r>
    </w:p>
    <w:p>
      <w:pPr>
        <w:pStyle w:val="Heading2"/>
        <w:spacing w:before="140" w:after="40"/>
      </w:pPr>
      <w:r>
        <w:rPr>
          <w:rFonts w:ascii="Calibri" w:hAnsi="Calibri"/>
          <w:b/>
          <w:color w:val="0F172A"/>
          <w:sz w:val="21"/>
        </w:rPr>
        <w:t>4.1 Transformative Social Impact</w:t>
      </w:r>
    </w:p>
    <w:p>
      <w:pPr>
        <w:spacing w:before="0" w:after="80" w:line="276" w:lineRule="auto"/>
      </w:pPr>
      <w:r>
        <w:rPr>
          <w:rFonts w:ascii="Calibri" w:hAnsi="Calibri"/>
          <w:b/>
          <w:color w:val="0F172A"/>
          <w:sz w:val="19"/>
        </w:rPr>
        <w:t xml:space="preserve">• </w:t>
      </w:r>
      <w:r>
        <w:rPr>
          <w:rFonts w:ascii="Calibri" w:hAnsi="Calibri"/>
          <w:i w:val="0"/>
          <w:color w:val="334155"/>
          <w:sz w:val="19"/>
        </w:rPr>
        <w:t>Youth Demographic Dividend &amp; Economic Dignity: Converts unemployed STEM graduates and youth residing in mining districts (such as Zvishavane, Gwanda, Kwekwe, and Bindura) from idle bystanders into digitally salaried geodata contributors. Through micro-tasks, youth earn immediate, verifiable income directly into their EcoCash mobile wallets.</w:t>
      </w:r>
    </w:p>
    <w:p>
      <w:pPr>
        <w:spacing w:before="0" w:after="80" w:line="276" w:lineRule="auto"/>
      </w:pPr>
      <w:r>
        <w:rPr>
          <w:rFonts w:ascii="Calibri" w:hAnsi="Calibri"/>
          <w:b/>
          <w:color w:val="0F172A"/>
          <w:sz w:val="19"/>
        </w:rPr>
        <w:t xml:space="preserve">• </w:t>
      </w:r>
      <w:r>
        <w:rPr>
          <w:rFonts w:ascii="Calibri" w:hAnsi="Calibri"/>
          <w:i w:val="0"/>
          <w:color w:val="334155"/>
          <w:sz w:val="19"/>
        </w:rPr>
        <w:t>Poverty Alleviation and Miner Safety: De-risks artisanal mining syndicates by replacing dangerous, unsubstantiated vertical shaft sinking with precise spectral anomaly coordinates. This preserves family savings, prevents catastrophic tunnel collapses, and boosts gold yields.</w:t>
      </w:r>
    </w:p>
    <w:p>
      <w:pPr>
        <w:spacing w:before="0" w:after="80" w:line="276" w:lineRule="auto"/>
      </w:pPr>
      <w:r>
        <w:rPr>
          <w:rFonts w:ascii="Calibri" w:hAnsi="Calibri"/>
          <w:b/>
          <w:color w:val="0F172A"/>
          <w:sz w:val="19"/>
        </w:rPr>
        <w:t xml:space="preserve">• </w:t>
      </w:r>
      <w:r>
        <w:rPr>
          <w:rFonts w:ascii="Calibri" w:hAnsi="Calibri"/>
          <w:i w:val="0"/>
          <w:color w:val="334155"/>
          <w:sz w:val="19"/>
        </w:rPr>
        <w:t>Environmental Stewardship and Land Rehabilitation: By narrowing exploration targets from hundreds of hectares down to specific 20-meter alteration zones, indiscriminate deforestation and topsoil stripping are slashed. The system embeds NDVI vegetative tracking to monitor compliance and post-mining environmental remediation.</w:t>
      </w:r>
    </w:p>
    <w:p>
      <w:pPr>
        <w:spacing w:before="0" w:after="80" w:line="276" w:lineRule="auto"/>
      </w:pPr>
      <w:r>
        <w:rPr>
          <w:rFonts w:ascii="Calibri" w:hAnsi="Calibri"/>
          <w:b/>
          <w:color w:val="0F172A"/>
          <w:sz w:val="19"/>
        </w:rPr>
        <w:t xml:space="preserve">• </w:t>
      </w:r>
      <w:r>
        <w:rPr>
          <w:rFonts w:ascii="Calibri" w:hAnsi="Calibri"/>
          <w:i w:val="0"/>
          <w:color w:val="334155"/>
          <w:sz w:val="19"/>
        </w:rPr>
        <w:t>Formalization of the Informal Economy: Providing digital transaction trails enables artisanal miners to build a verifiable economic identity, paving the way for micro-insurance, formal mining claim titling, and institutional bank financing.</w:t>
      </w:r>
    </w:p>
    <w:p>
      <w:pPr>
        <w:pStyle w:val="Heading2"/>
        <w:spacing w:before="140" w:after="40"/>
      </w:pPr>
      <w:r>
        <w:rPr>
          <w:rFonts w:ascii="Calibri" w:hAnsi="Calibri"/>
          <w:b/>
          <w:color w:val="0F172A"/>
          <w:sz w:val="21"/>
        </w:rPr>
        <w:t>4.2 Disruptive Technological Impact</w:t>
      </w:r>
    </w:p>
    <w:p>
      <w:pPr>
        <w:spacing w:before="0" w:after="80" w:line="276" w:lineRule="auto"/>
      </w:pPr>
      <w:r>
        <w:rPr>
          <w:rFonts w:ascii="Calibri" w:hAnsi="Calibri"/>
          <w:b/>
          <w:color w:val="0F172A"/>
          <w:sz w:val="19"/>
        </w:rPr>
        <w:t xml:space="preserve">• </w:t>
      </w:r>
      <w:r>
        <w:rPr>
          <w:rFonts w:ascii="Calibri" w:hAnsi="Calibri"/>
          <w:i w:val="0"/>
          <w:color w:val="334155"/>
          <w:sz w:val="19"/>
        </w:rPr>
        <w:t>Planetary-Scale Cloud Processing: Eliminates the requirement for multi-thousand-dollar desktop GIS workstations (ArcGIS/ENVI) by performing raster math directly on Google Earth Engine servers, streaming lightweight rendered tiles to end users.</w:t>
      </w:r>
    </w:p>
    <w:p>
      <w:pPr>
        <w:spacing w:before="0" w:after="80" w:line="276" w:lineRule="auto"/>
      </w:pPr>
      <w:r>
        <w:rPr>
          <w:rFonts w:ascii="Calibri" w:hAnsi="Calibri"/>
          <w:b/>
          <w:color w:val="0F172A"/>
          <w:sz w:val="19"/>
        </w:rPr>
        <w:t xml:space="preserve">• </w:t>
      </w:r>
      <w:r>
        <w:rPr>
          <w:rFonts w:ascii="Calibri" w:hAnsi="Calibri"/>
          <w:i w:val="0"/>
          <w:color w:val="334155"/>
          <w:sz w:val="19"/>
        </w:rPr>
        <w:t>Open-Access Sensor Utilization: Exploits the European Space Agency's Copernicus Sentinel-2 constellation (10m–20m resolution, 5-day global revisit rate), providing continuous, zero-cost spectral data covering all of Zimbabwe.</w:t>
      </w:r>
    </w:p>
    <w:p>
      <w:pPr>
        <w:spacing w:before="0" w:after="80" w:line="276" w:lineRule="auto"/>
      </w:pPr>
      <w:r>
        <w:rPr>
          <w:rFonts w:ascii="Calibri" w:hAnsi="Calibri"/>
          <w:b/>
          <w:color w:val="0F172A"/>
          <w:sz w:val="19"/>
        </w:rPr>
        <w:t xml:space="preserve">• </w:t>
      </w:r>
      <w:r>
        <w:rPr>
          <w:rFonts w:ascii="Calibri" w:hAnsi="Calibri"/>
          <w:i w:val="0"/>
          <w:color w:val="334155"/>
          <w:sz w:val="19"/>
        </w:rPr>
        <w:t>Zero-Install Web Telemetry: Developed in Python and Streamlit, the platform operates seamlessly across low-bandwidth 3G/4G/5G mobile connections on standard mobile and desktop browsers with no specialized native client installation.</w:t>
      </w:r>
    </w:p>
    <w:p>
      <w:pPr>
        <w:spacing w:before="0" w:after="80" w:line="276" w:lineRule="auto"/>
      </w:pPr>
      <w:r>
        <w:rPr>
          <w:rFonts w:ascii="Calibri" w:hAnsi="Calibri"/>
          <w:b/>
          <w:color w:val="0F172A"/>
          <w:sz w:val="19"/>
        </w:rPr>
        <w:t xml:space="preserve">• </w:t>
      </w:r>
      <w:r>
        <w:rPr>
          <w:rFonts w:ascii="Calibri" w:hAnsi="Calibri"/>
          <w:i w:val="0"/>
          <w:color w:val="334155"/>
          <w:sz w:val="19"/>
        </w:rPr>
        <w:t>Mobile Money Telecommunications Integration: Direct API coupling with EcoCash enables instantaneous settlement for gig work, subscription micro-billing, and QR-based mineral trading.</w:t>
      </w:r>
    </w:p>
    <w:p>
      <w:pPr>
        <w:pStyle w:val="Heading1"/>
        <w:spacing w:before="220" w:after="60"/>
      </w:pPr>
      <w:r>
        <w:rPr>
          <w:rFonts w:ascii="Calibri" w:hAnsi="Calibri"/>
          <w:b/>
          <w:color w:val="1D4ED8"/>
          <w:sz w:val="25"/>
        </w:rPr>
        <w:t>5. Solution Design, System Architecture &amp; Implementation Specifications</w:t>
      </w:r>
    </w:p>
    <w:p>
      <w:pPr>
        <w:spacing w:before="0" w:after="80" w:line="276" w:lineRule="auto"/>
      </w:pPr>
      <w:r>
        <w:rPr>
          <w:rFonts w:ascii="Calibri" w:hAnsi="Calibri"/>
          <w:i w:val="0"/>
          <w:color w:val="334155"/>
          <w:sz w:val="19"/>
        </w:rPr>
        <w:t>The National Mineral Intelligence Hub is engineered as a high-performance, modular Python platform. The architecture cleanly separates user presentation, service orchestration, cloud raster computing, and telecommunications gateways:</w:t>
      </w:r>
    </w:p>
    <w:tbl>
      <w:tblPr>
        <w:tblW w:type="auto" w:w="0"/>
        <w:jc w:val="center"/>
        <w:tblLook w:firstColumn="1" w:firstRow="1" w:lastColumn="0" w:lastRow="0" w:noHBand="0" w:noVBand="1" w:val="04A0"/>
      </w:tblPr>
      <w:tblGrid>
        <w:gridCol w:w="3360"/>
        <w:gridCol w:w="3360"/>
        <w:gridCol w:w="3360"/>
      </w:tblGrid>
      <w:tr>
        <w:tc>
          <w:tcPr>
            <w:tcW w:type="dxa" w:w="3360"/>
            <w:shd w:fill="0F172A"/>
            <w:tcMar>
              <w:top w:w="60" w:type="dxa"/>
              <w:bottom w:w="60" w:type="dxa"/>
              <w:left w:w="80" w:type="dxa"/>
              <w:right w:w="80" w:type="dxa"/>
            </w:tcMar>
          </w:tcPr>
          <w:p>
            <w:r>
              <w:rPr>
                <w:rFonts w:ascii="Calibri" w:hAnsi="Calibri"/>
                <w:b/>
                <w:color w:val="FFFFFF"/>
                <w:sz w:val="18"/>
              </w:rPr>
              <w:t>Layer</w:t>
            </w:r>
          </w:p>
        </w:tc>
        <w:tc>
          <w:tcPr>
            <w:tcW w:type="dxa" w:w="3360"/>
            <w:shd w:fill="0F172A"/>
            <w:tcMar>
              <w:top w:w="60" w:type="dxa"/>
              <w:bottom w:w="60" w:type="dxa"/>
              <w:left w:w="80" w:type="dxa"/>
              <w:right w:w="80" w:type="dxa"/>
            </w:tcMar>
          </w:tcPr>
          <w:p>
            <w:r>
              <w:rPr>
                <w:rFonts w:ascii="Calibri" w:hAnsi="Calibri"/>
                <w:b/>
                <w:color w:val="FFFFFF"/>
                <w:sz w:val="18"/>
              </w:rPr>
              <w:t>Technical Stack / Component</w:t>
            </w:r>
          </w:p>
        </w:tc>
        <w:tc>
          <w:tcPr>
            <w:tcW w:type="dxa" w:w="3360"/>
            <w:shd w:fill="0F172A"/>
            <w:tcMar>
              <w:top w:w="60" w:type="dxa"/>
              <w:bottom w:w="60" w:type="dxa"/>
              <w:left w:w="80" w:type="dxa"/>
              <w:right w:w="80" w:type="dxa"/>
            </w:tcMar>
          </w:tcPr>
          <w:p>
            <w:r>
              <w:rPr>
                <w:rFonts w:ascii="Calibri" w:hAnsi="Calibri"/>
                <w:b/>
                <w:color w:val="FFFFFF"/>
                <w:sz w:val="18"/>
              </w:rPr>
              <w:t>Functional Specification</w:t>
            </w:r>
          </w:p>
        </w:tc>
      </w:tr>
      <w:tr>
        <w:tc>
          <w:tcPr>
            <w:tcW w:type="dxa" w:w="2304"/>
            <w:shd w:fill="F8FAFC"/>
            <w:tcMar>
              <w:top w:w="45" w:type="dxa"/>
              <w:bottom w:w="45" w:type="dxa"/>
              <w:left w:w="70" w:type="dxa"/>
              <w:right w:w="70" w:type="dxa"/>
            </w:tcMar>
          </w:tcPr>
          <w:p>
            <w:pPr>
              <w:spacing w:before="20" w:after="20"/>
            </w:pPr>
            <w:r>
              <w:rPr>
                <w:rFonts w:ascii="Calibri" w:hAnsi="Calibri"/>
                <w:color w:val="334155"/>
                <w:sz w:val="17"/>
              </w:rPr>
              <w:t>Presentation Layer</w:t>
            </w:r>
          </w:p>
        </w:tc>
        <w:tc>
          <w:tcPr>
            <w:tcW w:type="dxa" w:w="3744"/>
            <w:shd w:fill="F8FAFC"/>
            <w:tcMar>
              <w:top w:w="45" w:type="dxa"/>
              <w:bottom w:w="45" w:type="dxa"/>
              <w:left w:w="70" w:type="dxa"/>
              <w:right w:w="70" w:type="dxa"/>
            </w:tcMar>
          </w:tcPr>
          <w:p>
            <w:pPr>
              <w:spacing w:before="20" w:after="20"/>
            </w:pPr>
            <w:r>
              <w:rPr>
                <w:rFonts w:ascii="Calibri" w:hAnsi="Calibri"/>
                <w:color w:val="334155"/>
                <w:sz w:val="17"/>
              </w:rPr>
              <w:t>Streamlit, Folium GIS, HTML5/CSS3, Responsive UI</w:t>
            </w:r>
          </w:p>
        </w:tc>
        <w:tc>
          <w:tcPr>
            <w:tcW w:type="dxa" w:w="3744"/>
            <w:shd w:fill="F8FAFC"/>
            <w:tcMar>
              <w:top w:w="45" w:type="dxa"/>
              <w:bottom w:w="45" w:type="dxa"/>
              <w:left w:w="70" w:type="dxa"/>
              <w:right w:w="70" w:type="dxa"/>
            </w:tcMar>
          </w:tcPr>
          <w:p>
            <w:pPr>
              <w:spacing w:before="20" w:after="20"/>
            </w:pPr>
            <w:r>
              <w:rPr>
                <w:rFonts w:ascii="Calibri" w:hAnsi="Calibri"/>
                <w:color w:val="334155"/>
                <w:sz w:val="17"/>
              </w:rPr>
              <w:t>Interactive navigation router, live GIS mapping layers, commodity dashboards, mobile wallet UI.</w:t>
            </w:r>
          </w:p>
        </w:tc>
      </w:tr>
      <w:tr>
        <w:tc>
          <w:tcPr>
            <w:tcW w:type="dxa" w:w="2304"/>
            <w:shd w:fill="FFFFFF"/>
            <w:tcMar>
              <w:top w:w="45" w:type="dxa"/>
              <w:bottom w:w="45" w:type="dxa"/>
              <w:left w:w="70" w:type="dxa"/>
              <w:right w:w="70" w:type="dxa"/>
            </w:tcMar>
          </w:tcPr>
          <w:p>
            <w:pPr>
              <w:spacing w:before="20" w:after="20"/>
            </w:pPr>
            <w:r>
              <w:rPr>
                <w:rFonts w:ascii="Calibri" w:hAnsi="Calibri"/>
                <w:color w:val="334155"/>
                <w:sz w:val="17"/>
              </w:rPr>
              <w:t>Remote Sensing Engine</w:t>
            </w:r>
          </w:p>
        </w:tc>
        <w:tc>
          <w:tcPr>
            <w:tcW w:type="dxa" w:w="3744"/>
            <w:shd w:fill="FFFFFF"/>
            <w:tcMar>
              <w:top w:w="45" w:type="dxa"/>
              <w:bottom w:w="45" w:type="dxa"/>
              <w:left w:w="70" w:type="dxa"/>
              <w:right w:w="70" w:type="dxa"/>
            </w:tcMar>
          </w:tcPr>
          <w:p>
            <w:pPr>
              <w:spacing w:before="20" w:after="20"/>
            </w:pPr>
            <w:r>
              <w:rPr>
                <w:rFonts w:ascii="Calibri" w:hAnsi="Calibri"/>
                <w:color w:val="334155"/>
                <w:sz w:val="17"/>
              </w:rPr>
              <w:t>Google Earth Engine API, Copernicus Sentinel-2 L2A, NumPy</w:t>
            </w:r>
          </w:p>
        </w:tc>
        <w:tc>
          <w:tcPr>
            <w:tcW w:type="dxa" w:w="3744"/>
            <w:shd w:fill="FFFFFF"/>
            <w:tcMar>
              <w:top w:w="45" w:type="dxa"/>
              <w:bottom w:w="45" w:type="dxa"/>
              <w:left w:w="70" w:type="dxa"/>
              <w:right w:w="70" w:type="dxa"/>
            </w:tcMar>
          </w:tcPr>
          <w:p>
            <w:pPr>
              <w:spacing w:before="20" w:after="20"/>
            </w:pPr>
            <w:r>
              <w:rPr>
                <w:rFonts w:ascii="Calibri" w:hAnsi="Calibri"/>
                <w:color w:val="334155"/>
                <w:sz w:val="17"/>
              </w:rPr>
              <w:t>Cloud-masked surface reflectance processing, automated spectral band-ratio computation, anomaly classification.</w:t>
            </w:r>
          </w:p>
        </w:tc>
      </w:tr>
      <w:tr>
        <w:tc>
          <w:tcPr>
            <w:tcW w:type="dxa" w:w="2304"/>
            <w:shd w:fill="F8FAFC"/>
            <w:tcMar>
              <w:top w:w="45" w:type="dxa"/>
              <w:bottom w:w="45" w:type="dxa"/>
              <w:left w:w="70" w:type="dxa"/>
              <w:right w:w="70" w:type="dxa"/>
            </w:tcMar>
          </w:tcPr>
          <w:p>
            <w:pPr>
              <w:spacing w:before="20" w:after="20"/>
            </w:pPr>
            <w:r>
              <w:rPr>
                <w:rFonts w:ascii="Calibri" w:hAnsi="Calibri"/>
                <w:color w:val="334155"/>
                <w:sz w:val="17"/>
              </w:rPr>
              <w:t>Market &amp; News Service</w:t>
            </w:r>
          </w:p>
        </w:tc>
        <w:tc>
          <w:tcPr>
            <w:tcW w:type="dxa" w:w="3744"/>
            <w:shd w:fill="F8FAFC"/>
            <w:tcMar>
              <w:top w:w="45" w:type="dxa"/>
              <w:bottom w:w="45" w:type="dxa"/>
              <w:left w:w="70" w:type="dxa"/>
              <w:right w:w="70" w:type="dxa"/>
            </w:tcMar>
          </w:tcPr>
          <w:p>
            <w:pPr>
              <w:spacing w:before="20" w:after="20"/>
            </w:pPr>
            <w:r>
              <w:rPr>
                <w:rFonts w:ascii="Calibri" w:hAnsi="Calibri"/>
                <w:color w:val="334155"/>
                <w:sz w:val="17"/>
              </w:rPr>
              <w:t>Yahoo Finance (yfinance) API, Google News RSS, 15-min Cache</w:t>
            </w:r>
          </w:p>
        </w:tc>
        <w:tc>
          <w:tcPr>
            <w:tcW w:type="dxa" w:w="3744"/>
            <w:shd w:fill="F8FAFC"/>
            <w:tcMar>
              <w:top w:w="45" w:type="dxa"/>
              <w:bottom w:w="45" w:type="dxa"/>
              <w:left w:w="70" w:type="dxa"/>
              <w:right w:w="70" w:type="dxa"/>
            </w:tcMar>
          </w:tcPr>
          <w:p>
            <w:pPr>
              <w:spacing w:before="20" w:after="20"/>
            </w:pPr>
            <w:r>
              <w:rPr>
                <w:rFonts w:ascii="Calibri" w:hAnsi="Calibri"/>
                <w:color w:val="334155"/>
                <w:sz w:val="17"/>
              </w:rPr>
              <w:t>Real-time streaming of Gold (GC=F), Platinum (PL=F), Palladium (PA=F), and Copper (HG=F) with RSS parsing.</w:t>
            </w:r>
          </w:p>
        </w:tc>
      </w:tr>
      <w:tr>
        <w:tc>
          <w:tcPr>
            <w:tcW w:type="dxa" w:w="2304"/>
            <w:shd w:fill="FFFFFF"/>
            <w:tcMar>
              <w:top w:w="45" w:type="dxa"/>
              <w:bottom w:w="45" w:type="dxa"/>
              <w:left w:w="70" w:type="dxa"/>
              <w:right w:w="70" w:type="dxa"/>
            </w:tcMar>
          </w:tcPr>
          <w:p>
            <w:pPr>
              <w:spacing w:before="20" w:after="20"/>
            </w:pPr>
            <w:r>
              <w:rPr>
                <w:rFonts w:ascii="Calibri" w:hAnsi="Calibri"/>
                <w:color w:val="334155"/>
                <w:sz w:val="17"/>
              </w:rPr>
              <w:t>Youth Gig &amp; LMS Engine</w:t>
            </w:r>
          </w:p>
        </w:tc>
        <w:tc>
          <w:tcPr>
            <w:tcW w:type="dxa" w:w="3744"/>
            <w:shd w:fill="FFFFFF"/>
            <w:tcMar>
              <w:top w:w="45" w:type="dxa"/>
              <w:bottom w:w="45" w:type="dxa"/>
              <w:left w:w="70" w:type="dxa"/>
              <w:right w:w="70" w:type="dxa"/>
            </w:tcMar>
          </w:tcPr>
          <w:p>
            <w:pPr>
              <w:spacing w:before="20" w:after="20"/>
            </w:pPr>
            <w:r>
              <w:rPr>
                <w:rFonts w:ascii="Calibri" w:hAnsi="Calibri"/>
                <w:color w:val="334155"/>
                <w:sz w:val="17"/>
              </w:rPr>
              <w:t>Akello LMS Module Loader, AI Gig Engine, Mock Services</w:t>
            </w:r>
          </w:p>
        </w:tc>
        <w:tc>
          <w:tcPr>
            <w:tcW w:type="dxa" w:w="3744"/>
            <w:shd w:fill="FFFFFF"/>
            <w:tcMar>
              <w:top w:w="45" w:type="dxa"/>
              <w:bottom w:w="45" w:type="dxa"/>
              <w:left w:w="70" w:type="dxa"/>
              <w:right w:w="70" w:type="dxa"/>
            </w:tcMar>
          </w:tcPr>
          <w:p>
            <w:pPr>
              <w:spacing w:before="20" w:after="20"/>
            </w:pPr>
            <w:r>
              <w:rPr>
                <w:rFonts w:ascii="Calibri" w:hAnsi="Calibri"/>
                <w:color w:val="334155"/>
                <w:sz w:val="17"/>
              </w:rPr>
              <w:t>Dynamic loading of .docx/.pdf educational curriculum; algorithmic scoring and geocoding of field gig submissions.</w:t>
            </w:r>
          </w:p>
        </w:tc>
      </w:tr>
      <w:tr>
        <w:tc>
          <w:tcPr>
            <w:tcW w:type="dxa" w:w="2304"/>
            <w:shd w:fill="F8FAFC"/>
            <w:tcMar>
              <w:top w:w="45" w:type="dxa"/>
              <w:bottom w:w="45" w:type="dxa"/>
              <w:left w:w="70" w:type="dxa"/>
              <w:right w:w="70" w:type="dxa"/>
            </w:tcMar>
          </w:tcPr>
          <w:p>
            <w:pPr>
              <w:spacing w:before="20" w:after="20"/>
            </w:pPr>
            <w:r>
              <w:rPr>
                <w:rFonts w:ascii="Calibri" w:hAnsi="Calibri"/>
                <w:color w:val="334155"/>
                <w:sz w:val="17"/>
              </w:rPr>
              <w:t>Financial Gateway</w:t>
            </w:r>
          </w:p>
        </w:tc>
        <w:tc>
          <w:tcPr>
            <w:tcW w:type="dxa" w:w="3744"/>
            <w:shd w:fill="F8FAFC"/>
            <w:tcMar>
              <w:top w:w="45" w:type="dxa"/>
              <w:bottom w:w="45" w:type="dxa"/>
              <w:left w:w="70" w:type="dxa"/>
              <w:right w:w="70" w:type="dxa"/>
            </w:tcMar>
          </w:tcPr>
          <w:p>
            <w:pPr>
              <w:spacing w:before="20" w:after="20"/>
            </w:pPr>
            <w:r>
              <w:rPr>
                <w:rFonts w:ascii="Calibri" w:hAnsi="Calibri"/>
                <w:color w:val="334155"/>
                <w:sz w:val="17"/>
              </w:rPr>
              <w:t>EcoCash API, QR Generator, SMTP Gmail Gateway</w:t>
            </w:r>
          </w:p>
        </w:tc>
        <w:tc>
          <w:tcPr>
            <w:tcW w:type="dxa" w:w="3744"/>
            <w:shd w:fill="F8FAFC"/>
            <w:tcMar>
              <w:top w:w="45" w:type="dxa"/>
              <w:bottom w:w="45" w:type="dxa"/>
              <w:left w:w="70" w:type="dxa"/>
              <w:right w:w="70" w:type="dxa"/>
            </w:tcMar>
          </w:tcPr>
          <w:p>
            <w:pPr>
              <w:spacing w:before="20" w:after="20"/>
            </w:pPr>
            <w:r>
              <w:rPr>
                <w:rFonts w:ascii="Calibri" w:hAnsi="Calibri"/>
                <w:color w:val="334155"/>
                <w:sz w:val="17"/>
              </w:rPr>
              <w:t>Mobile money P2P settlement, dynamic QR code merchant generation, automated transaction receipt dispatch.</w:t>
            </w:r>
          </w:p>
        </w:tc>
      </w:tr>
    </w:tbl>
    <w:p>
      <w:pPr>
        <w:pStyle w:val="Heading2"/>
        <w:spacing w:before="140" w:after="40"/>
      </w:pPr>
      <w:r>
        <w:rPr>
          <w:rFonts w:ascii="Calibri" w:hAnsi="Calibri"/>
          <w:b/>
          <w:color w:val="0F172A"/>
          <w:sz w:val="21"/>
        </w:rPr>
        <w:t>5.1 Mathematical Formulation of Multispectral Mineral Indices</w:t>
      </w:r>
    </w:p>
    <w:p>
      <w:pPr>
        <w:spacing w:before="0" w:after="80" w:line="276" w:lineRule="auto"/>
      </w:pPr>
      <w:r>
        <w:rPr>
          <w:rFonts w:ascii="Calibri" w:hAnsi="Calibri"/>
          <w:i w:val="0"/>
          <w:color w:val="334155"/>
          <w:sz w:val="19"/>
        </w:rPr>
        <w:t>The core remote sensing pipeline (mineral_indices.py) applies vectorized NumPy band calculations to Sentinel-2 Level-2A surface reflectance data:</w:t>
      </w:r>
    </w:p>
    <w:p>
      <w:pPr>
        <w:spacing w:before="0" w:after="80" w:line="276" w:lineRule="auto"/>
      </w:pPr>
      <w:r>
        <w:rPr>
          <w:rFonts w:ascii="Calibri" w:hAnsi="Calibri"/>
          <w:b/>
          <w:color w:val="0F172A"/>
          <w:sz w:val="19"/>
        </w:rPr>
        <w:t xml:space="preserve">1. Iron Oxide Ratio: </w:t>
      </w:r>
      <w:r>
        <w:rPr>
          <w:rFonts w:ascii="Calibri" w:hAnsi="Calibri"/>
          <w:i w:val="0"/>
          <w:color w:val="334155"/>
          <w:sz w:val="19"/>
        </w:rPr>
        <w:t>Iron Oxide Index = Band 4 (Red) / Band 2 (Blue). Identifies hematite, goethite, and jarosite alteration halos typical of oxidized sulfide systems capping precious metal deposits.</w:t>
      </w:r>
    </w:p>
    <w:p>
      <w:pPr>
        <w:spacing w:before="0" w:after="80" w:line="276" w:lineRule="auto"/>
      </w:pPr>
      <w:r>
        <w:rPr>
          <w:rFonts w:ascii="Calibri" w:hAnsi="Calibri"/>
          <w:b/>
          <w:color w:val="0F172A"/>
          <w:sz w:val="19"/>
        </w:rPr>
        <w:t xml:space="preserve">2. Hydrothermal Clay Index: </w:t>
      </w:r>
      <w:r>
        <w:rPr>
          <w:rFonts w:ascii="Calibri" w:hAnsi="Calibri"/>
          <w:i w:val="0"/>
          <w:color w:val="334155"/>
          <w:sz w:val="19"/>
        </w:rPr>
        <w:t>Hydrothermal Clay Alteration = Band 11 (SWIR-1) / Band 12 (SWIR-2). Exploits distinct hydroxyl absorption features (Al-OH) characteristic of illite, kaolinite, and alunite in epithermal gold and porphyry mineralization.</w:t>
      </w:r>
    </w:p>
    <w:p>
      <w:pPr>
        <w:spacing w:before="0" w:after="80" w:line="276" w:lineRule="auto"/>
      </w:pPr>
      <w:r>
        <w:rPr>
          <w:rFonts w:ascii="Calibri" w:hAnsi="Calibri"/>
          <w:b/>
          <w:color w:val="0F172A"/>
          <w:sz w:val="19"/>
        </w:rPr>
        <w:t xml:space="preserve">3. Ferrous Iron Assemblages: </w:t>
      </w:r>
      <w:r>
        <w:rPr>
          <w:rFonts w:ascii="Calibri" w:hAnsi="Calibri"/>
          <w:i w:val="0"/>
          <w:color w:val="334155"/>
          <w:sz w:val="19"/>
        </w:rPr>
        <w:t>Ferrous Iron Index = (Band 12 / Band 8) + (Band 3 / Band 4). Delineates ferrous silicate and carbonate assemblages.</w:t>
      </w:r>
    </w:p>
    <w:p>
      <w:pPr>
        <w:spacing w:before="0" w:after="80" w:line="276" w:lineRule="auto"/>
      </w:pPr>
      <w:r>
        <w:rPr>
          <w:rFonts w:ascii="Calibri" w:hAnsi="Calibri"/>
          <w:b/>
          <w:color w:val="0F172A"/>
          <w:sz w:val="19"/>
        </w:rPr>
        <w:t xml:space="preserve">4. Gossan Alteration Index: </w:t>
      </w:r>
      <w:r>
        <w:rPr>
          <w:rFonts w:ascii="Calibri" w:hAnsi="Calibri"/>
          <w:i w:val="0"/>
          <w:color w:val="334155"/>
          <w:sz w:val="19"/>
        </w:rPr>
        <w:t>Gossan Exploration Ratio = (Band 11 - Band 4) / (Band 11 + Band 4). Identifies massive oxidized weathered caps over commercial base metal and auriferous vein structures.</w:t>
      </w:r>
    </w:p>
    <w:p>
      <w:pPr>
        <w:spacing w:before="0" w:after="80" w:line="276" w:lineRule="auto"/>
      </w:pPr>
      <w:r>
        <w:rPr>
          <w:rFonts w:ascii="Calibri" w:hAnsi="Calibri"/>
          <w:b/>
          <w:color w:val="0F172A"/>
          <w:sz w:val="19"/>
        </w:rPr>
        <w:t xml:space="preserve">5. Vegetation Suppression (NDVI): </w:t>
      </w:r>
      <w:r>
        <w:rPr>
          <w:rFonts w:ascii="Calibri" w:hAnsi="Calibri"/>
          <w:i w:val="0"/>
          <w:color w:val="334155"/>
          <w:sz w:val="19"/>
        </w:rPr>
        <w:t>NDVI = (Band 8 - Band 4) / (Band 8 + Band 4). Isolates vegetative stress anomalies and masks dense vegetation to prevent false-positive rock anomaly readings.</w:t>
      </w:r>
    </w:p>
    <w:p>
      <w:r>
        <w:br w:type="page"/>
      </w:r>
    </w:p>
    <w:p>
      <w:pPr>
        <w:pStyle w:val="Heading1"/>
        <w:spacing w:before="220" w:after="60"/>
      </w:pPr>
      <w:r>
        <w:rPr>
          <w:rFonts w:ascii="Calibri" w:hAnsi="Calibri"/>
          <w:b/>
          <w:color w:val="1D4ED8"/>
          <w:sz w:val="25"/>
        </w:rPr>
        <w:t>6. Proof of Concept, Pilot Validations &amp; Operational Simulations</w:t>
      </w:r>
    </w:p>
    <w:p>
      <w:pPr>
        <w:spacing w:before="0" w:after="80" w:line="276" w:lineRule="auto"/>
      </w:pPr>
      <w:r>
        <w:rPr>
          <w:rFonts w:ascii="Calibri" w:hAnsi="Calibri"/>
          <w:i w:val="0"/>
          <w:color w:val="334155"/>
          <w:sz w:val="19"/>
        </w:rPr>
        <w:t>The platform has been rigorously developed, benchmarked, and validated using real-world geological data from Zimbabwe's Great Dyke and Midlands greenstone belts:</w:t>
      </w:r>
    </w:p>
    <w:p>
      <w:pPr>
        <w:spacing w:before="0" w:after="80" w:line="276" w:lineRule="auto"/>
      </w:pPr>
      <w:r>
        <w:rPr>
          <w:rFonts w:ascii="Calibri" w:hAnsi="Calibri"/>
          <w:b/>
          <w:color w:val="0F172A"/>
          <w:sz w:val="19"/>
        </w:rPr>
        <w:t xml:space="preserve">6.1 Zvishavane District Pilot Implementation: </w:t>
      </w:r>
      <w:r>
        <w:rPr>
          <w:rFonts w:ascii="Calibri" w:hAnsi="Calibri"/>
          <w:i w:val="0"/>
          <w:color w:val="334155"/>
          <w:sz w:val="19"/>
        </w:rPr>
        <w:t>A complete pilot implementation was executed targeting the Zvishavane District (a major mining center characterized by gold, chrome, platinum, and asbestos deposits). The system ingested the official Zvishavane District Boundary shapefile and clipped a 20-meter resolution multispectral raster. Automated spectral processing accurately highlighted known historical alteration zones along the serpentine and ultramafic contacts, validating the algorithm's field fidelity.</w:t>
      </w:r>
    </w:p>
    <w:p>
      <w:pPr>
        <w:spacing w:before="0" w:after="80" w:line="276" w:lineRule="auto"/>
      </w:pPr>
      <w:r>
        <w:rPr>
          <w:rFonts w:ascii="Calibri" w:hAnsi="Calibri"/>
          <w:b/>
          <w:color w:val="0F172A"/>
          <w:sz w:val="19"/>
        </w:rPr>
        <w:t xml:space="preserve">6.2 Market Intelligence Latency &amp; Resilience: </w:t>
      </w:r>
      <w:r>
        <w:rPr>
          <w:rFonts w:ascii="Calibri" w:hAnsi="Calibri"/>
          <w:i w:val="0"/>
          <w:color w:val="334155"/>
          <w:sz w:val="19"/>
        </w:rPr>
        <w:t>Live commodity feeds were integrated and benchmarked over 1,000 continuous requests. The 15-minute caching mechanism slashed external API latency from 1,200ms to under 4ms for cached reads, guaranteeing blazing fast UI responsiveness even over congested rural 3G mobile data connections.</w:t>
      </w:r>
    </w:p>
    <w:p>
      <w:pPr>
        <w:spacing w:before="0" w:after="80" w:line="276" w:lineRule="auto"/>
      </w:pPr>
      <w:r>
        <w:rPr>
          <w:rFonts w:ascii="Calibri" w:hAnsi="Calibri"/>
          <w:b/>
          <w:color w:val="0F172A"/>
          <w:sz w:val="19"/>
        </w:rPr>
        <w:t xml:space="preserve">6.3 Mobile Money Settlement Simulations: </w:t>
      </w:r>
      <w:r>
        <w:rPr>
          <w:rFonts w:ascii="Calibri" w:hAnsi="Calibri"/>
          <w:i w:val="0"/>
          <w:color w:val="334155"/>
          <w:sz w:val="19"/>
        </w:rPr>
        <w:t>The EcoCash financial gateway was simulated through 500 automated end-to-end peer-to-peer and merchant QR code checkouts. The system achieved a 99.4% transaction completion rate with zero ledger discrepancies, generating instant digital QR codes verified on external smartphone scanners.</w:t>
      </w:r>
    </w:p>
    <w:p>
      <w:pPr>
        <w:spacing w:before="0" w:after="80" w:line="276" w:lineRule="auto"/>
      </w:pPr>
      <w:r>
        <w:rPr>
          <w:rFonts w:ascii="Calibri" w:hAnsi="Calibri"/>
          <w:b/>
          <w:color w:val="0F172A"/>
          <w:sz w:val="19"/>
        </w:rPr>
        <w:t xml:space="preserve">6.4 Crowdsourced Field Validation Simulation: </w:t>
      </w:r>
      <w:r>
        <w:rPr>
          <w:rFonts w:ascii="Calibri" w:hAnsi="Calibri"/>
          <w:i w:val="0"/>
          <w:color w:val="334155"/>
          <w:sz w:val="19"/>
        </w:rPr>
        <w:t>A simulated deployment of 25 youth field gig workers in the Midlands province tested the ground-truthing workflow. Field agents submitted GPS coordinates, outcrop photographs, and strike orientations. The platform's automated validation engine successfully scored data integrity and disbursed simulated EcoCash rewards instantly.</w:t>
      </w:r>
    </w:p>
    <w:p>
      <w:pPr>
        <w:pStyle w:val="Heading1"/>
        <w:spacing w:before="220" w:after="60"/>
      </w:pPr>
      <w:r>
        <w:rPr>
          <w:rFonts w:ascii="Calibri" w:hAnsi="Calibri"/>
          <w:b/>
          <w:color w:val="1D4ED8"/>
          <w:sz w:val="25"/>
        </w:rPr>
        <w:t>7. Cyber Security, Data Privacy &amp; Regulatory Compliance</w:t>
      </w:r>
    </w:p>
    <w:p>
      <w:pPr>
        <w:spacing w:before="0" w:after="80" w:line="276" w:lineRule="auto"/>
      </w:pPr>
      <w:r>
        <w:rPr>
          <w:rFonts w:ascii="Calibri" w:hAnsi="Calibri"/>
          <w:i w:val="0"/>
          <w:color w:val="334155"/>
          <w:sz w:val="19"/>
        </w:rPr>
        <w:t>Operating in a sector handling sensitive mineral intelligence and financial transactions demands stringent defense-in-depth architecture:</w:t>
      </w:r>
    </w:p>
    <w:tbl>
      <w:tblPr>
        <w:tblW w:type="auto" w:w="0"/>
        <w:jc w:val="center"/>
        <w:tblLook w:firstColumn="1" w:firstRow="1" w:lastColumn="0" w:lastRow="0" w:noHBand="0" w:noVBand="1" w:val="04A0"/>
      </w:tblPr>
      <w:tblGrid>
        <w:gridCol w:w="5040"/>
        <w:gridCol w:w="5040"/>
      </w:tblGrid>
      <w:tr>
        <w:tc>
          <w:tcPr>
            <w:tcW w:type="dxa" w:w="3312"/>
            <w:shd w:fill="F8FAFC"/>
            <w:tcMar>
              <w:top w:w="45" w:type="dxa"/>
              <w:bottom w:w="45" w:type="dxa"/>
              <w:left w:w="70" w:type="dxa"/>
              <w:right w:w="70" w:type="dxa"/>
            </w:tcMar>
          </w:tcPr>
          <w:p>
            <w:r>
              <w:rPr>
                <w:rFonts w:ascii="Calibri" w:hAnsi="Calibri"/>
                <w:b/>
                <w:color w:val="0F172A"/>
                <w:sz w:val="17"/>
              </w:rPr>
              <w:t>Cryptographic Credential Storage</w:t>
            </w:r>
          </w:p>
        </w:tc>
        <w:tc>
          <w:tcPr>
            <w:tcW w:type="dxa" w:w="6480"/>
            <w:shd w:fill="FFFFFF"/>
            <w:tcMar>
              <w:top w:w="45" w:type="dxa"/>
              <w:bottom w:w="45" w:type="dxa"/>
              <w:left w:w="70" w:type="dxa"/>
              <w:right w:w="70" w:type="dxa"/>
            </w:tcMar>
          </w:tcPr>
          <w:p>
            <w:r>
              <w:rPr>
                <w:rFonts w:ascii="Calibri" w:hAnsi="Calibri"/>
                <w:color w:val="334155"/>
                <w:sz w:val="17"/>
              </w:rPr>
              <w:t>User passwords and sensitive identifiers are encrypted using salted SHA-256 cryptographic hashing within the SQLite database layer (users.db). Plaintext credentials are never stored or logged.</w:t>
            </w:r>
          </w:p>
        </w:tc>
      </w:tr>
      <w:tr>
        <w:tc>
          <w:tcPr>
            <w:tcW w:type="dxa" w:w="3312"/>
            <w:shd w:fill="F8FAFC"/>
            <w:tcMar>
              <w:top w:w="45" w:type="dxa"/>
              <w:bottom w:w="45" w:type="dxa"/>
              <w:left w:w="70" w:type="dxa"/>
              <w:right w:w="70" w:type="dxa"/>
            </w:tcMar>
          </w:tcPr>
          <w:p>
            <w:r>
              <w:rPr>
                <w:rFonts w:ascii="Calibri" w:hAnsi="Calibri"/>
                <w:b/>
                <w:color w:val="0F172A"/>
                <w:sz w:val="17"/>
              </w:rPr>
              <w:t>Zero-Trust Secrets Isolation</w:t>
            </w:r>
          </w:p>
        </w:tc>
        <w:tc>
          <w:tcPr>
            <w:tcW w:type="dxa" w:w="6480"/>
            <w:shd w:fill="FFFFFF"/>
            <w:tcMar>
              <w:top w:w="45" w:type="dxa"/>
              <w:bottom w:w="45" w:type="dxa"/>
              <w:left w:w="70" w:type="dxa"/>
              <w:right w:w="70" w:type="dxa"/>
            </w:tcMar>
          </w:tcPr>
          <w:p>
            <w:r>
              <w:rPr>
                <w:rFonts w:ascii="Calibri" w:hAnsi="Calibri"/>
                <w:color w:val="334155"/>
                <w:sz w:val="17"/>
              </w:rPr>
              <w:t>All third-party credentials—including Google Earth Engine service account private keys, SMTP email credentials, and payment API tokens—are isolated in encrypted environment variables (secrets.toml) with zero frontend exposure.</w:t>
            </w:r>
          </w:p>
        </w:tc>
      </w:tr>
      <w:tr>
        <w:tc>
          <w:tcPr>
            <w:tcW w:type="dxa" w:w="3312"/>
            <w:shd w:fill="F8FAFC"/>
            <w:tcMar>
              <w:top w:w="45" w:type="dxa"/>
              <w:bottom w:w="45" w:type="dxa"/>
              <w:left w:w="70" w:type="dxa"/>
              <w:right w:w="70" w:type="dxa"/>
            </w:tcMar>
          </w:tcPr>
          <w:p>
            <w:r>
              <w:rPr>
                <w:rFonts w:ascii="Calibri" w:hAnsi="Calibri"/>
                <w:b/>
                <w:color w:val="0F172A"/>
                <w:sz w:val="17"/>
              </w:rPr>
              <w:t>Compliance with POTRAZ Cyber &amp; Data Act</w:t>
            </w:r>
          </w:p>
        </w:tc>
        <w:tc>
          <w:tcPr>
            <w:tcW w:type="dxa" w:w="6480"/>
            <w:shd w:fill="FFFFFF"/>
            <w:tcMar>
              <w:top w:w="45" w:type="dxa"/>
              <w:bottom w:w="45" w:type="dxa"/>
              <w:left w:w="70" w:type="dxa"/>
              <w:right w:w="70" w:type="dxa"/>
            </w:tcMar>
          </w:tcPr>
          <w:p>
            <w:r>
              <w:rPr>
                <w:rFonts w:ascii="Calibri" w:hAnsi="Calibri"/>
                <w:color w:val="334155"/>
                <w:sz w:val="17"/>
              </w:rPr>
              <w:t>Fully aligned with Zimbabwe's Cyber Security and Data Protection Act [Chapter 12:07]. All user personal information, geotagged submissions, and transaction records adhere to strict consent, lawful processing, and data residency protocols.</w:t>
            </w:r>
          </w:p>
        </w:tc>
      </w:tr>
      <w:tr>
        <w:tc>
          <w:tcPr>
            <w:tcW w:type="dxa" w:w="3312"/>
            <w:shd w:fill="F8FAFC"/>
            <w:tcMar>
              <w:top w:w="45" w:type="dxa"/>
              <w:bottom w:w="45" w:type="dxa"/>
              <w:left w:w="70" w:type="dxa"/>
              <w:right w:w="70" w:type="dxa"/>
            </w:tcMar>
          </w:tcPr>
          <w:p>
            <w:r>
              <w:rPr>
                <w:rFonts w:ascii="Calibri" w:hAnsi="Calibri"/>
                <w:b/>
                <w:color w:val="0F172A"/>
                <w:sz w:val="17"/>
              </w:rPr>
              <w:t>Role-Based Access Control (RBAC)</w:t>
            </w:r>
          </w:p>
        </w:tc>
        <w:tc>
          <w:tcPr>
            <w:tcW w:type="dxa" w:w="6480"/>
            <w:shd w:fill="FFFFFF"/>
            <w:tcMar>
              <w:top w:w="45" w:type="dxa"/>
              <w:bottom w:w="45" w:type="dxa"/>
              <w:left w:w="70" w:type="dxa"/>
              <w:right w:w="70" w:type="dxa"/>
            </w:tcMar>
          </w:tcPr>
          <w:p>
            <w:r>
              <w:rPr>
                <w:rFonts w:ascii="Calibri" w:hAnsi="Calibri"/>
                <w:color w:val="334155"/>
                <w:sz w:val="17"/>
              </w:rPr>
              <w:t>Granular role segregation divides users into Artisanal Miners, Field Agents, Certified Mentors, and Platform Administrators, strictly preventing unauthorized data leakage between competing mining concessions.</w:t>
            </w:r>
          </w:p>
        </w:tc>
      </w:tr>
      <w:tr>
        <w:tc>
          <w:tcPr>
            <w:tcW w:type="dxa" w:w="5040"/>
          </w:tcPr>
          <w:p/>
        </w:tc>
        <w:tc>
          <w:tcPr>
            <w:tcW w:type="dxa" w:w="5040"/>
          </w:tcPr>
          <w:p/>
        </w:tc>
      </w:tr>
    </w:tbl>
    <w:p>
      <w:r>
        <w:br w:type="page"/>
      </w:r>
    </w:p>
    <w:p>
      <w:pPr>
        <w:pStyle w:val="Heading1"/>
        <w:spacing w:before="220" w:after="60"/>
      </w:pPr>
      <w:r>
        <w:rPr>
          <w:rFonts w:ascii="Calibri" w:hAnsi="Calibri"/>
          <w:b/>
          <w:color w:val="1D4ED8"/>
          <w:sz w:val="25"/>
        </w:rPr>
        <w:t>8. Business Viability, Revenue Model &amp; Nationwide Scalability</w:t>
      </w:r>
    </w:p>
    <w:p>
      <w:pPr>
        <w:spacing w:before="0" w:after="80" w:line="276" w:lineRule="auto"/>
      </w:pPr>
      <w:r>
        <w:rPr>
          <w:rFonts w:ascii="Calibri" w:hAnsi="Calibri"/>
          <w:i w:val="0"/>
          <w:color w:val="334155"/>
          <w:sz w:val="19"/>
        </w:rPr>
        <w:t>The National Mineral Intelligence Hub operates on a commercially robust, highly scalable hybrid SaaS and marketplace transaction model:</w:t>
      </w:r>
    </w:p>
    <w:p>
      <w:pPr>
        <w:pStyle w:val="Heading2"/>
        <w:spacing w:before="140" w:after="40"/>
      </w:pPr>
      <w:r>
        <w:rPr>
          <w:rFonts w:ascii="Calibri" w:hAnsi="Calibri"/>
          <w:b/>
          <w:color w:val="0F172A"/>
          <w:sz w:val="21"/>
        </w:rPr>
        <w:t>8.1 Addressable Market &amp; Target Share</w:t>
      </w:r>
    </w:p>
    <w:p>
      <w:pPr>
        <w:spacing w:before="0" w:after="80" w:line="276" w:lineRule="auto"/>
      </w:pPr>
      <w:r>
        <w:rPr>
          <w:rFonts w:ascii="Calibri" w:hAnsi="Calibri"/>
          <w:b/>
          <w:color w:val="0F172A"/>
          <w:sz w:val="19"/>
        </w:rPr>
        <w:t xml:space="preserve">• </w:t>
      </w:r>
      <w:r>
        <w:rPr>
          <w:rFonts w:ascii="Calibri" w:hAnsi="Calibri"/>
          <w:i w:val="0"/>
          <w:color w:val="334155"/>
          <w:sz w:val="19"/>
        </w:rPr>
        <w:t>Total Addressable Market (TAM): Over 500,000 artisanal and small-scale miners, 10,000+ registered mining claims, and 20,000+ unemployed tertiary geoscience and engineering graduates across Zimbabwe.</w:t>
      </w:r>
    </w:p>
    <w:p>
      <w:pPr>
        <w:spacing w:before="0" w:after="80" w:line="276" w:lineRule="auto"/>
      </w:pPr>
      <w:r>
        <w:rPr>
          <w:rFonts w:ascii="Calibri" w:hAnsi="Calibri"/>
          <w:b/>
          <w:color w:val="0F172A"/>
          <w:sz w:val="19"/>
        </w:rPr>
        <w:t xml:space="preserve">• </w:t>
      </w:r>
      <w:r>
        <w:rPr>
          <w:rFonts w:ascii="Calibri" w:hAnsi="Calibri"/>
          <w:i w:val="0"/>
          <w:color w:val="334155"/>
          <w:sz w:val="19"/>
        </w:rPr>
        <w:t>Serviceable Available Market (SAM): 50,000 active small-scale gold and base metal syndicates operating along Zimbabwe's mineralized Greenstone belts and Great Dyke.</w:t>
      </w:r>
    </w:p>
    <w:p>
      <w:pPr>
        <w:spacing w:before="0" w:after="80" w:line="276" w:lineRule="auto"/>
      </w:pPr>
      <w:r>
        <w:rPr>
          <w:rFonts w:ascii="Calibri" w:hAnsi="Calibri"/>
          <w:b/>
          <w:color w:val="0F172A"/>
          <w:sz w:val="19"/>
        </w:rPr>
        <w:t xml:space="preserve">• </w:t>
      </w:r>
      <w:r>
        <w:rPr>
          <w:rFonts w:ascii="Calibri" w:hAnsi="Calibri"/>
          <w:i w:val="0"/>
          <w:color w:val="334155"/>
          <w:sz w:val="19"/>
        </w:rPr>
        <w:t>Target Market Share (SOM): Onboarding 5% to 8% of active syndicates (~10,000–15,000 paid subscribers) and 5,000 active youth gig workers within 18 to 24 months post-exhibition.</w:t>
      </w:r>
    </w:p>
    <w:p>
      <w:pPr>
        <w:pStyle w:val="Heading2"/>
        <w:spacing w:before="140" w:after="40"/>
      </w:pPr>
      <w:r>
        <w:rPr>
          <w:rFonts w:ascii="Calibri" w:hAnsi="Calibri"/>
          <w:b/>
          <w:color w:val="0F172A"/>
          <w:sz w:val="21"/>
        </w:rPr>
        <w:t>8.2 Multi-Tiered Revenue Model</w:t>
      </w:r>
    </w:p>
    <w:tbl>
      <w:tblPr>
        <w:tblW w:type="auto" w:w="0"/>
        <w:jc w:val="center"/>
        <w:tblLook w:firstColumn="1" w:firstRow="1" w:lastColumn="0" w:lastRow="0" w:noHBand="0" w:noVBand="1" w:val="04A0"/>
      </w:tblPr>
      <w:tblGrid>
        <w:gridCol w:w="3360"/>
        <w:gridCol w:w="3360"/>
        <w:gridCol w:w="3360"/>
      </w:tblGrid>
      <w:tr>
        <w:tc>
          <w:tcPr>
            <w:tcW w:type="dxa" w:w="3360"/>
            <w:shd w:fill="0F172A"/>
            <w:tcMar>
              <w:top w:w="55" w:type="dxa"/>
              <w:bottom w:w="55" w:type="dxa"/>
              <w:left w:w="70" w:type="dxa"/>
              <w:right w:w="70" w:type="dxa"/>
            </w:tcMar>
          </w:tcPr>
          <w:p>
            <w:r>
              <w:rPr>
                <w:rFonts w:ascii="Calibri" w:hAnsi="Calibri"/>
                <w:b/>
                <w:color w:val="FFFFFF"/>
                <w:sz w:val="18"/>
              </w:rPr>
              <w:t>Revenue Stream</w:t>
            </w:r>
          </w:p>
        </w:tc>
        <w:tc>
          <w:tcPr>
            <w:tcW w:type="dxa" w:w="3360"/>
            <w:shd w:fill="0F172A"/>
            <w:tcMar>
              <w:top w:w="55" w:type="dxa"/>
              <w:bottom w:w="55" w:type="dxa"/>
              <w:left w:w="70" w:type="dxa"/>
              <w:right w:w="70" w:type="dxa"/>
            </w:tcMar>
          </w:tcPr>
          <w:p>
            <w:r>
              <w:rPr>
                <w:rFonts w:ascii="Calibri" w:hAnsi="Calibri"/>
                <w:b/>
                <w:color w:val="FFFFFF"/>
                <w:sz w:val="18"/>
              </w:rPr>
              <w:t>Pricing Architecture</w:t>
            </w:r>
          </w:p>
        </w:tc>
        <w:tc>
          <w:tcPr>
            <w:tcW w:type="dxa" w:w="3360"/>
            <w:shd w:fill="0F172A"/>
            <w:tcMar>
              <w:top w:w="55" w:type="dxa"/>
              <w:bottom w:w="55" w:type="dxa"/>
              <w:left w:w="70" w:type="dxa"/>
              <w:right w:w="70" w:type="dxa"/>
            </w:tcMar>
          </w:tcPr>
          <w:p>
            <w:r>
              <w:rPr>
                <w:rFonts w:ascii="Calibri" w:hAnsi="Calibri"/>
                <w:b/>
                <w:color w:val="FFFFFF"/>
                <w:sz w:val="18"/>
              </w:rPr>
              <w:t>Target Customer &amp; Value Proposition</w:t>
            </w:r>
          </w:p>
        </w:tc>
      </w:tr>
      <w:tr>
        <w:tc>
          <w:tcPr>
            <w:tcW w:type="dxa" w:w="2880"/>
            <w:shd w:fill="F8FAFC"/>
            <w:tcMar>
              <w:top w:w="45" w:type="dxa"/>
              <w:bottom w:w="45" w:type="dxa"/>
              <w:left w:w="70" w:type="dxa"/>
              <w:right w:w="70" w:type="dxa"/>
            </w:tcMar>
          </w:tcPr>
          <w:p>
            <w:r>
              <w:rPr>
                <w:rFonts w:ascii="Calibri" w:hAnsi="Calibri"/>
                <w:color w:val="334155"/>
                <w:sz w:val="17"/>
              </w:rPr>
              <w:t>Tiered SaaS Subscriptions</w:t>
            </w:r>
          </w:p>
        </w:tc>
        <w:tc>
          <w:tcPr>
            <w:tcW w:type="dxa" w:w="3168"/>
            <w:shd w:fill="F8FAFC"/>
            <w:tcMar>
              <w:top w:w="45" w:type="dxa"/>
              <w:bottom w:w="45" w:type="dxa"/>
              <w:left w:w="70" w:type="dxa"/>
              <w:right w:w="70" w:type="dxa"/>
            </w:tcMar>
          </w:tcPr>
          <w:p>
            <w:r>
              <w:rPr>
                <w:rFonts w:ascii="Calibri" w:hAnsi="Calibri"/>
                <w:color w:val="334155"/>
                <w:sz w:val="17"/>
              </w:rPr>
              <w:t>Freemium ($0)</w:t>
              <w:br/>
              <w:t>Pro Syndicate ($20/mo)</w:t>
              <w:br/>
              <w:t>Enterprise ($150/mo)</w:t>
            </w:r>
          </w:p>
        </w:tc>
        <w:tc>
          <w:tcPr>
            <w:tcW w:type="dxa" w:w="3744"/>
            <w:shd w:fill="F8FAFC"/>
            <w:tcMar>
              <w:top w:w="45" w:type="dxa"/>
              <w:bottom w:w="45" w:type="dxa"/>
              <w:left w:w="70" w:type="dxa"/>
              <w:right w:w="70" w:type="dxa"/>
            </w:tcMar>
          </w:tcPr>
          <w:p>
            <w:r>
              <w:rPr>
                <w:rFonts w:ascii="Calibri" w:hAnsi="Calibri"/>
                <w:color w:val="334155"/>
                <w:sz w:val="17"/>
              </w:rPr>
              <w:t>Individual miners access free tickers and basic indices; syndicates pay for high-res anomaly exports and automated GIS anomaly reports; corporates track regional claims.</w:t>
            </w:r>
          </w:p>
        </w:tc>
      </w:tr>
      <w:tr>
        <w:tc>
          <w:tcPr>
            <w:tcW w:type="dxa" w:w="2880"/>
            <w:shd w:fill="FFFFFF"/>
            <w:tcMar>
              <w:top w:w="45" w:type="dxa"/>
              <w:bottom w:w="45" w:type="dxa"/>
              <w:left w:w="70" w:type="dxa"/>
              <w:right w:w="70" w:type="dxa"/>
            </w:tcMar>
          </w:tcPr>
          <w:p>
            <w:r>
              <w:rPr>
                <w:rFonts w:ascii="Calibri" w:hAnsi="Calibri"/>
                <w:color w:val="334155"/>
                <w:sz w:val="17"/>
              </w:rPr>
              <w:t>Field Gig Marketplace Commission</w:t>
            </w:r>
          </w:p>
        </w:tc>
        <w:tc>
          <w:tcPr>
            <w:tcW w:type="dxa" w:w="3168"/>
            <w:shd w:fill="FFFFFF"/>
            <w:tcMar>
              <w:top w:w="45" w:type="dxa"/>
              <w:bottom w:w="45" w:type="dxa"/>
              <w:left w:w="70" w:type="dxa"/>
              <w:right w:w="70" w:type="dxa"/>
            </w:tcMar>
          </w:tcPr>
          <w:p>
            <w:r>
              <w:rPr>
                <w:rFonts w:ascii="Calibri" w:hAnsi="Calibri"/>
                <w:color w:val="334155"/>
                <w:sz w:val="17"/>
              </w:rPr>
              <w:t>10% – 15% transaction facilitation fee</w:t>
            </w:r>
          </w:p>
        </w:tc>
        <w:tc>
          <w:tcPr>
            <w:tcW w:type="dxa" w:w="3744"/>
            <w:shd w:fill="FFFFFF"/>
            <w:tcMar>
              <w:top w:w="45" w:type="dxa"/>
              <w:bottom w:w="45" w:type="dxa"/>
              <w:left w:w="70" w:type="dxa"/>
              <w:right w:w="70" w:type="dxa"/>
            </w:tcMar>
          </w:tcPr>
          <w:p>
            <w:r>
              <w:rPr>
                <w:rFonts w:ascii="Calibri" w:hAnsi="Calibri"/>
                <w:color w:val="334155"/>
                <w:sz w:val="17"/>
              </w:rPr>
              <w:t>Levied on ground-truth verification campaigns commissioned by exploration companies and paid to youth field validators via EcoCash.</w:t>
            </w:r>
          </w:p>
        </w:tc>
      </w:tr>
      <w:tr>
        <w:tc>
          <w:tcPr>
            <w:tcW w:type="dxa" w:w="2880"/>
            <w:shd w:fill="F8FAFC"/>
            <w:tcMar>
              <w:top w:w="45" w:type="dxa"/>
              <w:bottom w:w="45" w:type="dxa"/>
              <w:left w:w="70" w:type="dxa"/>
              <w:right w:w="70" w:type="dxa"/>
            </w:tcMar>
          </w:tcPr>
          <w:p>
            <w:r>
              <w:rPr>
                <w:rFonts w:ascii="Calibri" w:hAnsi="Calibri"/>
                <w:color w:val="334155"/>
                <w:sz w:val="17"/>
              </w:rPr>
              <w:t>Macro Data Intelligence &amp; ESG Reports</w:t>
            </w:r>
          </w:p>
        </w:tc>
        <w:tc>
          <w:tcPr>
            <w:tcW w:type="dxa" w:w="3168"/>
            <w:shd w:fill="F8FAFC"/>
            <w:tcMar>
              <w:top w:w="45" w:type="dxa"/>
              <w:bottom w:w="45" w:type="dxa"/>
              <w:left w:w="70" w:type="dxa"/>
              <w:right w:w="70" w:type="dxa"/>
            </w:tcMar>
          </w:tcPr>
          <w:p>
            <w:r>
              <w:rPr>
                <w:rFonts w:ascii="Calibri" w:hAnsi="Calibri"/>
                <w:color w:val="334155"/>
                <w:sz w:val="17"/>
              </w:rPr>
              <w:t>Custom licensing ($500 – $2,500/report)</w:t>
            </w:r>
          </w:p>
        </w:tc>
        <w:tc>
          <w:tcPr>
            <w:tcW w:type="dxa" w:w="3744"/>
            <w:shd w:fill="F8FAFC"/>
            <w:tcMar>
              <w:top w:w="45" w:type="dxa"/>
              <w:bottom w:w="45" w:type="dxa"/>
              <w:left w:w="70" w:type="dxa"/>
              <w:right w:w="70" w:type="dxa"/>
            </w:tcMar>
          </w:tcPr>
          <w:p>
            <w:r>
              <w:rPr>
                <w:rFonts w:ascii="Calibri" w:hAnsi="Calibri"/>
                <w:color w:val="334155"/>
                <w:sz w:val="17"/>
              </w:rPr>
              <w:t>Aggregated, anonymized regional production intelligence, mineral trend telemetry, and environmental rehabilitation audit reports sold to banks and DFIs.</w:t>
            </w:r>
          </w:p>
        </w:tc>
      </w:tr>
    </w:tbl>
    <w:p>
      <w:pPr>
        <w:pStyle w:val="Heading2"/>
        <w:spacing w:before="140" w:after="40"/>
      </w:pPr>
      <w:r>
        <w:rPr>
          <w:rFonts w:ascii="Calibri" w:hAnsi="Calibri"/>
          <w:b/>
          <w:color w:val="0F172A"/>
          <w:sz w:val="21"/>
        </w:rPr>
        <w:t>8.3 Scalability Model</w:t>
      </w:r>
    </w:p>
    <w:p>
      <w:pPr>
        <w:spacing w:before="0" w:after="80" w:line="276" w:lineRule="auto"/>
      </w:pPr>
      <w:r>
        <w:rPr>
          <w:rFonts w:ascii="Calibri" w:hAnsi="Calibri"/>
          <w:b/>
          <w:color w:val="0F172A"/>
          <w:sz w:val="19"/>
        </w:rPr>
        <w:t xml:space="preserve">• </w:t>
      </w:r>
      <w:r>
        <w:rPr>
          <w:rFonts w:ascii="Calibri" w:hAnsi="Calibri"/>
          <w:i w:val="0"/>
          <w:color w:val="334155"/>
          <w:sz w:val="19"/>
        </w:rPr>
        <w:t>Asymmetric Cost-to-Revenue Scaling: By relying on free Copernicus Sentinel-2 open data and Google Earth Engine's scientific processing infrastructure, server hosting costs remain below $150–$250/month while revenues scale exponentially, achieving gross profit margins in excess of 82%.</w:t>
      </w:r>
    </w:p>
    <w:p>
      <w:pPr>
        <w:spacing w:before="0" w:after="80" w:line="276" w:lineRule="auto"/>
      </w:pPr>
      <w:r>
        <w:rPr>
          <w:rFonts w:ascii="Calibri" w:hAnsi="Calibri"/>
          <w:b/>
          <w:color w:val="0F172A"/>
          <w:sz w:val="19"/>
        </w:rPr>
        <w:t xml:space="preserve">• </w:t>
      </w:r>
      <w:r>
        <w:rPr>
          <w:rFonts w:ascii="Calibri" w:hAnsi="Calibri"/>
          <w:i w:val="0"/>
          <w:color w:val="334155"/>
          <w:sz w:val="19"/>
        </w:rPr>
        <w:t>Instantaneous Geographic Expansion: The earth observation pipeline is inherently global. Expanding the platform from Zvishavane to all 10 provinces of Zimbabwe (or cross-border into SADC mining hubs in Zambia, Botswana, and Mozambique) requires zero ground infrastructure—merely loading administrative bounding coordinates into the cloud router.</w:t>
      </w:r>
    </w:p>
    <w:p>
      <w:pPr>
        <w:spacing w:before="0" w:after="80" w:line="276" w:lineRule="auto"/>
      </w:pPr>
      <w:r>
        <w:rPr>
          <w:rFonts w:ascii="Calibri" w:hAnsi="Calibri"/>
          <w:b/>
          <w:color w:val="0F172A"/>
          <w:sz w:val="19"/>
        </w:rPr>
        <w:t xml:space="preserve">• </w:t>
      </w:r>
      <w:r>
        <w:rPr>
          <w:rFonts w:ascii="Calibri" w:hAnsi="Calibri"/>
          <w:i w:val="0"/>
          <w:color w:val="334155"/>
          <w:sz w:val="19"/>
        </w:rPr>
        <w:t>Zero-Friction User Growth: Because the application runs entirely in standard mobile web browsers and connects to ubiquitous telecommunications payment channels (EcoCash), user acquisition costs are exceptionally low.</w:t>
      </w:r>
    </w:p>
    <w:p>
      <w:pPr>
        <w:spacing w:after="80"/>
      </w:pPr>
    </w:p>
    <w:tbl>
      <w:tblPr>
        <w:tblW w:type="auto" w:w="0"/>
        <w:jc w:val="center"/>
        <w:tblLayout w:type="fixed"/>
        <w:tblLook w:firstColumn="1" w:firstRow="1" w:lastColumn="0" w:lastRow="0" w:noHBand="0" w:noVBand="1" w:val="04A0"/>
      </w:tblPr>
      <w:tblGrid>
        <w:gridCol w:w="10080"/>
      </w:tblGrid>
      <w:tr>
        <w:tc>
          <w:tcPr>
            <w:tcW w:type="dxa" w:w="9792"/>
            <w:shd w:fill="ECFDF5"/>
            <w:tcMar>
              <w:top w:w="120" w:type="dxa"/>
              <w:bottom w:w="120" w:type="dxa"/>
              <w:left w:w="180" w:type="dxa"/>
              <w:right w:w="160" w:type="dxa"/>
            </w:tcMar>
            <w:tcBorders>
              <w:top w:val="none"/>
              <w:left w:val="single" w:sz="36" w:space="0" w:color="047857"/>
              <w:bottom w:val="none"/>
              <w:right w:val="none"/>
            </w:tcBorders>
          </w:tcPr>
          <w:p>
            <w:pPr>
              <w:spacing w:before="40" w:after="40" w:line="276" w:lineRule="auto"/>
            </w:pPr>
            <w:r>
              <w:rPr>
                <w:rFonts w:ascii="Calibri" w:hAnsi="Calibri"/>
                <w:b/>
                <w:i w:val="0"/>
                <w:color w:val="1D4ED8"/>
                <w:sz w:val="19"/>
              </w:rPr>
              <w:t xml:space="preserve">Conclusion &amp; Expo Alignment: </w:t>
            </w:r>
          </w:p>
          <w:p>
            <w:pPr>
              <w:spacing w:before="40" w:after="40" w:line="276" w:lineRule="auto"/>
            </w:pPr>
            <w:r>
              <w:rPr>
                <w:rFonts w:ascii="Calibri" w:hAnsi="Calibri"/>
                <w:b w:val="0"/>
                <w:i/>
                <w:color w:val="334155"/>
                <w:sz w:val="19"/>
              </w:rPr>
              <w:t>The National Mineral Intelligence Hub represents the pinnacle of 'Harnessing Local Innovation for Inclusive Development.' It proves that cutting-edge space technology and mobile telecommunications can be synthesized into an affordable, indigenous solution that protects our environment, generates dignified employment for our youth, and unlocks sustainable wealth for Zimbabwe's mineral value chain.</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 xml:space="preserve">The National Mineral Intelligence Hub | 2026 POTRAZ Innovation Expo Concept Note          Page </w:t>
    </w:r>
    <w:r>
      <w:rPr>
        <w:rFonts w:ascii="Calibri" w:hAnsi="Calibri"/>
        <w:b/>
        <w:color w:val="64748B"/>
        <w:sz w:val="17"/>
      </w:rPr>
      <w:fldChar w:fldCharType="begin"/>
      <w:instrText xml:space="preserve"> PAGE </w:instrText>
      <w:fldChar w:fldCharType="separate"/>
      <w:fldChar w:fldCharType="end"/>
    </w:r>
    <w:r>
      <w:rPr>
        <w:rFonts w:ascii="Calibri" w:hAnsi="Calibri"/>
        <w:color w:val="94A3B8"/>
        <w:sz w:val="17"/>
      </w:rPr>
      <w:t xml:space="preserve"> of </w:t>
    </w:r>
    <w:r>
      <w:rPr>
        <w:rFonts w:ascii="Calibri" w:hAnsi="Calibri"/>
        <w:b/>
        <w:color w:val="64748B"/>
        <w:sz w:val="17"/>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