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CE58B">
      <w:pPr>
        <w:spacing w:before="120" w:after="120" w:line="240" w:lineRule="auto"/>
        <w:ind w:left="0"/>
        <w:jc w:val="center"/>
        <w:rPr>
          <w:sz w:val="32"/>
          <w:szCs w:val="32"/>
        </w:rPr>
      </w:pPr>
      <w:r>
        <w:rPr>
          <w:rFonts w:ascii="Arial" w:hAnsi="Arial" w:eastAsia="等线" w:cs="Arial"/>
          <w:b/>
          <w:sz w:val="32"/>
          <w:szCs w:val="32"/>
        </w:rPr>
        <w:t>创客大赛评审标准</w:t>
      </w:r>
    </w:p>
    <w:p w14:paraId="0DF65D4E">
      <w:pPr>
        <w:spacing w:before="320" w:after="120" w:line="240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一、赛道一：灵伴管家（智能体应用赛道）</w:t>
      </w:r>
      <w:bookmarkEnd w:id="0"/>
    </w:p>
    <w:p w14:paraId="493AE7C5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赛道方向</w:t>
      </w:r>
      <w:r>
        <w:rPr>
          <w:rFonts w:ascii="Arial" w:hAnsi="Arial" w:eastAsia="等线" w:cs="Arial"/>
          <w:sz w:val="22"/>
        </w:rPr>
        <w:t xml:space="preserve">：陪伴、监护、交互  </w:t>
      </w:r>
    </w:p>
    <w:p w14:paraId="1B144BFE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适合人群</w:t>
      </w:r>
      <w:r>
        <w:rPr>
          <w:rFonts w:ascii="Arial" w:hAnsi="Arial" w:eastAsia="等线" w:cs="Arial"/>
          <w:sz w:val="22"/>
        </w:rPr>
        <w:t xml:space="preserve">：AI 爱好者、产品经理型、创意型选手  </w:t>
      </w:r>
    </w:p>
    <w:tbl>
      <w:tblPr>
        <w:tblStyle w:val="2"/>
        <w:tblpPr w:leftFromText="180" w:rightFromText="180" w:vertAnchor="text" w:horzAnchor="page" w:tblpX="1190" w:tblpY="506"/>
        <w:tblOverlap w:val="never"/>
        <w:tblW w:w="100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0"/>
        <w:gridCol w:w="661"/>
        <w:gridCol w:w="2526"/>
        <w:gridCol w:w="4111"/>
      </w:tblGrid>
      <w:tr w14:paraId="52626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</w:trPr>
        <w:tc>
          <w:tcPr>
            <w:tcW w:w="27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70E8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评审维度</w:t>
            </w:r>
          </w:p>
        </w:tc>
        <w:tc>
          <w:tcPr>
            <w:tcW w:w="6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51E1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权重</w:t>
            </w:r>
          </w:p>
        </w:tc>
        <w:tc>
          <w:tcPr>
            <w:tcW w:w="25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211C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评分项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B539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分值说明</w:t>
            </w:r>
          </w:p>
        </w:tc>
      </w:tr>
      <w:tr w14:paraId="59E0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7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9BDF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用户接受度与体验</w:t>
            </w:r>
          </w:p>
        </w:tc>
        <w:tc>
          <w:tcPr>
            <w:tcW w:w="6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A640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30%</w:t>
            </w:r>
          </w:p>
        </w:tc>
        <w:tc>
          <w:tcPr>
            <w:tcW w:w="25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E88CC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交互自然度、情感共鸣、痛点解决、演示感染力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9E88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A. 优秀(90-100)</w:t>
            </w:r>
            <w:r>
              <w:rPr>
                <w:rFonts w:ascii="Arial" w:hAnsi="Arial" w:eastAsia="等线" w:cs="Arial"/>
                <w:sz w:val="21"/>
                <w:szCs w:val="21"/>
              </w:rPr>
              <w:t>：交互自然流畅，机器狗表现讨喜有情感共鸣，直击用户痛点，演示极具感染力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B. 良好(75-89)</w:t>
            </w:r>
            <w:r>
              <w:rPr>
                <w:rFonts w:ascii="Arial" w:hAnsi="Arial" w:eastAsia="等线" w:cs="Arial"/>
                <w:sz w:val="21"/>
                <w:szCs w:val="21"/>
              </w:rPr>
              <w:t>：交互基本可用，有一定情感反馈，能解决部分痛点，演示效果良好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C. 一般(60-74)</w:t>
            </w:r>
            <w:r>
              <w:rPr>
                <w:rFonts w:ascii="Arial" w:hAnsi="Arial" w:eastAsia="等线" w:cs="Arial"/>
                <w:sz w:val="21"/>
                <w:szCs w:val="21"/>
              </w:rPr>
              <w:t>：交互生硬，情感反馈弱，痛点解决不充分，演示效果一般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D. 差(&lt;60)</w:t>
            </w:r>
            <w:r>
              <w:rPr>
                <w:rFonts w:ascii="Arial" w:hAnsi="Arial" w:eastAsia="等线" w:cs="Arial"/>
                <w:sz w:val="21"/>
                <w:szCs w:val="21"/>
              </w:rPr>
              <w:t>：难以理解或使用，无情感共鸣，未解决任何痛点，演示效果差</w:t>
            </w:r>
          </w:p>
        </w:tc>
      </w:tr>
      <w:tr w14:paraId="01C43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7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2F7C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创新性与差异化</w:t>
            </w:r>
          </w:p>
        </w:tc>
        <w:tc>
          <w:tcPr>
            <w:tcW w:w="6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E126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30%</w:t>
            </w:r>
          </w:p>
        </w:tc>
        <w:tc>
          <w:tcPr>
            <w:tcW w:w="25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9D30B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场景创意新颖度、与竞品的差异化、传播记忆点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C6D9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A. 优秀(90-100)</w:t>
            </w:r>
            <w:r>
              <w:rPr>
                <w:rFonts w:ascii="Arial" w:hAnsi="Arial" w:eastAsia="等线" w:cs="Arial"/>
                <w:sz w:val="21"/>
                <w:szCs w:val="21"/>
              </w:rPr>
              <w:t>：创意或交互方式从未见过，相比竞品有明显独特优势，具备传播爆点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B. 良好(75-89)</w:t>
            </w:r>
            <w:r>
              <w:rPr>
                <w:rFonts w:ascii="Arial" w:hAnsi="Arial" w:eastAsia="等线" w:cs="Arial"/>
                <w:sz w:val="21"/>
                <w:szCs w:val="21"/>
              </w:rPr>
              <w:t>：有一定新意，局部创新，与竞品存在差异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C. 一般(60-74)</w:t>
            </w:r>
            <w:r>
              <w:rPr>
                <w:rFonts w:ascii="Arial" w:hAnsi="Arial" w:eastAsia="等线" w:cs="Arial"/>
                <w:sz w:val="21"/>
                <w:szCs w:val="21"/>
              </w:rPr>
              <w:t>：较常规，无明显亮点，与现有产品相似度较高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D. 差(&lt;60)</w:t>
            </w:r>
            <w:r>
              <w:rPr>
                <w:rFonts w:ascii="Arial" w:hAnsi="Arial" w:eastAsia="等线" w:cs="Arial"/>
                <w:sz w:val="21"/>
                <w:szCs w:val="21"/>
              </w:rPr>
              <w:t>：与现有产品高度雷同，无差异化特征</w:t>
            </w:r>
          </w:p>
        </w:tc>
      </w:tr>
      <w:tr w14:paraId="5339A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7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D70F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技术稳定性与生态延展性</w:t>
            </w:r>
          </w:p>
        </w:tc>
        <w:tc>
          <w:tcPr>
            <w:tcW w:w="6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0F7A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30%</w:t>
            </w:r>
          </w:p>
        </w:tc>
        <w:tc>
          <w:tcPr>
            <w:tcW w:w="25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3956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功能稳定性、仿真到实体迁移效果、模块化程度、生态复用价值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912A8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A. 优秀(90-100)</w:t>
            </w:r>
            <w:r>
              <w:rPr>
                <w:rFonts w:ascii="Arial" w:hAnsi="Arial" w:eastAsia="等线" w:cs="Arial"/>
                <w:sz w:val="21"/>
                <w:szCs w:val="21"/>
              </w:rPr>
              <w:t>：功能完整稳定，仿真到实体迁移效果好，模块化设计，可复用性强，能为生态贡献可复用能力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B. 良好(75-89)</w:t>
            </w:r>
            <w:r>
              <w:rPr>
                <w:rFonts w:ascii="Arial" w:hAnsi="Arial" w:eastAsia="等线" w:cs="Arial"/>
                <w:sz w:val="21"/>
                <w:szCs w:val="21"/>
              </w:rPr>
              <w:t>：主要功能可用，偶有小问题但可恢复，实体迁移基本成功，可部分复用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C. 一般(60-74)</w:t>
            </w:r>
            <w:r>
              <w:rPr>
                <w:rFonts w:ascii="Arial" w:hAnsi="Arial" w:eastAsia="等线" w:cs="Arial"/>
                <w:sz w:val="21"/>
                <w:szCs w:val="21"/>
              </w:rPr>
              <w:t>：功能有缺失或稳定性较差，实体迁移存在明显问题，较难扩展复用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D. 差(&lt;60)</w:t>
            </w:r>
            <w:r>
              <w:rPr>
                <w:rFonts w:ascii="Arial" w:hAnsi="Arial" w:eastAsia="等线" w:cs="Arial"/>
                <w:sz w:val="21"/>
                <w:szCs w:val="21"/>
              </w:rPr>
              <w:t>：无法正常演示，仿真与实体差异大，完全不可复用</w:t>
            </w:r>
          </w:p>
        </w:tc>
      </w:tr>
      <w:tr w14:paraId="61C6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7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4C85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市场潜力与商业价值</w:t>
            </w:r>
          </w:p>
        </w:tc>
        <w:tc>
          <w:tcPr>
            <w:tcW w:w="6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BA09F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10%</w:t>
            </w:r>
          </w:p>
        </w:tc>
        <w:tc>
          <w:tcPr>
            <w:tcW w:w="252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87DA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场景的市场需求、商业模式清晰度、市场容量</w:t>
            </w:r>
          </w:p>
        </w:tc>
        <w:tc>
          <w:tcPr>
            <w:tcW w:w="411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4F57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A. 优秀(90-100)</w:t>
            </w:r>
            <w:r>
              <w:rPr>
                <w:rFonts w:ascii="Arial" w:hAnsi="Arial" w:eastAsia="等线" w:cs="Arial"/>
                <w:sz w:val="21"/>
                <w:szCs w:val="21"/>
              </w:rPr>
              <w:t>：场景刚需明确，有清晰付费模式，市场容量大，具备可复制的商业化路径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B. 良好(75-89)</w:t>
            </w:r>
            <w:r>
              <w:rPr>
                <w:rFonts w:ascii="Arial" w:hAnsi="Arial" w:eastAsia="等线" w:cs="Arial"/>
                <w:sz w:val="21"/>
                <w:szCs w:val="21"/>
              </w:rPr>
              <w:t>：有潜在市场需求，商业模式初步成立，市场容量中等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C. 一般(60-74)</w:t>
            </w:r>
            <w:r>
              <w:rPr>
                <w:rFonts w:ascii="Arial" w:hAnsi="Arial" w:eastAsia="等线" w:cs="Arial"/>
                <w:sz w:val="21"/>
                <w:szCs w:val="21"/>
              </w:rPr>
              <w:t>：场景较泛，商业模式不清晰，市场容量较小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D. 差(&lt;60)</w:t>
            </w:r>
            <w:r>
              <w:rPr>
                <w:rFonts w:ascii="Arial" w:hAnsi="Arial" w:eastAsia="等线" w:cs="Arial"/>
                <w:sz w:val="21"/>
                <w:szCs w:val="21"/>
              </w:rPr>
              <w:t>：无明确市场价值，难以找到目标用户或付费意愿</w:t>
            </w:r>
          </w:p>
        </w:tc>
      </w:tr>
    </w:tbl>
    <w:p w14:paraId="14898B58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评审形式</w:t>
      </w:r>
      <w:r>
        <w:rPr>
          <w:rFonts w:ascii="Arial" w:hAnsi="Arial" w:eastAsia="等线" w:cs="Arial"/>
          <w:sz w:val="22"/>
        </w:rPr>
        <w:t>：现场路演（10 分钟演示 + 5 分钟答辩）</w:t>
      </w:r>
    </w:p>
    <w:p w14:paraId="2F0B0FF0">
      <w:pPr>
        <w:spacing w:before="320" w:after="120" w:line="240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</w:p>
    <w:p w14:paraId="3A61623B">
      <w:pPr>
        <w:spacing w:before="320" w:after="120" w:line="240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二、赛道二：硬核运控（竞速赛道）</w:t>
      </w:r>
      <w:bookmarkEnd w:id="1"/>
    </w:p>
    <w:p w14:paraId="3D2019B5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赛道方向</w:t>
      </w:r>
      <w:r>
        <w:rPr>
          <w:rFonts w:ascii="Arial" w:hAnsi="Arial" w:eastAsia="等线" w:cs="Arial"/>
          <w:sz w:val="22"/>
        </w:rPr>
        <w:t xml:space="preserve">：运动控制、避障、全地形通过  </w:t>
      </w:r>
    </w:p>
    <w:p w14:paraId="55CE86BA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适合人群</w:t>
      </w:r>
      <w:r>
        <w:rPr>
          <w:rFonts w:ascii="Arial" w:hAnsi="Arial" w:eastAsia="等线" w:cs="Arial"/>
          <w:sz w:val="22"/>
        </w:rPr>
        <w:t xml:space="preserve">：算法控、ROS 玩家、机器人竞赛老手  </w:t>
      </w:r>
    </w:p>
    <w:p w14:paraId="31F12ABE">
      <w:pPr>
        <w:spacing w:before="120" w:after="120" w:line="240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评审形式</w:t>
      </w:r>
      <w:r>
        <w:rPr>
          <w:rFonts w:ascii="Arial" w:hAnsi="Arial" w:eastAsia="等线" w:cs="Arial"/>
          <w:sz w:val="22"/>
        </w:rPr>
        <w:t>：实机竞速（按评分规则现场计时）</w:t>
      </w:r>
    </w:p>
    <w:tbl>
      <w:tblPr>
        <w:tblStyle w:val="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7"/>
        <w:gridCol w:w="661"/>
        <w:gridCol w:w="2891"/>
        <w:gridCol w:w="3493"/>
      </w:tblGrid>
      <w:tr w14:paraId="516F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A92E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评审维度</w:t>
            </w:r>
          </w:p>
        </w:tc>
        <w:tc>
          <w:tcPr>
            <w:tcW w:w="6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3370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权重</w:t>
            </w:r>
          </w:p>
        </w:tc>
        <w:tc>
          <w:tcPr>
            <w:tcW w:w="2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18577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评分项</w:t>
            </w:r>
          </w:p>
        </w:tc>
        <w:tc>
          <w:tcPr>
            <w:tcW w:w="35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27BC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分值说明</w:t>
            </w:r>
          </w:p>
        </w:tc>
      </w:tr>
      <w:tr w14:paraId="25C1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ED9A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赛道完成度</w:t>
            </w:r>
          </w:p>
        </w:tc>
        <w:tc>
          <w:tcPr>
            <w:tcW w:w="6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40C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30%</w:t>
            </w:r>
          </w:p>
        </w:tc>
        <w:tc>
          <w:tcPr>
            <w:tcW w:w="2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72EF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成功通过的特殊地形种类及数量（楼梯、斜坡、碎石、窄门、障碍等）</w:t>
            </w:r>
          </w:p>
        </w:tc>
        <w:tc>
          <w:tcPr>
            <w:tcW w:w="35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F7D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A. 优秀(90-100)</w:t>
            </w:r>
            <w:r>
              <w:rPr>
                <w:rFonts w:ascii="Arial" w:hAnsi="Arial" w:eastAsia="等线" w:cs="Arial"/>
                <w:sz w:val="21"/>
                <w:szCs w:val="21"/>
              </w:rPr>
              <w:t>：自主识别并征服≥3种特殊地形（如楼梯、陡坡、弯道、障碍、碎石），或有独创性交互（如语音/视觉引导过障）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B. 良好(75-89)</w:t>
            </w:r>
            <w:r>
              <w:rPr>
                <w:rFonts w:ascii="Arial" w:hAnsi="Arial" w:eastAsia="等线" w:cs="Arial"/>
                <w:sz w:val="21"/>
                <w:szCs w:val="21"/>
              </w:rPr>
              <w:t>：完成2种特殊地形，交互方式有效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C. 一般(60-74)</w:t>
            </w:r>
            <w:r>
              <w:rPr>
                <w:rFonts w:ascii="Arial" w:hAnsi="Arial" w:eastAsia="等线" w:cs="Arial"/>
                <w:sz w:val="21"/>
                <w:szCs w:val="21"/>
              </w:rPr>
              <w:t>：仅完成平地和简单障碍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D. 差(&lt;60)</w:t>
            </w:r>
            <w:r>
              <w:rPr>
                <w:rFonts w:ascii="Arial" w:hAnsi="Arial" w:eastAsia="等线" w:cs="Arial"/>
                <w:sz w:val="21"/>
                <w:szCs w:val="21"/>
              </w:rPr>
              <w:t>：频繁人工干预或无法完成预设场景</w:t>
            </w:r>
          </w:p>
        </w:tc>
      </w:tr>
      <w:tr w14:paraId="24CA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E3F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过程稳定度</w:t>
            </w:r>
          </w:p>
        </w:tc>
        <w:tc>
          <w:tcPr>
            <w:tcW w:w="6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3C9B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25%</w:t>
            </w:r>
          </w:p>
        </w:tc>
        <w:tc>
          <w:tcPr>
            <w:tcW w:w="2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E42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代码质量、稳定性、仿真及实体迁移效果（不犯规、不宕机、仿真到实体表现一致）</w:t>
            </w:r>
          </w:p>
        </w:tc>
        <w:tc>
          <w:tcPr>
            <w:tcW w:w="35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BCB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A. 优秀(90-100)</w:t>
            </w:r>
            <w:r>
              <w:rPr>
                <w:rFonts w:ascii="Arial" w:hAnsi="Arial" w:eastAsia="等线" w:cs="Arial"/>
                <w:sz w:val="21"/>
                <w:szCs w:val="21"/>
              </w:rPr>
              <w:t>：全程无死机/摔倒/跑出赛道，仿真与实体表现误差&lt;10%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B. 良好(75-89)</w:t>
            </w:r>
            <w:r>
              <w:rPr>
                <w:rFonts w:ascii="Arial" w:hAnsi="Arial" w:eastAsia="等线" w:cs="Arial"/>
                <w:sz w:val="21"/>
                <w:szCs w:val="21"/>
              </w:rPr>
              <w:t>：摔倒/跑偏≤1次，能自主恢复，误差&lt;20%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C. 一般(60-74)</w:t>
            </w:r>
            <w:r>
              <w:rPr>
                <w:rFonts w:ascii="Arial" w:hAnsi="Arial" w:eastAsia="等线" w:cs="Arial"/>
                <w:sz w:val="21"/>
                <w:szCs w:val="21"/>
              </w:rPr>
              <w:t>：摔倒2-3次或需1次人工复位，误差&lt;30%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D. 差(&lt;60)</w:t>
            </w:r>
            <w:r>
              <w:rPr>
                <w:rFonts w:ascii="Arial" w:hAnsi="Arial" w:eastAsia="等线" w:cs="Arial"/>
                <w:sz w:val="21"/>
                <w:szCs w:val="21"/>
              </w:rPr>
              <w:t>：摔倒≥4次或死机/人工复位≥2次，仿真与实体差异大</w:t>
            </w:r>
          </w:p>
        </w:tc>
      </w:tr>
      <w:tr w14:paraId="175D2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1E0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运动流畅性</w:t>
            </w:r>
          </w:p>
        </w:tc>
        <w:tc>
          <w:tcPr>
            <w:tcW w:w="6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D33E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25%</w:t>
            </w:r>
          </w:p>
        </w:tc>
        <w:tc>
          <w:tcPr>
            <w:tcW w:w="2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FB5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机器狗步态、速度控制及动作表现力</w:t>
            </w:r>
          </w:p>
        </w:tc>
        <w:tc>
          <w:tcPr>
            <w:tcW w:w="35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78DC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A. 优秀(90-100)</w:t>
            </w:r>
            <w:r>
              <w:rPr>
                <w:rFonts w:ascii="Arial" w:hAnsi="Arial" w:eastAsia="等线" w:cs="Arial"/>
                <w:sz w:val="21"/>
                <w:szCs w:val="21"/>
              </w:rPr>
              <w:t>：步态自然，加减速平滑，转弯无侧滑，全程无停顿犹豫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B. 良好(75-89)</w:t>
            </w:r>
            <w:r>
              <w:rPr>
                <w:rFonts w:ascii="Arial" w:hAnsi="Arial" w:eastAsia="等线" w:cs="Arial"/>
                <w:sz w:val="21"/>
                <w:szCs w:val="21"/>
              </w:rPr>
              <w:t>：步态基本稳定，有轻微顿挫或小侧滑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C. 一般(60-74)</w:t>
            </w:r>
            <w:r>
              <w:rPr>
                <w:rFonts w:ascii="Arial" w:hAnsi="Arial" w:eastAsia="等线" w:cs="Arial"/>
                <w:sz w:val="21"/>
                <w:szCs w:val="21"/>
              </w:rPr>
              <w:t>：步态僵硬，明显减速过弯，有≤2次原地调整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b/>
                <w:sz w:val="21"/>
                <w:szCs w:val="21"/>
              </w:rPr>
              <w:t>D. 差(&lt;60)</w:t>
            </w:r>
            <w:r>
              <w:rPr>
                <w:rFonts w:ascii="Arial" w:hAnsi="Arial" w:eastAsia="等线" w:cs="Arial"/>
                <w:sz w:val="21"/>
                <w:szCs w:val="21"/>
              </w:rPr>
              <w:t>：频繁蹿跳/爬行/原地打转，流畅度差</w:t>
            </w:r>
          </w:p>
        </w:tc>
      </w:tr>
      <w:tr w14:paraId="438C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8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E12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赛道完成用时</w:t>
            </w:r>
          </w:p>
        </w:tc>
        <w:tc>
          <w:tcPr>
            <w:tcW w:w="60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591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20%</w:t>
            </w:r>
          </w:p>
        </w:tc>
        <w:tc>
          <w:tcPr>
            <w:tcW w:w="29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882DB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sz w:val="21"/>
                <w:szCs w:val="21"/>
              </w:rPr>
              <w:t>实际完赛时间（裁判计时）</w:t>
            </w:r>
          </w:p>
        </w:tc>
        <w:tc>
          <w:tcPr>
            <w:tcW w:w="35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9AF2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1"/>
                <w:szCs w:val="21"/>
              </w:rPr>
            </w:pPr>
            <w:r>
              <w:rPr>
                <w:rFonts w:ascii="Arial" w:hAnsi="Arial" w:eastAsia="等线" w:cs="Arial"/>
                <w:b/>
                <w:sz w:val="21"/>
                <w:szCs w:val="21"/>
              </w:rPr>
              <w:t>线性计分法</w:t>
            </w:r>
            <w:r>
              <w:rPr>
                <w:rFonts w:ascii="Arial" w:hAnsi="Arial" w:eastAsia="等线" w:cs="Arial"/>
                <w:sz w:val="21"/>
                <w:szCs w:val="21"/>
              </w:rPr>
              <w:t>：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1"/>
                <w:szCs w:val="21"/>
              </w:rPr>
              <w:t>全场最快完赛时间为 Tmin，最慢完赛时间为 Tmax（未完成者按 Tmax+罚时计）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1"/>
                <w:szCs w:val="21"/>
              </w:rPr>
              <w:t xml:space="preserve">公式：得分 = </w:t>
            </w:r>
            <w:r>
              <w:rPr>
                <w:rFonts w:hint="eastAsia" w:ascii="Arial" w:hAnsi="Arial" w:eastAsia="等线" w:cs="Arial"/>
                <w:sz w:val="21"/>
                <w:szCs w:val="21"/>
                <w:lang w:val="en-US" w:eastAsia="zh-CN"/>
              </w:rPr>
              <w:t>50</w:t>
            </w:r>
            <w:r>
              <w:rPr>
                <w:rFonts w:ascii="Arial" w:hAnsi="Arial" w:eastAsia="等线" w:cs="Arial"/>
                <w:sz w:val="21"/>
                <w:szCs w:val="21"/>
              </w:rPr>
              <w:t xml:space="preserve"> + </w:t>
            </w:r>
            <w:r>
              <w:rPr>
                <w:rFonts w:hint="eastAsia" w:ascii="Arial" w:hAnsi="Arial" w:eastAsia="等线" w:cs="Arial"/>
                <w:sz w:val="21"/>
                <w:szCs w:val="21"/>
                <w:lang w:val="en-US" w:eastAsia="zh-CN"/>
              </w:rPr>
              <w:t>50</w:t>
            </w:r>
            <w:bookmarkStart w:id="3" w:name="_GoBack"/>
            <w:bookmarkEnd w:id="3"/>
            <w:r>
              <w:rPr>
                <w:rFonts w:ascii="Arial" w:hAnsi="Arial" w:eastAsia="等线" w:cs="Arial"/>
                <w:sz w:val="21"/>
                <w:szCs w:val="21"/>
              </w:rPr>
              <w:t xml:space="preserve"> × (Tmax − Tteam) / (Tmax − Tmin)</w:t>
            </w:r>
            <w:r>
              <w:rPr>
                <w:rFonts w:hint="eastAsia" w:ascii="Arial" w:hAnsi="Arial" w:eastAsia="等线"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hAnsi="Arial" w:eastAsia="等线" w:cs="Arial"/>
                <w:sz w:val="21"/>
                <w:szCs w:val="21"/>
              </w:rPr>
              <w:t>最低分不低于0，未完成者得0分</w:t>
            </w:r>
          </w:p>
        </w:tc>
      </w:tr>
    </w:tbl>
    <w:p w14:paraId="292B7890">
      <w:pPr>
        <w:spacing w:before="120" w:after="120" w:line="288" w:lineRule="auto"/>
        <w:ind w:left="0"/>
        <w:jc w:val="left"/>
      </w:pPr>
      <w:r>
        <w:br w:type="page"/>
      </w:r>
    </w:p>
    <w:p w14:paraId="0FA9ECC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三、评审流程概览</w:t>
      </w:r>
      <w:bookmarkEnd w:id="2"/>
    </w:p>
    <w:tbl>
      <w:tblPr>
        <w:tblStyle w:val="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1238"/>
        <w:gridCol w:w="5004"/>
      </w:tblGrid>
      <w:tr w14:paraId="0E2B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ECB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12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3E1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</w:t>
            </w:r>
          </w:p>
        </w:tc>
        <w:tc>
          <w:tcPr>
            <w:tcW w:w="50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D399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5DB9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C52B6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初筛</w:t>
            </w:r>
          </w:p>
        </w:tc>
        <w:tc>
          <w:tcPr>
            <w:tcW w:w="12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BA2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7 月</w:t>
            </w:r>
          </w:p>
        </w:tc>
        <w:tc>
          <w:tcPr>
            <w:tcW w:w="50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4E05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主办方根据《创意方案书》评选出 30-40 支队伍</w:t>
            </w:r>
          </w:p>
        </w:tc>
      </w:tr>
      <w:tr w14:paraId="69FC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E06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最终评审（赛道一）</w:t>
            </w:r>
          </w:p>
        </w:tc>
        <w:tc>
          <w:tcPr>
            <w:tcW w:w="12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E517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 月下旬</w:t>
            </w:r>
          </w:p>
        </w:tc>
        <w:tc>
          <w:tcPr>
            <w:tcW w:w="50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8E3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现场路演：10 分钟演示 + 5 分钟答辩</w:t>
            </w:r>
          </w:p>
        </w:tc>
      </w:tr>
      <w:tr w14:paraId="75C4F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491F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最终评审（赛道二）</w:t>
            </w:r>
          </w:p>
        </w:tc>
        <w:tc>
          <w:tcPr>
            <w:tcW w:w="123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621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11 月下旬</w:t>
            </w:r>
          </w:p>
        </w:tc>
        <w:tc>
          <w:tcPr>
            <w:tcW w:w="500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50D2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实机竞速，按上述评分规则现场计时评定</w:t>
            </w:r>
          </w:p>
        </w:tc>
      </w:tr>
    </w:tbl>
    <w:p w14:paraId="01B0B6AB">
      <w:pPr>
        <w:spacing w:before="120" w:after="120" w:line="288" w:lineRule="auto"/>
        <w:ind w:left="0"/>
        <w:jc w:val="left"/>
        <w:rPr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评审专家组成</w:t>
      </w:r>
      <w:r>
        <w:rPr>
          <w:rFonts w:ascii="Arial" w:hAnsi="Arial" w:eastAsia="等线" w:cs="Arial"/>
          <w:sz w:val="24"/>
          <w:szCs w:val="24"/>
        </w:rPr>
        <w:t>：蓝思科技、中移杭研、湖南移动三方联合组成评审团。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4261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23A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06477E"/>
    <w:rsid w:val="20280331"/>
    <w:rsid w:val="21B2768F"/>
    <w:rsid w:val="2AFC4894"/>
    <w:rsid w:val="366735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1483</Words>
  <Characters>1859</Characters>
  <TotalTime>8</TotalTime>
  <ScaleCrop>false</ScaleCrop>
  <LinksUpToDate>false</LinksUpToDate>
  <CharactersWithSpaces>1931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2026-06-09T08:55:00Z</dcterms:created>
  <dc:creator>Apache POI</dc:creator>
  <cp:lastModifiedBy>周周</cp:lastModifiedBy>
  <dcterms:modified xsi:type="dcterms:W3CDTF">2026-06-09T09:03:26Z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eyJoZGlkIjoiMmE3ZDE0ODk4MjFjYjFjZjgyNGU4ZWM5MTI1MDQyMmIiLCJ1c2VySWQiOiIzNzc3Mjk2NTgifQ==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8266E75CF8254C9298BA470C6CF9174B_12</vt:lpwstr>
  </property>
</Properties>
</file>