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  <w:vAlign w:val="center"/>
          </w:tcPr>
          <w:p>
            <w:pPr>
              <w:jc w:val="center"/>
            </w:pPr>
            <w:r>
              <w:rPr>
                <w:b/>
              </w:rPr>
              <w:t>nametrteyyffftfeye</w:t>
            </w:r>
          </w:p>
        </w:tc>
      </w:tr>
      <w:tr>
        <w:tc>
          <w:tcPr>
            <w:tcW w:type="dxa" w:w="8640"/>
            <w:gridSpan w:val="5"/>
            <w:vAlign w:val="center"/>
          </w:tcPr>
          <w:p>
            <w:pPr>
              <w:jc w:val="center"/>
            </w:pPr>
            <w:r>
              <w:t>Energy and pseudo-</w:t>
            </w:r>
            <w:r>
              <w:rPr>
                <w:i/>
              </w:rPr>
              <w:t>g</w:t>
            </w:r>
            <w:r>
              <w:t>-tensor components (</w:t>
            </w:r>
            <w:r>
              <w:rPr>
                <w:i/>
              </w:rPr>
              <w:t>g</w:t>
            </w:r>
            <w:r>
              <w:rPr>
                <w:vertAlign w:val="subscript"/>
              </w:rPr>
              <w:t>x</w:t>
            </w:r>
            <w:r>
              <w:t xml:space="preserve">, </w:t>
            </w:r>
            <w:r>
              <w:rPr>
                <w:i/>
              </w:rPr>
              <w:t>g</w:t>
            </w:r>
            <w:r>
              <w:rPr>
                <w:vertAlign w:val="subscript"/>
              </w:rPr>
              <w:t>y</w:t>
            </w:r>
            <w:r>
              <w:t xml:space="preserve">, </w:t>
            </w:r>
            <w:r>
              <w:rPr>
                <w:i/>
              </w:rPr>
              <w:t>g</w:t>
            </w:r>
            <w:r>
              <w:rPr>
                <w:vertAlign w:val="subscript"/>
              </w:rPr>
              <w:t>z</w:t>
            </w:r>
            <w:r>
              <w:t>) of 5 ground Kramers doublets</w:t>
            </w:r>
          </w:p>
        </w:tc>
      </w:tr>
      <w:tr>
        <w:tc>
          <w:tcPr>
            <w:tcW w:type="dxa" w:w="1728"/>
            <w:vMerge w:val="restart"/>
            <w:vAlign w:val="center"/>
          </w:tcPr>
          <w:p>
            <w:pPr>
              <w:jc w:val="center"/>
            </w:pPr>
            <w:r>
              <w:t>Doublet no.</w:t>
            </w:r>
          </w:p>
        </w:tc>
        <w:tc>
          <w:tcPr>
            <w:tcW w:type="dxa" w:w="1728"/>
            <w:vMerge w:val="restart"/>
            <w:vAlign w:val="center"/>
          </w:tcPr>
          <w:p>
            <w:pPr>
              <w:jc w:val="center"/>
            </w:pPr>
            <w:r>
              <w:t>Energy / cm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5184"/>
            <w:gridSpan w:val="3"/>
            <w:vAlign w:val="center"/>
          </w:tcPr>
          <w:p>
            <w:pPr>
              <w:jc w:val="center"/>
            </w:pPr>
            <w:r>
              <w:t>Pseudo-</w:t>
            </w:r>
            <w:r>
              <w:rPr>
                <w:i/>
              </w:rPr>
              <w:t>g</w:t>
            </w:r>
            <w:r>
              <w:t>-tensor components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i/>
              </w:rPr>
              <w:t>g</w:t>
            </w:r>
            <w:r>
              <w:rPr>
                <w:vertAlign w:val="subscript"/>
              </w:rPr>
              <w:t>x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i/>
              </w:rPr>
              <w:t>g</w:t>
            </w:r>
            <w:r>
              <w:rPr>
                <w:vertAlign w:val="subscript"/>
              </w:rPr>
              <w:t>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i/>
              </w:rPr>
              <w:t>g</w:t>
            </w:r>
            <w:r>
              <w:rPr>
                <w:vertAlign w:val="subscript"/>
              </w:rPr>
              <w:t>z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1.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0.000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0.8494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1.3991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4.9660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2.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128.284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0.5839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2.3737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3.8966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3.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204.734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0.1380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1.2099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2.5604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4.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307.082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0.2471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2.3233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3.3877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5.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358.237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0.1143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2.3722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3.4199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  <w:vAlign w:val="center"/>
          </w:tcPr>
          <w:p>
            <w:pPr>
              <w:jc w:val="center"/>
            </w:pPr>
            <w:r>
              <w:t>Composition of the ground Kramers doublets in the |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J</w:t>
            </w:r>
            <w:r>
              <w:t>⟩ basis on the quantization axes within</w:t>
            </w:r>
            <w:r>
              <w:rPr>
                <w:i/>
              </w:rPr>
              <w:t xml:space="preserve"> J </w:t>
            </w:r>
            <w:r>
              <w:t>= 9/2 manifold</w:t>
            </w:r>
            <w:r>
              <w:t xml:space="preserve"> (contribution over 0.1% shown)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doublet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doublet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doublet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doublet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</w:t>
            </w:r>
            <w:r>
              <w:rPr>
                <w:vertAlign w:val="superscript"/>
              </w:rPr>
              <w:t>th</w:t>
            </w:r>
            <w:r>
              <w:t xml:space="preserve"> doublet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1.9%</w:t>
            </w:r>
            <w:r>
              <w:t xml:space="preserve"> |–9/2⟩</w:t>
              <w:br/>
            </w:r>
            <w:r>
              <w:t>6.4%</w:t>
            </w:r>
            <w:r>
              <w:t xml:space="preserve"> |–7/2⟩</w:t>
              <w:br/>
            </w:r>
            <w:r>
              <w:t>17.2%</w:t>
            </w:r>
            <w:r>
              <w:t xml:space="preserve"> |–5/2⟩</w:t>
              <w:br/>
            </w:r>
            <w:r>
              <w:t>0.9%</w:t>
            </w:r>
            <w:r>
              <w:t xml:space="preserve"> |–3/2⟩</w:t>
              <w:br/>
            </w:r>
            <w:r>
              <w:t>21.9%</w:t>
            </w:r>
            <w:r>
              <w:t xml:space="preserve"> |–1/2⟩</w:t>
              <w:br/>
            </w:r>
            <w:r>
              <w:t>23.2%</w:t>
            </w:r>
            <w:r>
              <w:t xml:space="preserve"> |+3/2⟩</w:t>
              <w:br/>
            </w:r>
            <w:r>
              <w:t>3.4%</w:t>
            </w:r>
            <w:r>
              <w:t xml:space="preserve"> |+5/2⟩</w:t>
              <w:br/>
            </w:r>
            <w:r>
              <w:t>21.1%</w:t>
            </w:r>
            <w:r>
              <w:t xml:space="preserve"> |+7/2⟩</w:t>
              <w:br/>
            </w:r>
            <w:r>
              <w:t>3.8%</w:t>
            </w:r>
            <w:r>
              <w:t xml:space="preserve"> |+9/2⟩</w:t>
              <w:br/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40.9%</w:t>
            </w:r>
            <w:r>
              <w:t xml:space="preserve"> |–9/2⟩</w:t>
              <w:br/>
            </w:r>
            <w:r>
              <w:t>3.8%</w:t>
            </w:r>
            <w:r>
              <w:t xml:space="preserve"> |–7/2⟩</w:t>
              <w:br/>
            </w:r>
            <w:r>
              <w:t>20.5%</w:t>
            </w:r>
            <w:r>
              <w:t xml:space="preserve"> |–5/2⟩</w:t>
              <w:br/>
            </w:r>
            <w:r>
              <w:t>8.8%</w:t>
            </w:r>
            <w:r>
              <w:t xml:space="preserve"> |–3/2⟩</w:t>
              <w:br/>
            </w:r>
            <w:r>
              <w:t>8.4%</w:t>
            </w:r>
            <w:r>
              <w:t xml:space="preserve"> |–1/2⟩</w:t>
              <w:br/>
            </w:r>
            <w:r>
              <w:t>1.0%</w:t>
            </w:r>
            <w:r>
              <w:t xml:space="preserve"> |+1/2⟩</w:t>
              <w:br/>
            </w:r>
            <w:r>
              <w:t>12.2%</w:t>
            </w:r>
            <w:r>
              <w:t xml:space="preserve"> |+3/2⟩</w:t>
              <w:br/>
            </w:r>
            <w:r>
              <w:t>2.4%</w:t>
            </w:r>
            <w:r>
              <w:t xml:space="preserve"> |+5/2⟩</w:t>
              <w:br/>
            </w:r>
            <w:r>
              <w:t>1.2%</w:t>
            </w:r>
            <w:r>
              <w:t xml:space="preserve"> |+7/2⟩</w:t>
              <w:br/>
            </w:r>
            <w:r>
              <w:t>0.7%</w:t>
            </w:r>
            <w:r>
              <w:t xml:space="preserve"> |+9/2⟩</w:t>
              <w:br/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1.9%</w:t>
            </w:r>
            <w:r>
              <w:t xml:space="preserve"> |–9/2⟩</w:t>
              <w:br/>
            </w:r>
            <w:r>
              <w:t>23.1%</w:t>
            </w:r>
            <w:r>
              <w:t xml:space="preserve"> |–7/2⟩</w:t>
              <w:br/>
            </w:r>
            <w:r>
              <w:t>4.5%</w:t>
            </w:r>
            <w:r>
              <w:t xml:space="preserve"> |–5/2⟩</w:t>
              <w:br/>
            </w:r>
            <w:r>
              <w:t>2.0%</w:t>
            </w:r>
            <w:r>
              <w:t xml:space="preserve"> |–3/2⟩</w:t>
              <w:br/>
            </w:r>
            <w:r>
              <w:t>20.3%</w:t>
            </w:r>
            <w:r>
              <w:t xml:space="preserve"> |–1/2⟩</w:t>
              <w:br/>
            </w:r>
            <w:r>
              <w:t>20.1%</w:t>
            </w:r>
            <w:r>
              <w:t xml:space="preserve"> |+1/2⟩</w:t>
              <w:br/>
            </w:r>
            <w:r>
              <w:t>3.6%</w:t>
            </w:r>
            <w:r>
              <w:t xml:space="preserve"> |+3/2⟩</w:t>
              <w:br/>
            </w:r>
            <w:r>
              <w:t>0.7%</w:t>
            </w:r>
            <w:r>
              <w:t xml:space="preserve"> |+5/2⟩</w:t>
              <w:br/>
            </w:r>
            <w:r>
              <w:t>15.0%</w:t>
            </w:r>
            <w:r>
              <w:t xml:space="preserve"> |+7/2⟩</w:t>
              <w:br/>
            </w:r>
            <w:r>
              <w:t>8.8%</w:t>
            </w:r>
            <w:r>
              <w:t xml:space="preserve"> |+9/2⟩</w:t>
              <w:br/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14.6%</w:t>
            </w:r>
            <w:r>
              <w:t xml:space="preserve"> |–9/2⟩</w:t>
              <w:br/>
            </w:r>
            <w:r>
              <w:t>4.2%</w:t>
            </w:r>
            <w:r>
              <w:t xml:space="preserve"> |–7/2⟩</w:t>
              <w:br/>
            </w:r>
            <w:r>
              <w:t>19.8%</w:t>
            </w:r>
            <w:r>
              <w:t xml:space="preserve"> |–5/2⟩</w:t>
              <w:br/>
            </w:r>
            <w:r>
              <w:t>8.3%</w:t>
            </w:r>
            <w:r>
              <w:t xml:space="preserve"> |–3/2⟩</w:t>
              <w:br/>
            </w:r>
            <w:r>
              <w:t>3.2%</w:t>
            </w:r>
            <w:r>
              <w:t xml:space="preserve"> |–1/2⟩</w:t>
              <w:br/>
            </w:r>
            <w:r>
              <w:t>0.1%</w:t>
            </w:r>
            <w:r>
              <w:t xml:space="preserve"> |+1/2⟩</w:t>
              <w:br/>
            </w:r>
            <w:r>
              <w:t>27.5%</w:t>
            </w:r>
            <w:r>
              <w:t xml:space="preserve"> |+5/2⟩</w:t>
              <w:br/>
            </w:r>
            <w:r>
              <w:t>11.5%</w:t>
            </w:r>
            <w:r>
              <w:t xml:space="preserve"> |+7/2⟩</w:t>
              <w:br/>
            </w:r>
            <w:r>
              <w:t>10.7%</w:t>
            </w:r>
            <w:r>
              <w:t xml:space="preserve"> |+9/2⟩</w:t>
              <w:br/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2.8%</w:t>
            </w:r>
            <w:r>
              <w:t xml:space="preserve"> |–9/2⟩</w:t>
              <w:br/>
            </w:r>
            <w:r>
              <w:t>2.0%</w:t>
            </w:r>
            <w:r>
              <w:t xml:space="preserve"> |–7/2⟩</w:t>
              <w:br/>
            </w:r>
            <w:r>
              <w:t>3.7%</w:t>
            </w:r>
            <w:r>
              <w:t xml:space="preserve"> |–5/2⟩</w:t>
              <w:br/>
            </w:r>
            <w:r>
              <w:t>13.4%</w:t>
            </w:r>
            <w:r>
              <w:t xml:space="preserve"> |–3/2⟩</w:t>
              <w:br/>
            </w:r>
            <w:r>
              <w:t>17.5%</w:t>
            </w:r>
            <w:r>
              <w:t xml:space="preserve"> |–1/2⟩</w:t>
              <w:br/>
            </w:r>
            <w:r>
              <w:t>7.3%</w:t>
            </w:r>
            <w:r>
              <w:t xml:space="preserve"> |+1/2⟩</w:t>
              <w:br/>
            </w:r>
            <w:r>
              <w:t>27.4%</w:t>
            </w:r>
            <w:r>
              <w:t xml:space="preserve"> |+3/2⟩</w:t>
              <w:br/>
            </w:r>
            <w:r>
              <w:t>0.3%</w:t>
            </w:r>
            <w:r>
              <w:t xml:space="preserve"> |+5/2⟩</w:t>
              <w:br/>
            </w:r>
            <w:r>
              <w:t>11.6%</w:t>
            </w:r>
            <w:r>
              <w:t xml:space="preserve"> |+7/2⟩</w:t>
              <w:br/>
            </w:r>
            <w:r>
              <w:t>14.0%</w:t>
            </w:r>
            <w:r>
              <w:t xml:space="preserve"> |+9/2⟩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