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1D239" w14:textId="586F2111" w:rsidR="00C67821" w:rsidRPr="00B7721E" w:rsidRDefault="00B7721E" w:rsidP="00B7721E">
      <w:pPr>
        <w:rPr>
          <w:rFonts w:ascii="UD Digi Kyokasho NK-R" w:eastAsia="UD Digi Kyokasho NK-R" w:hint="eastAsia"/>
          <w:sz w:val="24"/>
          <w:szCs w:val="24"/>
        </w:rPr>
      </w:pP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 xml:space="preserve">Both stocks exhibit aggressive </w:t>
      </w:r>
      <w:proofErr w:type="spellStart"/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behavior</w:t>
      </w:r>
      <w:proofErr w:type="spellEnd"/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, with betas greater than 1, indicating sensitivity to market changes.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Disney’s CAPM beta is 1.1368, suggesting it is 13.68% more volatile than the market, while GE’s beta of 1.1506 indicates even greater market sensitivity. The Fama-French model shows similar results, with Disney’s beta increasing to 1.1702 and GE’s beta rising to 1.2322.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This confirms that both are aggressive, but the latter exhibits slightly higher risk and potential reward.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Disney’s alpha of 0.6454 is significant, reflecting consistent excess returns over the market, making it an attractive choice for long-term investors seeking reliable performance. In contrast, GE’s alpha of 0.0594 is insignificant, suggesting it does not consistently outperform the market and behaves more like a market-tracking stock.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The R-squared values from both models further reinforce these conclusions.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For Disney, CAPM explains 44.5% of the variation in excess returns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bdr w:val="single" w:sz="2" w:space="0" w:color="E5E7EB" w:frame="1"/>
        </w:rPr>
        <w:t>;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 xml:space="preserve"> meanwhile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bdr w:val="single" w:sz="2" w:space="0" w:color="E5E7EB" w:frame="1"/>
        </w:rPr>
        <w:t>,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 xml:space="preserve"> the Fama-French model improves this slightly to 45.2%, indicating the market is the main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bdr w:val="single" w:sz="2" w:space="0" w:color="E5E7EB" w:frame="1"/>
        </w:rPr>
        <w:t xml:space="preserve">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driver of returns, with minor contributions from SMB and HML factors.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GE’s CAPM R-squared is 43.2%, increasing significantly to 46.6% under Fama-French, suggesting size and value factors play a more critical role in explaining GE’s performance. Specifically, GE’s significant and negative SMB coefficient (-0.2497) indicates a large-cap stock profile, while its 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shd w:val="clear" w:color="auto" w:fill="FFFFFF"/>
        </w:rPr>
        <w:t>considerable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and positive HML coefficient (0.3781) highlights a strong benefit from value stocks.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But, Disney, shows weaker dependence on these factors, with an insignificant SMB coefficient at -0.0790 and a marginally significant HML coefficient at 0.1886, meaning its moderate reliance on value-driven performance.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GE’s heightened sensitivity to market volatility and significant dependence on size and value factors make it suitable for risk-tolerant investors aiming for higher growth but willing to accept increased risk.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In summary, Disney is a safer investment for consistent performance, while the other provides an opportunity for higher returns at a greater risk.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shd w:val="clear" w:color="auto" w:fill="FFFFFF"/>
        </w:rPr>
        <w:t xml:space="preserve"> 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A diversified strategy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bdr w:val="single" w:sz="2" w:space="0" w:color="E5E7EB" w:frame="1"/>
        </w:rPr>
        <w:t>,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 xml:space="preserve"> in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bdr w:val="single" w:sz="2" w:space="0" w:color="E5E7EB" w:frame="1"/>
        </w:rPr>
        <w:t>cl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>uding both stocks</w:t>
      </w:r>
      <w:r>
        <w:rPr>
          <w:rFonts w:ascii="UD Digi Kyokasho NK-R" w:eastAsia="UD Digi Kyokasho NK-R" w:hAnsi="Arial" w:cs="Arial"/>
          <w:color w:val="3B3A3B"/>
          <w:spacing w:val="5"/>
          <w:sz w:val="24"/>
          <w:szCs w:val="24"/>
          <w:bdr w:val="single" w:sz="2" w:space="0" w:color="E5E7EB" w:frame="1"/>
        </w:rPr>
        <w:t>,</w:t>
      </w:r>
      <w:r w:rsidRPr="00B7721E">
        <w:rPr>
          <w:rFonts w:ascii="UD Digi Kyokasho NK-R" w:eastAsia="UD Digi Kyokasho NK-R" w:hAnsi="Arial" w:cs="Arial" w:hint="eastAsia"/>
          <w:color w:val="3B3A3B"/>
          <w:spacing w:val="5"/>
          <w:sz w:val="24"/>
          <w:szCs w:val="24"/>
          <w:bdr w:val="single" w:sz="2" w:space="0" w:color="E5E7EB" w:frame="1"/>
        </w:rPr>
        <w:t xml:space="preserve"> can offer stability through the former and growth potential through the latter, balancing risk and reward for investors with varying risk appetites.</w:t>
      </w:r>
    </w:p>
    <w:sectPr w:rsidR="00C67821" w:rsidRPr="00B7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E489F" w14:textId="77777777" w:rsidR="00B50D9D" w:rsidRDefault="00B50D9D" w:rsidP="006E10F2">
      <w:pPr>
        <w:spacing w:after="0" w:line="240" w:lineRule="auto"/>
      </w:pPr>
      <w:r>
        <w:separator/>
      </w:r>
    </w:p>
  </w:endnote>
  <w:endnote w:type="continuationSeparator" w:id="0">
    <w:p w14:paraId="57F4395F" w14:textId="77777777" w:rsidR="00B50D9D" w:rsidRDefault="00B50D9D" w:rsidP="006E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D5662" w14:textId="77777777" w:rsidR="00B50D9D" w:rsidRDefault="00B50D9D" w:rsidP="006E10F2">
      <w:pPr>
        <w:spacing w:after="0" w:line="240" w:lineRule="auto"/>
      </w:pPr>
      <w:r>
        <w:separator/>
      </w:r>
    </w:p>
  </w:footnote>
  <w:footnote w:type="continuationSeparator" w:id="0">
    <w:p w14:paraId="62096CFA" w14:textId="77777777" w:rsidR="00B50D9D" w:rsidRDefault="00B50D9D" w:rsidP="006E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431BB"/>
    <w:multiLevelType w:val="hybridMultilevel"/>
    <w:tmpl w:val="FF1697A4"/>
    <w:lvl w:ilvl="0" w:tplc="20804CC2">
      <w:start w:val="1"/>
      <w:numFmt w:val="decimal"/>
      <w:pStyle w:val="Heading1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64C3"/>
    <w:multiLevelType w:val="hybridMultilevel"/>
    <w:tmpl w:val="D45A1A4E"/>
    <w:lvl w:ilvl="0" w:tplc="CA8AB20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7139">
    <w:abstractNumId w:val="0"/>
  </w:num>
  <w:num w:numId="2" w16cid:durableId="133198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0tDQ0NzC1MDE2MzJU0lEKTi0uzszPAykwqgUACdcWZiwAAAA="/>
  </w:docVars>
  <w:rsids>
    <w:rsidRoot w:val="00EA19FD"/>
    <w:rsid w:val="00094A1C"/>
    <w:rsid w:val="00096014"/>
    <w:rsid w:val="000C09FD"/>
    <w:rsid w:val="00521F5E"/>
    <w:rsid w:val="0053421B"/>
    <w:rsid w:val="005D0C14"/>
    <w:rsid w:val="006E10F2"/>
    <w:rsid w:val="006E6BD6"/>
    <w:rsid w:val="00755678"/>
    <w:rsid w:val="007B3FC6"/>
    <w:rsid w:val="00871563"/>
    <w:rsid w:val="008B7BC3"/>
    <w:rsid w:val="008C139A"/>
    <w:rsid w:val="008D17F7"/>
    <w:rsid w:val="009A6A4E"/>
    <w:rsid w:val="00A47469"/>
    <w:rsid w:val="00AA56E8"/>
    <w:rsid w:val="00B50D9D"/>
    <w:rsid w:val="00B7721E"/>
    <w:rsid w:val="00B83D99"/>
    <w:rsid w:val="00BD0846"/>
    <w:rsid w:val="00C173D2"/>
    <w:rsid w:val="00C67821"/>
    <w:rsid w:val="00CF1230"/>
    <w:rsid w:val="00D12E5D"/>
    <w:rsid w:val="00D17C1F"/>
    <w:rsid w:val="00D449FC"/>
    <w:rsid w:val="00DE0597"/>
    <w:rsid w:val="00E35710"/>
    <w:rsid w:val="00EA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EDABB9-F2B1-4FB4-A9F6-D5AAEF0E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9F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9FD"/>
    <w:pPr>
      <w:keepNext/>
      <w:keepLines/>
      <w:numPr>
        <w:numId w:val="2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09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09FD"/>
    <w:rPr>
      <w:rFonts w:ascii="Times New Roman" w:eastAsiaTheme="majorEastAsia" w:hAnsi="Times New Roman" w:cstheme="majorBidi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6E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0F2"/>
  </w:style>
  <w:style w:type="paragraph" w:styleId="Footer">
    <w:name w:val="footer"/>
    <w:basedOn w:val="Normal"/>
    <w:link w:val="FooterChar"/>
    <w:uiPriority w:val="99"/>
    <w:unhideWhenUsed/>
    <w:rsid w:val="006E1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moe.zun.63d@st.kyoto-u.ac.jp</dc:creator>
  <cp:keywords/>
  <dc:description/>
  <cp:lastModifiedBy>moe.zun.63d@st.kyoto-u.ac.jp</cp:lastModifiedBy>
  <cp:revision>3</cp:revision>
  <cp:lastPrinted>2024-12-08T08:18:00Z</cp:lastPrinted>
  <dcterms:created xsi:type="dcterms:W3CDTF">2024-12-08T08:12:00Z</dcterms:created>
  <dcterms:modified xsi:type="dcterms:W3CDTF">2024-12-08T08:27:00Z</dcterms:modified>
</cp:coreProperties>
</file>