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11827"/>
          <w:sz w:val="60"/>
        </w:rPr>
        <w:t>PHARMACYOS</w:t>
      </w:r>
    </w:p>
    <w:p>
      <w:pPr>
        <w:jc w:val="center"/>
      </w:pPr>
      <w:r>
        <w:rPr>
          <w:b/>
          <w:color w:val="1F2937"/>
          <w:sz w:val="38"/>
        </w:rPr>
        <w:t>Phase 2 - Operational Intelligence &amp; Owner Assistance</w:t>
      </w:r>
    </w:p>
    <w:p>
      <w:pPr>
        <w:jc w:val="center"/>
      </w:pPr>
      <w:r>
        <w:rPr>
          <w:color w:val="4B5563"/>
          <w:sz w:val="24"/>
        </w:rPr>
        <w:t>Technical Architecture, Feature Specification, Engineering Rules,</w:t>
        <w:br/>
        <w:t>and Sequential Codex / Claude Implementation Prompts</w:t>
      </w:r>
    </w:p>
    <w:p/>
    <w:p>
      <w:pPr>
        <w:jc w:val="center"/>
      </w:pPr>
      <w:r>
        <w:rPr>
          <w:b/>
        </w:rPr>
        <w:t>Status: Ready for implementation after Phase 1 acceptance</w:t>
        <w:br/>
      </w:r>
      <w:r>
        <w:t>Prepared: 20 August 2026</w:t>
        <w:br/>
      </w:r>
      <w:r>
        <w:t>Target: Local Pakistani pharmacies, with Punjab compliance considerations</w:t>
        <w:br/>
      </w:r>
      <w:r>
        <w:t>Architecture: Existing React + TypeScript + Vite / NestJS + PostgreSQL / Docker deployment</w:t>
      </w:r>
    </w:p>
    <w:p/>
    <w:p>
      <w:pPr>
        <w:jc w:val="center"/>
      </w:pPr>
      <w:r>
        <w:rPr>
          <w:b/>
          <w:sz w:val="21"/>
        </w:rPr>
        <w:t>Core rule: extend the working Phase-1 system; do not redesign or destabilize it.</w:t>
      </w:r>
    </w:p>
    <w:p>
      <w:r>
        <w:br w:type="page"/>
      </w:r>
    </w:p>
    <w:p>
      <w:pPr>
        <w:pStyle w:val="Heading1"/>
      </w:pPr>
      <w:r>
        <w:t>1. Document Purpose and Execution Contract</w:t>
      </w:r>
    </w:p>
    <w:p>
      <w:r>
        <w:t>This document defines the next bounded commercial phase after the implemented pharmacy core. It is intentionally written as both an architecture specification and an execution book for Codex/Claude. The coding agent must inspect and reuse the existing implementation before adding anything. Where this document uses conceptual entity names, the existing repository naming wins unless a schema gap is proven.</w:t>
      </w:r>
    </w:p>
    <w:p>
      <w:pPr>
        <w:pStyle w:val="Heading2"/>
      </w:pPr>
      <w:r>
        <w:t>1.1 Assumed Phase-1 baseline</w:t>
      </w:r>
    </w:p>
    <w:p>
      <w:pPr>
        <w:pStyle w:val="ListBullet"/>
      </w:pPr>
      <w:r>
        <w:t>Fast POS and medicine/barcode search are implemented.</w:t>
      </w:r>
    </w:p>
    <w:p>
      <w:pPr>
        <w:pStyle w:val="ListBullet"/>
      </w:pPr>
      <w:r>
        <w:t>Batch- and expiry-aware inventory is implemented.</w:t>
      </w:r>
    </w:p>
    <w:p>
      <w:pPr>
        <w:pStyle w:val="ListBullet"/>
      </w:pPr>
      <w:r>
        <w:t>Multi-counter salesperson-to-cashier workflow is implemented.</w:t>
      </w:r>
    </w:p>
    <w:p>
      <w:pPr>
        <w:pStyle w:val="ListBullet"/>
      </w:pPr>
      <w:r>
        <w:t>Medicine shelf/location lookup exists at a basic operational level.</w:t>
      </w:r>
    </w:p>
    <w:p>
      <w:pPr>
        <w:pStyle w:val="ListBullet"/>
      </w:pPr>
      <w:r>
        <w:t>Returns are implemented with auditable linked transactions rather than destructive sale edits.</w:t>
      </w:r>
    </w:p>
    <w:p>
      <w:pPr>
        <w:pStyle w:val="ListBullet"/>
      </w:pPr>
      <w:r>
        <w:t>Automatic reorder suggestions exist in a basic form.</w:t>
      </w:r>
    </w:p>
    <w:p>
      <w:pPr>
        <w:pStyle w:val="ListBullet"/>
      </w:pPr>
      <w:r>
        <w:t>Cash reconciliation exists.</w:t>
      </w:r>
    </w:p>
    <w:p>
      <w:pPr>
        <w:pStyle w:val="ListBullet"/>
      </w:pPr>
      <w:r>
        <w:t>FBR-ready invoicing boundary exists.</w:t>
      </w:r>
    </w:p>
    <w:p>
      <w:pPr>
        <w:pStyle w:val="ListBullet"/>
      </w:pPr>
      <w:r>
        <w:t>A simple owner dashboard exists.</w:t>
      </w:r>
    </w:p>
    <w:p>
      <w:pPr>
        <w:pStyle w:val="ListBullet"/>
      </w:pPr>
      <w:r>
        <w:t>Role-based access control exists and backend authorization is authoritative.</w:t>
      </w:r>
    </w:p>
    <w:p>
      <w:r>
        <w:t>If any baseline item is incomplete, the agent must report it as a dependency conflict and avoid hiding the gap by re-implementing the module inside Phase 2.</w:t>
      </w:r>
    </w:p>
    <w:p>
      <w:pPr>
        <w:pStyle w:val="Heading2"/>
      </w:pPr>
      <w:r>
        <w:t>1.2 Phase-2 objective</w:t>
      </w:r>
    </w:p>
    <w:p>
      <w:r>
        <w:t>Turn the reliable transactional core into a stronger operational product by adding deterministic decision support, loss prevention, procurement intelligence, safer customer affordability calculations, faster returns, and a controlled owner AI assistant. None of these features may become a dependency for completing a sale.</w:t>
      </w:r>
    </w:p>
    <w:p>
      <w:pPr>
        <w:pStyle w:val="Heading2"/>
      </w:pPr>
      <w:r>
        <w:t>1.3 Phase-2 feature scope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E5E7EB"/>
            <w:tcMar>
              <w:top w:w="60" w:type="dxa"/>
              <w:start w:w="70" w:type="dxa"/>
              <w:bottom w:w="60" w:type="dxa"/>
              <w:end w:w="70" w:type="dxa"/>
            </w:tcMar>
          </w:tcPr>
          <w:p>
            <w:r>
              <w:rPr>
                <w:b/>
                <w:sz w:val="17"/>
              </w:rPr>
              <w:t>Feature</w:t>
            </w:r>
          </w:p>
        </w:tc>
        <w:tc>
          <w:tcPr>
            <w:tcW w:type="dxa" w:w="7488"/>
            <w:vAlign w:val="center"/>
            <w:shd w:fill="E5E7EB"/>
            <w:tcMar>
              <w:top w:w="60" w:type="dxa"/>
              <w:start w:w="70" w:type="dxa"/>
              <w:bottom w:w="60" w:type="dxa"/>
              <w:end w:w="70" w:type="dxa"/>
            </w:tcMar>
          </w:tcPr>
          <w:p>
            <w:r>
              <w:rPr>
                <w:b/>
                <w:sz w:val="17"/>
              </w:rPr>
              <w:t>Outcome</w:t>
            </w:r>
          </w:p>
        </w:tc>
      </w:tr>
      <w:tr>
        <w:tc>
          <w:tcPr>
            <w:tcW w:type="dxa" w:w="2880"/>
            <w:vAlign w:val="top"/>
            <w:tcMar>
              <w:top w:w="60" w:type="dxa"/>
              <w:start w:w="70" w:type="dxa"/>
              <w:bottom w:w="60" w:type="dxa"/>
              <w:end w:w="70" w:type="dxa"/>
            </w:tcMar>
          </w:tcPr>
          <w:p>
            <w:r>
              <w:rPr>
                <w:sz w:val="16"/>
              </w:rPr>
              <w:t>Shelf optimization</w:t>
            </w:r>
          </w:p>
        </w:tc>
        <w:tc>
          <w:tcPr>
            <w:tcW w:type="dxa" w:w="7488"/>
            <w:vAlign w:val="top"/>
            <w:tcMar>
              <w:top w:w="60" w:type="dxa"/>
              <w:start w:w="70" w:type="dxa"/>
              <w:bottom w:w="60" w:type="dxa"/>
              <w:end w:w="70" w:type="dxa"/>
            </w:tcMar>
          </w:tcPr>
          <w:p>
            <w:r>
              <w:rPr>
                <w:sz w:val="16"/>
              </w:rPr>
              <w:t>Recommend better medicine placement from real pick/sale behavior while respecting storage/security rules.</w:t>
            </w:r>
          </w:p>
        </w:tc>
      </w:tr>
      <w:tr>
        <w:tc>
          <w:tcPr>
            <w:tcW w:type="dxa" w:w="2880"/>
            <w:vAlign w:val="top"/>
            <w:tcMar>
              <w:top w:w="60" w:type="dxa"/>
              <w:start w:w="70" w:type="dxa"/>
              <w:bottom w:w="60" w:type="dxa"/>
              <w:end w:w="70" w:type="dxa"/>
            </w:tcMar>
          </w:tcPr>
          <w:p>
            <w:r>
              <w:rPr>
                <w:sz w:val="16"/>
              </w:rPr>
              <w:t>Expiry-loss prevention</w:t>
            </w:r>
          </w:p>
        </w:tc>
        <w:tc>
          <w:tcPr>
            <w:tcW w:type="dxa" w:w="7488"/>
            <w:vAlign w:val="top"/>
            <w:tcMar>
              <w:top w:w="60" w:type="dxa"/>
              <w:start w:w="70" w:type="dxa"/>
              <w:bottom w:w="60" w:type="dxa"/>
              <w:end w:w="70" w:type="dxa"/>
            </w:tcMar>
          </w:tcPr>
          <w:p>
            <w:r>
              <w:rPr>
                <w:sz w:val="16"/>
              </w:rPr>
              <w:t>Quantify stock at risk, prioritize FEFO, suppress unnecessary reorder, and create actionable expiry work queues.</w:t>
            </w:r>
          </w:p>
        </w:tc>
      </w:tr>
      <w:tr>
        <w:tc>
          <w:tcPr>
            <w:tcW w:type="dxa" w:w="2880"/>
            <w:vAlign w:val="top"/>
            <w:tcMar>
              <w:top w:w="60" w:type="dxa"/>
              <w:start w:w="70" w:type="dxa"/>
              <w:bottom w:w="60" w:type="dxa"/>
              <w:end w:w="70" w:type="dxa"/>
            </w:tcMar>
          </w:tcPr>
          <w:p>
            <w:r>
              <w:rPr>
                <w:sz w:val="16"/>
              </w:rPr>
              <w:t>Supplier price intelligence</w:t>
            </w:r>
          </w:p>
        </w:tc>
        <w:tc>
          <w:tcPr>
            <w:tcW w:type="dxa" w:w="7488"/>
            <w:vAlign w:val="top"/>
            <w:tcMar>
              <w:top w:w="60" w:type="dxa"/>
              <w:start w:w="70" w:type="dxa"/>
              <w:bottom w:w="60" w:type="dxa"/>
              <w:end w:w="70" w:type="dxa"/>
            </w:tcMar>
          </w:tcPr>
          <w:p>
            <w:r>
              <w:rPr>
                <w:sz w:val="16"/>
              </w:rPr>
              <w:t>Compare effective historical/current medicine cost across suppliers without duplicating purchase truth.</w:t>
            </w:r>
          </w:p>
        </w:tc>
      </w:tr>
      <w:tr>
        <w:tc>
          <w:tcPr>
            <w:tcW w:type="dxa" w:w="2880"/>
            <w:vAlign w:val="top"/>
            <w:tcMar>
              <w:top w:w="60" w:type="dxa"/>
              <w:start w:w="70" w:type="dxa"/>
              <w:bottom w:w="60" w:type="dxa"/>
              <w:end w:w="70" w:type="dxa"/>
            </w:tcMar>
          </w:tcPr>
          <w:p>
            <w:r>
              <w:rPr>
                <w:sz w:val="16"/>
              </w:rPr>
              <w:t>Purchase forecasting v2</w:t>
            </w:r>
          </w:p>
        </w:tc>
        <w:tc>
          <w:tcPr>
            <w:tcW w:type="dxa" w:w="7488"/>
            <w:vAlign w:val="top"/>
            <w:tcMar>
              <w:top w:w="60" w:type="dxa"/>
              <w:start w:w="70" w:type="dxa"/>
              <w:bottom w:w="60" w:type="dxa"/>
              <w:end w:w="70" w:type="dxa"/>
            </w:tcMar>
          </w:tcPr>
          <w:p>
            <w:r>
              <w:rPr>
                <w:sz w:val="16"/>
              </w:rPr>
              <w:t>Improve reorder suggestions with demand, lead time, safety stock, stockout confidence, pack/MOQ constraints.</w:t>
            </w:r>
          </w:p>
        </w:tc>
      </w:tr>
      <w:tr>
        <w:tc>
          <w:tcPr>
            <w:tcW w:type="dxa" w:w="2880"/>
            <w:vAlign w:val="top"/>
            <w:tcMar>
              <w:top w:w="60" w:type="dxa"/>
              <w:start w:w="70" w:type="dxa"/>
              <w:bottom w:w="60" w:type="dxa"/>
              <w:end w:w="70" w:type="dxa"/>
            </w:tcMar>
          </w:tcPr>
          <w:p>
            <w:r>
              <w:rPr>
                <w:sz w:val="16"/>
              </w:rPr>
              <w:t>Budget-based regimen calculator</w:t>
            </w:r>
          </w:p>
        </w:tc>
        <w:tc>
          <w:tcPr>
            <w:tcW w:type="dxa" w:w="7488"/>
            <w:vAlign w:val="top"/>
            <w:tcMar>
              <w:top w:w="60" w:type="dxa"/>
              <w:start w:w="70" w:type="dxa"/>
              <w:bottom w:w="60" w:type="dxa"/>
              <w:end w:w="70" w:type="dxa"/>
            </w:tcMar>
          </w:tcPr>
          <w:p>
            <w:r>
              <w:rPr>
                <w:sz w:val="16"/>
              </w:rPr>
              <w:t>Calculate the maximum complete regimen duration under a PKR budget without changing dose or therapy.</w:t>
            </w:r>
          </w:p>
        </w:tc>
      </w:tr>
      <w:tr>
        <w:tc>
          <w:tcPr>
            <w:tcW w:type="dxa" w:w="2880"/>
            <w:vAlign w:val="top"/>
            <w:tcMar>
              <w:top w:w="60" w:type="dxa"/>
              <w:start w:w="70" w:type="dxa"/>
              <w:bottom w:w="60" w:type="dxa"/>
              <w:end w:w="70" w:type="dxa"/>
            </w:tcMar>
          </w:tcPr>
          <w:p>
            <w:r>
              <w:rPr>
                <w:sz w:val="16"/>
              </w:rPr>
              <w:t>QR-assisted return lookup</w:t>
            </w:r>
          </w:p>
        </w:tc>
        <w:tc>
          <w:tcPr>
            <w:tcW w:type="dxa" w:w="7488"/>
            <w:vAlign w:val="top"/>
            <w:tcMar>
              <w:top w:w="60" w:type="dxa"/>
              <w:start w:w="70" w:type="dxa"/>
              <w:bottom w:w="60" w:type="dxa"/>
              <w:end w:w="70" w:type="dxa"/>
            </w:tcMar>
          </w:tcPr>
          <w:p>
            <w:r>
              <w:rPr>
                <w:sz w:val="16"/>
              </w:rPr>
              <w:t>Scan a receipt QR to find the original invoice quickly without embedding private customer data.</w:t>
            </w:r>
          </w:p>
        </w:tc>
      </w:tr>
      <w:tr>
        <w:tc>
          <w:tcPr>
            <w:tcW w:type="dxa" w:w="2880"/>
            <w:vAlign w:val="top"/>
            <w:tcMar>
              <w:top w:w="60" w:type="dxa"/>
              <w:start w:w="70" w:type="dxa"/>
              <w:bottom w:w="60" w:type="dxa"/>
              <w:end w:w="70" w:type="dxa"/>
            </w:tcMar>
          </w:tcPr>
          <w:p>
            <w:r>
              <w:rPr>
                <w:sz w:val="16"/>
              </w:rPr>
              <w:t>Owner AI assistant</w:t>
            </w:r>
          </w:p>
        </w:tc>
        <w:tc>
          <w:tcPr>
            <w:tcW w:type="dxa" w:w="7488"/>
            <w:vAlign w:val="top"/>
            <w:tcMar>
              <w:top w:w="60" w:type="dxa"/>
              <w:start w:w="70" w:type="dxa"/>
              <w:bottom w:w="60" w:type="dxa"/>
              <w:end w:w="70" w:type="dxa"/>
            </w:tcMar>
          </w:tcPr>
          <w:p>
            <w:r>
              <w:rPr>
                <w:sz w:val="16"/>
              </w:rPr>
              <w:t>Read-only, tool-controlled operational assistant using aggregated/sanitized data and a replaceable Gemini provider.</w:t>
            </w:r>
          </w:p>
        </w:tc>
      </w:tr>
    </w:tbl>
    <w:p>
      <w:pPr>
        <w:spacing w:after="20"/>
      </w:pPr>
    </w:p>
    <w:p>
      <w:pPr>
        <w:pStyle w:val="Heading2"/>
      </w:pPr>
      <w:r>
        <w:t>1.4 Explicit non-goals</w:t>
      </w:r>
    </w:p>
    <w:p>
      <w:pPr>
        <w:pStyle w:val="ListBullet"/>
      </w:pPr>
      <w:r>
        <w:t>No disease diagnosis, prescribing, dose modification, or autonomous medicine substitution.</w:t>
      </w:r>
    </w:p>
    <w:p>
      <w:pPr>
        <w:pStyle w:val="ListBullet"/>
      </w:pPr>
      <w:r>
        <w:t>No prescription OCR in this phase.</w:t>
      </w:r>
    </w:p>
    <w:p>
      <w:pPr>
        <w:pStyle w:val="ListBullet"/>
      </w:pPr>
      <w:r>
        <w:t>No customer mobile application, loyalty program, e-commerce, delivery platform, or WhatsApp bot.</w:t>
      </w:r>
    </w:p>
    <w:p>
      <w:pPr>
        <w:pStyle w:val="ListBullet"/>
      </w:pPr>
      <w:r>
        <w:t>No autonomous purchase order submission; recommendations become drafts and require authorized approval.</w:t>
      </w:r>
    </w:p>
    <w:p>
      <w:pPr>
        <w:pStyle w:val="ListBullet"/>
      </w:pPr>
      <w:r>
        <w:t>No automatic shelf movement; recommendations require human acceptance.</w:t>
      </w:r>
    </w:p>
    <w:p>
      <w:pPr>
        <w:pStyle w:val="ListBullet"/>
      </w:pPr>
      <w:r>
        <w:t>No multi-branch stock transfer engine in this phase.</w:t>
      </w:r>
    </w:p>
    <w:p>
      <w:pPr>
        <w:pStyle w:val="ListBullet"/>
      </w:pPr>
      <w:r>
        <w:t>No replacement of the existing FBR module; only safe linkage from returns where already supported.</w:t>
      </w:r>
    </w:p>
    <w:p>
      <w:pPr>
        <w:pStyle w:val="ListBullet"/>
      </w:pPr>
      <w:r>
        <w:t>No unrestricted LLM-to-database SQL, no AI write access, and no AI dependency in POS.</w:t>
      </w:r>
    </w:p>
    <w:p>
      <w:pPr>
        <w:pStyle w:val="ListBullet"/>
      </w:pPr>
      <w:r>
        <w:t>No full accounting system redesign.</w:t>
      </w:r>
    </w:p>
    <w:p>
      <w:pPr>
        <w:pStyle w:val="Heading1"/>
      </w:pPr>
      <w:r>
        <w:t>2. Architectural Principles That Must Not Be Violated</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E5E7EB"/>
            <w:tcMar>
              <w:top w:w="60" w:type="dxa"/>
              <w:start w:w="70" w:type="dxa"/>
              <w:bottom w:w="60" w:type="dxa"/>
              <w:end w:w="70" w:type="dxa"/>
            </w:tcMar>
          </w:tcPr>
          <w:p>
            <w:r>
              <w:rPr>
                <w:b/>
                <w:sz w:val="17"/>
              </w:rPr>
              <w:t>Principle</w:t>
            </w:r>
          </w:p>
        </w:tc>
        <w:tc>
          <w:tcPr>
            <w:tcW w:type="dxa" w:w="7920"/>
            <w:vAlign w:val="center"/>
            <w:shd w:fill="E5E7EB"/>
            <w:tcMar>
              <w:top w:w="60" w:type="dxa"/>
              <w:start w:w="70" w:type="dxa"/>
              <w:bottom w:w="60" w:type="dxa"/>
              <w:end w:w="70" w:type="dxa"/>
            </w:tcMar>
          </w:tcPr>
          <w:p>
            <w:r>
              <w:rPr>
                <w:b/>
                <w:sz w:val="17"/>
              </w:rPr>
              <w:t>Engineering rule</w:t>
            </w:r>
          </w:p>
        </w:tc>
      </w:tr>
      <w:tr>
        <w:tc>
          <w:tcPr>
            <w:tcW w:type="dxa" w:w="2448"/>
            <w:vAlign w:val="top"/>
            <w:tcMar>
              <w:top w:w="60" w:type="dxa"/>
              <w:start w:w="70" w:type="dxa"/>
              <w:bottom w:w="60" w:type="dxa"/>
              <w:end w:w="70" w:type="dxa"/>
            </w:tcMar>
          </w:tcPr>
          <w:p>
            <w:r>
              <w:rPr>
                <w:sz w:val="16"/>
              </w:rPr>
              <w:t>Preserve transactional truth</w:t>
            </w:r>
          </w:p>
        </w:tc>
        <w:tc>
          <w:tcPr>
            <w:tcW w:type="dxa" w:w="7920"/>
            <w:vAlign w:val="top"/>
            <w:tcMar>
              <w:top w:w="60" w:type="dxa"/>
              <w:start w:w="70" w:type="dxa"/>
              <w:bottom w:w="60" w:type="dxa"/>
              <w:end w:w="70" w:type="dxa"/>
            </w:tcMar>
          </w:tcPr>
          <w:p>
            <w:r>
              <w:rPr>
                <w:sz w:val="16"/>
              </w:rPr>
              <w:t>Sales, payments, inventory movements, returns, purchase receipts and reconciliations remain the source of truth. Phase-2 analytics derive from them.</w:t>
            </w:r>
          </w:p>
        </w:tc>
      </w:tr>
      <w:tr>
        <w:tc>
          <w:tcPr>
            <w:tcW w:type="dxa" w:w="2448"/>
            <w:vAlign w:val="top"/>
            <w:tcMar>
              <w:top w:w="60" w:type="dxa"/>
              <w:start w:w="70" w:type="dxa"/>
              <w:bottom w:w="60" w:type="dxa"/>
              <w:end w:w="70" w:type="dxa"/>
            </w:tcMar>
          </w:tcPr>
          <w:p>
            <w:r>
              <w:rPr>
                <w:sz w:val="16"/>
              </w:rPr>
              <w:t>Deterministic before AI</w:t>
            </w:r>
          </w:p>
        </w:tc>
        <w:tc>
          <w:tcPr>
            <w:tcW w:type="dxa" w:w="7920"/>
            <w:vAlign w:val="top"/>
            <w:tcMar>
              <w:top w:w="60" w:type="dxa"/>
              <w:start w:w="70" w:type="dxa"/>
              <w:bottom w:w="60" w:type="dxa"/>
              <w:end w:w="70" w:type="dxa"/>
            </w:tcMar>
          </w:tcPr>
          <w:p>
            <w:r>
              <w:rPr>
                <w:sz w:val="16"/>
              </w:rPr>
              <w:t>Shelf scores, expiry risk, reorder quantities and budget calculations are computed by tested business logic. The LLM may explain; it must not invent the numbers.</w:t>
            </w:r>
          </w:p>
        </w:tc>
      </w:tr>
      <w:tr>
        <w:tc>
          <w:tcPr>
            <w:tcW w:type="dxa" w:w="2448"/>
            <w:vAlign w:val="top"/>
            <w:tcMar>
              <w:top w:w="60" w:type="dxa"/>
              <w:start w:w="70" w:type="dxa"/>
              <w:bottom w:w="60" w:type="dxa"/>
              <w:end w:w="70" w:type="dxa"/>
            </w:tcMar>
          </w:tcPr>
          <w:p>
            <w:r>
              <w:rPr>
                <w:sz w:val="16"/>
              </w:rPr>
              <w:t>Local-first availability</w:t>
            </w:r>
          </w:p>
        </w:tc>
        <w:tc>
          <w:tcPr>
            <w:tcW w:type="dxa" w:w="7920"/>
            <w:vAlign w:val="top"/>
            <w:tcMar>
              <w:top w:w="60" w:type="dxa"/>
              <w:start w:w="70" w:type="dxa"/>
              <w:bottom w:w="60" w:type="dxa"/>
              <w:end w:w="70" w:type="dxa"/>
            </w:tcMar>
          </w:tcPr>
          <w:p>
            <w:r>
              <w:rPr>
                <w:sz w:val="16"/>
              </w:rPr>
              <w:t>POS, inventory and returns remain usable on the pharmacy LAN when the public internet or Gemini is unavailable.</w:t>
            </w:r>
          </w:p>
        </w:tc>
      </w:tr>
      <w:tr>
        <w:tc>
          <w:tcPr>
            <w:tcW w:type="dxa" w:w="2448"/>
            <w:vAlign w:val="top"/>
            <w:tcMar>
              <w:top w:w="60" w:type="dxa"/>
              <w:start w:w="70" w:type="dxa"/>
              <w:bottom w:w="60" w:type="dxa"/>
              <w:end w:w="70" w:type="dxa"/>
            </w:tcMar>
          </w:tcPr>
          <w:p>
            <w:r>
              <w:rPr>
                <w:sz w:val="16"/>
              </w:rPr>
              <w:t>Append, do not rewrite history</w:t>
            </w:r>
          </w:p>
        </w:tc>
        <w:tc>
          <w:tcPr>
            <w:tcW w:type="dxa" w:w="7920"/>
            <w:vAlign w:val="top"/>
            <w:tcMar>
              <w:top w:w="60" w:type="dxa"/>
              <w:start w:w="70" w:type="dxa"/>
              <w:bottom w:w="60" w:type="dxa"/>
              <w:end w:w="70" w:type="dxa"/>
            </w:tcMar>
          </w:tcPr>
          <w:p>
            <w:r>
              <w:rPr>
                <w:sz w:val="16"/>
              </w:rPr>
              <w:t>Financial and stock corrections are represented as auditable adjustments/returns, not silent mutation of historical records.</w:t>
            </w:r>
          </w:p>
        </w:tc>
      </w:tr>
      <w:tr>
        <w:tc>
          <w:tcPr>
            <w:tcW w:type="dxa" w:w="2448"/>
            <w:vAlign w:val="top"/>
            <w:tcMar>
              <w:top w:w="60" w:type="dxa"/>
              <w:start w:w="70" w:type="dxa"/>
              <w:bottom w:w="60" w:type="dxa"/>
              <w:end w:w="70" w:type="dxa"/>
            </w:tcMar>
          </w:tcPr>
          <w:p>
            <w:r>
              <w:rPr>
                <w:sz w:val="16"/>
              </w:rPr>
              <w:t>Backend authorization</w:t>
            </w:r>
          </w:p>
        </w:tc>
        <w:tc>
          <w:tcPr>
            <w:tcW w:type="dxa" w:w="7920"/>
            <w:vAlign w:val="top"/>
            <w:tcMar>
              <w:top w:w="60" w:type="dxa"/>
              <w:start w:w="70" w:type="dxa"/>
              <w:bottom w:w="60" w:type="dxa"/>
              <w:end w:w="70" w:type="dxa"/>
            </w:tcMar>
          </w:tcPr>
          <w:p>
            <w:r>
              <w:rPr>
                <w:sz w:val="16"/>
              </w:rPr>
              <w:t>The frontend may hide actions for UX, but NestJS guards/policies enforce permissions.</w:t>
            </w:r>
          </w:p>
        </w:tc>
      </w:tr>
      <w:tr>
        <w:tc>
          <w:tcPr>
            <w:tcW w:type="dxa" w:w="2448"/>
            <w:vAlign w:val="top"/>
            <w:tcMar>
              <w:top w:w="60" w:type="dxa"/>
              <w:start w:w="70" w:type="dxa"/>
              <w:bottom w:w="60" w:type="dxa"/>
              <w:end w:w="70" w:type="dxa"/>
            </w:tcMar>
          </w:tcPr>
          <w:p>
            <w:r>
              <w:rPr>
                <w:sz w:val="16"/>
              </w:rPr>
              <w:t>Least privilege</w:t>
            </w:r>
          </w:p>
        </w:tc>
        <w:tc>
          <w:tcPr>
            <w:tcW w:type="dxa" w:w="7920"/>
            <w:vAlign w:val="top"/>
            <w:tcMar>
              <w:top w:w="60" w:type="dxa"/>
              <w:start w:w="70" w:type="dxa"/>
              <w:bottom w:w="60" w:type="dxa"/>
              <w:end w:w="70" w:type="dxa"/>
            </w:tcMar>
          </w:tcPr>
          <w:p>
            <w:r>
              <w:rPr>
                <w:sz w:val="16"/>
              </w:rPr>
              <w:t>Employees receive only the operations required by their role. System administrators do not automatically receive business approval authority.</w:t>
            </w:r>
          </w:p>
        </w:tc>
      </w:tr>
      <w:tr>
        <w:tc>
          <w:tcPr>
            <w:tcW w:type="dxa" w:w="2448"/>
            <w:vAlign w:val="top"/>
            <w:tcMar>
              <w:top w:w="60" w:type="dxa"/>
              <w:start w:w="70" w:type="dxa"/>
              <w:bottom w:w="60" w:type="dxa"/>
              <w:end w:w="70" w:type="dxa"/>
            </w:tcMar>
          </w:tcPr>
          <w:p>
            <w:r>
              <w:rPr>
                <w:sz w:val="16"/>
              </w:rPr>
              <w:t>Idempotent background work</w:t>
            </w:r>
          </w:p>
        </w:tc>
        <w:tc>
          <w:tcPr>
            <w:tcW w:type="dxa" w:w="7920"/>
            <w:vAlign w:val="top"/>
            <w:tcMar>
              <w:top w:w="60" w:type="dxa"/>
              <w:start w:w="70" w:type="dxa"/>
              <w:bottom w:w="60" w:type="dxa"/>
              <w:end w:w="70" w:type="dxa"/>
            </w:tcMar>
          </w:tcPr>
          <w:p>
            <w:r>
              <w:rPr>
                <w:sz w:val="16"/>
              </w:rPr>
              <w:t>Daily analytics, expiry scans, recommendation generation and retries must be safe to run more than once.</w:t>
            </w:r>
          </w:p>
        </w:tc>
      </w:tr>
      <w:tr>
        <w:tc>
          <w:tcPr>
            <w:tcW w:type="dxa" w:w="2448"/>
            <w:vAlign w:val="top"/>
            <w:tcMar>
              <w:top w:w="60" w:type="dxa"/>
              <w:start w:w="70" w:type="dxa"/>
              <w:bottom w:w="60" w:type="dxa"/>
              <w:end w:w="70" w:type="dxa"/>
            </w:tcMar>
          </w:tcPr>
          <w:p>
            <w:r>
              <w:rPr>
                <w:sz w:val="16"/>
              </w:rPr>
              <w:t>No hidden automation</w:t>
            </w:r>
          </w:p>
        </w:tc>
        <w:tc>
          <w:tcPr>
            <w:tcW w:type="dxa" w:w="7920"/>
            <w:vAlign w:val="top"/>
            <w:tcMar>
              <w:top w:w="60" w:type="dxa"/>
              <w:start w:w="70" w:type="dxa"/>
              <w:bottom w:w="60" w:type="dxa"/>
              <w:end w:w="70" w:type="dxa"/>
            </w:tcMar>
          </w:tcPr>
          <w:p>
            <w:r>
              <w:rPr>
                <w:sz w:val="16"/>
              </w:rPr>
              <w:t>Recommendations, AI drafts and suggested purchase quantities remain clearly labeled suggestions until an authorized user confirms them.</w:t>
            </w:r>
          </w:p>
        </w:tc>
      </w:tr>
      <w:tr>
        <w:tc>
          <w:tcPr>
            <w:tcW w:type="dxa" w:w="2448"/>
            <w:vAlign w:val="top"/>
            <w:tcMar>
              <w:top w:w="60" w:type="dxa"/>
              <w:start w:w="70" w:type="dxa"/>
              <w:bottom w:w="60" w:type="dxa"/>
              <w:end w:w="70" w:type="dxa"/>
            </w:tcMar>
          </w:tcPr>
          <w:p>
            <w:r>
              <w:rPr>
                <w:sz w:val="16"/>
              </w:rPr>
              <w:t>Configuration over hard-coding</w:t>
            </w:r>
          </w:p>
        </w:tc>
        <w:tc>
          <w:tcPr>
            <w:tcW w:type="dxa" w:w="7920"/>
            <w:vAlign w:val="top"/>
            <w:tcMar>
              <w:top w:w="60" w:type="dxa"/>
              <w:start w:w="70" w:type="dxa"/>
              <w:bottom w:w="60" w:type="dxa"/>
              <w:end w:w="70" w:type="dxa"/>
            </w:tcMar>
          </w:tcPr>
          <w:p>
            <w:r>
              <w:rPr>
                <w:sz w:val="16"/>
              </w:rPr>
              <w:t>Thresholds, supplier lead times, safety stock, expiry windows, AI model and jurisdiction settings belong in configuration/data, not scattered constants.</w:t>
            </w:r>
          </w:p>
        </w:tc>
      </w:tr>
      <w:tr>
        <w:tc>
          <w:tcPr>
            <w:tcW w:type="dxa" w:w="2448"/>
            <w:vAlign w:val="top"/>
            <w:tcMar>
              <w:top w:w="60" w:type="dxa"/>
              <w:start w:w="70" w:type="dxa"/>
              <w:bottom w:w="60" w:type="dxa"/>
              <w:end w:w="70" w:type="dxa"/>
            </w:tcMar>
          </w:tcPr>
          <w:p>
            <w:r>
              <w:rPr>
                <w:sz w:val="16"/>
              </w:rPr>
              <w:t>Observability</w:t>
            </w:r>
          </w:p>
        </w:tc>
        <w:tc>
          <w:tcPr>
            <w:tcW w:type="dxa" w:w="7920"/>
            <w:vAlign w:val="top"/>
            <w:tcMar>
              <w:top w:w="60" w:type="dxa"/>
              <w:start w:w="70" w:type="dxa"/>
              <w:bottom w:w="60" w:type="dxa"/>
              <w:end w:w="70" w:type="dxa"/>
            </w:tcMar>
          </w:tcPr>
          <w:p>
            <w:r>
              <w:rPr>
                <w:sz w:val="16"/>
              </w:rPr>
              <w:t>Every scheduled job, external call, AI tool invocation and recommendation decision must be traceable enough to diagnose failures.</w:t>
            </w:r>
          </w:p>
        </w:tc>
      </w:tr>
    </w:tbl>
    <w:p>
      <w:pPr>
        <w:spacing w:after="20"/>
      </w:pPr>
    </w:p>
    <w:p>
      <w:pPr>
        <w:pStyle w:val="Heading1"/>
      </w:pPr>
      <w:r>
        <w:t>3. Compliance-Informed Data Rules</w:t>
      </w:r>
    </w:p>
    <w:p>
      <w:r>
        <w:t>The software is not a substitute for legal advice, and pharmacy rules vary by jurisdiction. The architecture should therefore make compliance configuration explicit. For Punjab deployments, the Punjab Drug Sale Rules published by DRAP require purchase/sale records to preserve details including date, drug name, batch number, expiry, quantity and manufacturer, and state that required records are to be preserved for at least three years. This supports a design that retains auditable batch-level history and avoids hard deletion of regulated transactional records.</w:t>
      </w:r>
    </w:p>
    <w:p>
      <w:pPr>
        <w:pStyle w:val="ListBullet"/>
      </w:pPr>
      <w:r>
        <w:t>Default regulated-record retention: at least 3 years for Punjab deployments; make the retention policy configurable upward, not silently shorter.</w:t>
      </w:r>
    </w:p>
    <w:p>
      <w:pPr>
        <w:pStyle w:val="ListBullet"/>
      </w:pPr>
      <w:r>
        <w:t>Do not hard-delete finalized sales, returns, purchase receipts, stock movements, supplier invoices or audit evidence.</w:t>
      </w:r>
    </w:p>
    <w:p>
      <w:pPr>
        <w:pStyle w:val="ListBullet"/>
      </w:pPr>
      <w:r>
        <w:t>Expiry and batch identifiers must remain queryable after stock reaches zero.</w:t>
      </w:r>
    </w:p>
    <w:p>
      <w:pPr>
        <w:pStyle w:val="ListBullet"/>
      </w:pPr>
      <w:r>
        <w:t>Storage constraints must be represented so shelf optimization never recommends unsafe relocation of cold-chain or controlled stock.</w:t>
      </w:r>
    </w:p>
    <w:p>
      <w:pPr>
        <w:pStyle w:val="ListBullet"/>
      </w:pPr>
      <w:r>
        <w:t>FBR integration stays behind the existing adapter. Current FBR digital-invoicing documentation exposes real-time validation/posting endpoints; Phase 2 must not bypass that adapter with direct UI calls.</w:t>
      </w:r>
    </w:p>
    <w:p>
      <w:pPr>
        <w:pStyle w:val="SmallNote"/>
      </w:pPr>
      <w:r>
        <w:t>Engineering references are listed in Appendix B. Validate the exact legal/tax applicability for each production customer before deployment.</w:t>
      </w:r>
    </w:p>
    <w:p>
      <w:pPr>
        <w:pStyle w:val="Heading1"/>
      </w:pPr>
      <w:r>
        <w:t>4. Phase-2 Role-Based Access Control Matrix</w:t>
      </w:r>
    </w:p>
    <w:p>
      <w:r>
        <w:t>Reuse the existing RBAC engine. Add permissions, not role-name conditionals scattered through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E5E7EB"/>
            <w:tcMar>
              <w:top w:w="60" w:type="dxa"/>
              <w:start w:w="70" w:type="dxa"/>
              <w:bottom w:w="60" w:type="dxa"/>
              <w:end w:w="70" w:type="dxa"/>
            </w:tcMar>
          </w:tcPr>
          <w:p>
            <w:r>
              <w:rPr>
                <w:b/>
                <w:sz w:val="17"/>
              </w:rPr>
              <w:t>Role</w:t>
            </w:r>
          </w:p>
        </w:tc>
        <w:tc>
          <w:tcPr>
            <w:tcW w:type="dxa" w:w="4608"/>
            <w:vAlign w:val="center"/>
            <w:shd w:fill="E5E7EB"/>
            <w:tcMar>
              <w:top w:w="60" w:type="dxa"/>
              <w:start w:w="70" w:type="dxa"/>
              <w:bottom w:w="60" w:type="dxa"/>
              <w:end w:w="70" w:type="dxa"/>
            </w:tcMar>
          </w:tcPr>
          <w:p>
            <w:r>
              <w:rPr>
                <w:b/>
                <w:sz w:val="17"/>
              </w:rPr>
              <w:t>Allowed Phase-2 access</w:t>
            </w:r>
          </w:p>
        </w:tc>
        <w:tc>
          <w:tcPr>
            <w:tcW w:type="dxa" w:w="4320"/>
            <w:vAlign w:val="center"/>
            <w:shd w:fill="E5E7EB"/>
            <w:tcMar>
              <w:top w:w="60" w:type="dxa"/>
              <w:start w:w="70" w:type="dxa"/>
              <w:bottom w:w="60" w:type="dxa"/>
              <w:end w:w="70" w:type="dxa"/>
            </w:tcMar>
          </w:tcPr>
          <w:p>
            <w:r>
              <w:rPr>
                <w:b/>
                <w:sz w:val="17"/>
              </w:rPr>
              <w:t>Denied by default</w:t>
            </w:r>
          </w:p>
        </w:tc>
      </w:tr>
      <w:tr>
        <w:tc>
          <w:tcPr>
            <w:tcW w:type="dxa" w:w="1872"/>
            <w:vAlign w:val="top"/>
            <w:tcMar>
              <w:top w:w="60" w:type="dxa"/>
              <w:start w:w="70" w:type="dxa"/>
              <w:bottom w:w="60" w:type="dxa"/>
              <w:end w:w="70" w:type="dxa"/>
            </w:tcMar>
          </w:tcPr>
          <w:p>
            <w:r>
              <w:rPr>
                <w:sz w:val="16"/>
              </w:rPr>
              <w:t>Salesperson</w:t>
            </w:r>
          </w:p>
        </w:tc>
        <w:tc>
          <w:tcPr>
            <w:tcW w:type="dxa" w:w="4608"/>
            <w:vAlign w:val="top"/>
            <w:tcMar>
              <w:top w:w="60" w:type="dxa"/>
              <w:start w:w="70" w:type="dxa"/>
              <w:bottom w:w="60" w:type="dxa"/>
              <w:end w:w="70" w:type="dxa"/>
            </w:tcMar>
          </w:tcPr>
          <w:p>
            <w:r>
              <w:rPr>
                <w:sz w:val="16"/>
              </w:rPr>
              <w:t>View shelf location; view approved budget calculation result; initiate invoice/QR lookup</w:t>
            </w:r>
          </w:p>
        </w:tc>
        <w:tc>
          <w:tcPr>
            <w:tcW w:type="dxa" w:w="4320"/>
            <w:vAlign w:val="top"/>
            <w:tcMar>
              <w:top w:w="60" w:type="dxa"/>
              <w:start w:w="70" w:type="dxa"/>
              <w:bottom w:w="60" w:type="dxa"/>
              <w:end w:w="70" w:type="dxa"/>
            </w:tcMar>
          </w:tcPr>
          <w:p>
            <w:r>
              <w:rPr>
                <w:sz w:val="16"/>
              </w:rPr>
              <w:t>Approve shelf changes; supplier analytics; purchase approval; AI owner assistant; refund approval</w:t>
            </w:r>
          </w:p>
        </w:tc>
      </w:tr>
      <w:tr>
        <w:tc>
          <w:tcPr>
            <w:tcW w:type="dxa" w:w="1872"/>
            <w:vAlign w:val="top"/>
            <w:tcMar>
              <w:top w:w="60" w:type="dxa"/>
              <w:start w:w="70" w:type="dxa"/>
              <w:bottom w:w="60" w:type="dxa"/>
              <w:end w:w="70" w:type="dxa"/>
            </w:tcMar>
          </w:tcPr>
          <w:p>
            <w:r>
              <w:rPr>
                <w:sz w:val="16"/>
              </w:rPr>
              <w:t>Cashier</w:t>
            </w:r>
          </w:p>
        </w:tc>
        <w:tc>
          <w:tcPr>
            <w:tcW w:type="dxa" w:w="4608"/>
            <w:vAlign w:val="top"/>
            <w:tcMar>
              <w:top w:w="60" w:type="dxa"/>
              <w:start w:w="70" w:type="dxa"/>
              <w:bottom w:w="60" w:type="dxa"/>
              <w:end w:w="70" w:type="dxa"/>
            </w:tcMar>
          </w:tcPr>
          <w:p>
            <w:r>
              <w:rPr>
                <w:sz w:val="16"/>
              </w:rPr>
              <w:t>Scan return QR; open eligible original invoice; process permitted refunds under existing policy</w:t>
            </w:r>
          </w:p>
        </w:tc>
        <w:tc>
          <w:tcPr>
            <w:tcW w:type="dxa" w:w="4320"/>
            <w:vAlign w:val="top"/>
            <w:tcMar>
              <w:top w:w="60" w:type="dxa"/>
              <w:start w:w="70" w:type="dxa"/>
              <w:bottom w:w="60" w:type="dxa"/>
              <w:end w:w="70" w:type="dxa"/>
            </w:tcMar>
          </w:tcPr>
          <w:p>
            <w:r>
              <w:rPr>
                <w:sz w:val="16"/>
              </w:rPr>
              <w:t>Change regimen; approve high-risk returns; procurement; shelf optimization decisions</w:t>
            </w:r>
          </w:p>
        </w:tc>
      </w:tr>
      <w:tr>
        <w:tc>
          <w:tcPr>
            <w:tcW w:type="dxa" w:w="1872"/>
            <w:vAlign w:val="top"/>
            <w:tcMar>
              <w:top w:w="60" w:type="dxa"/>
              <w:start w:w="70" w:type="dxa"/>
              <w:bottom w:w="60" w:type="dxa"/>
              <w:end w:w="70" w:type="dxa"/>
            </w:tcMar>
          </w:tcPr>
          <w:p>
            <w:r>
              <w:rPr>
                <w:sz w:val="16"/>
              </w:rPr>
              <w:t>Pharmacist / Supervisor</w:t>
            </w:r>
          </w:p>
        </w:tc>
        <w:tc>
          <w:tcPr>
            <w:tcW w:type="dxa" w:w="4608"/>
            <w:vAlign w:val="top"/>
            <w:tcMar>
              <w:top w:w="60" w:type="dxa"/>
              <w:start w:w="70" w:type="dxa"/>
              <w:bottom w:w="60" w:type="dxa"/>
              <w:end w:w="70" w:type="dxa"/>
            </w:tcMar>
          </w:tcPr>
          <w:p>
            <w:r>
              <w:rPr>
                <w:sz w:val="16"/>
              </w:rPr>
              <w:t>Verify regimen inputs; approve controlled return exceptions; review storage-sensitive shelf recommendations</w:t>
            </w:r>
          </w:p>
        </w:tc>
        <w:tc>
          <w:tcPr>
            <w:tcW w:type="dxa" w:w="4320"/>
            <w:vAlign w:val="top"/>
            <w:tcMar>
              <w:top w:w="60" w:type="dxa"/>
              <w:start w:w="70" w:type="dxa"/>
              <w:bottom w:w="60" w:type="dxa"/>
              <w:end w:w="70" w:type="dxa"/>
            </w:tcMar>
          </w:tcPr>
          <w:p>
            <w:r>
              <w:rPr>
                <w:sz w:val="16"/>
              </w:rPr>
              <w:t>System configuration; unrestricted financial admin</w:t>
            </w:r>
          </w:p>
        </w:tc>
      </w:tr>
      <w:tr>
        <w:tc>
          <w:tcPr>
            <w:tcW w:type="dxa" w:w="1872"/>
            <w:vAlign w:val="top"/>
            <w:tcMar>
              <w:top w:w="60" w:type="dxa"/>
              <w:start w:w="70" w:type="dxa"/>
              <w:bottom w:w="60" w:type="dxa"/>
              <w:end w:w="70" w:type="dxa"/>
            </w:tcMar>
          </w:tcPr>
          <w:p>
            <w:r>
              <w:rPr>
                <w:sz w:val="16"/>
              </w:rPr>
              <w:t>Inventory Manager</w:t>
            </w:r>
          </w:p>
        </w:tc>
        <w:tc>
          <w:tcPr>
            <w:tcW w:type="dxa" w:w="4608"/>
            <w:vAlign w:val="top"/>
            <w:tcMar>
              <w:top w:w="60" w:type="dxa"/>
              <w:start w:w="70" w:type="dxa"/>
              <w:bottom w:w="60" w:type="dxa"/>
              <w:end w:w="70" w:type="dxa"/>
            </w:tcMar>
          </w:tcPr>
          <w:p>
            <w:r>
              <w:rPr>
                <w:sz w:val="16"/>
              </w:rPr>
              <w:t>Shelf configuration; shelf recommendation review/apply; expiry work queue; supplier/product history; reorder review</w:t>
            </w:r>
          </w:p>
        </w:tc>
        <w:tc>
          <w:tcPr>
            <w:tcW w:type="dxa" w:w="4320"/>
            <w:vAlign w:val="top"/>
            <w:tcMar>
              <w:top w:w="60" w:type="dxa"/>
              <w:start w:w="70" w:type="dxa"/>
              <w:bottom w:w="60" w:type="dxa"/>
              <w:end w:w="70" w:type="dxa"/>
            </w:tcMar>
          </w:tcPr>
          <w:p>
            <w:r>
              <w:rPr>
                <w:sz w:val="16"/>
              </w:rPr>
              <w:t>Owner AI; financial owner-only data unless separately granted</w:t>
            </w:r>
          </w:p>
        </w:tc>
      </w:tr>
      <w:tr>
        <w:tc>
          <w:tcPr>
            <w:tcW w:type="dxa" w:w="1872"/>
            <w:vAlign w:val="top"/>
            <w:tcMar>
              <w:top w:w="60" w:type="dxa"/>
              <w:start w:w="70" w:type="dxa"/>
              <w:bottom w:w="60" w:type="dxa"/>
              <w:end w:w="70" w:type="dxa"/>
            </w:tcMar>
          </w:tcPr>
          <w:p>
            <w:r>
              <w:rPr>
                <w:sz w:val="16"/>
              </w:rPr>
              <w:t>Manager</w:t>
            </w:r>
          </w:p>
        </w:tc>
        <w:tc>
          <w:tcPr>
            <w:tcW w:type="dxa" w:w="4608"/>
            <w:vAlign w:val="top"/>
            <w:tcMar>
              <w:top w:w="60" w:type="dxa"/>
              <w:start w:w="70" w:type="dxa"/>
              <w:bottom w:w="60" w:type="dxa"/>
              <w:end w:w="70" w:type="dxa"/>
            </w:tcMar>
          </w:tcPr>
          <w:p>
            <w:r>
              <w:rPr>
                <w:sz w:val="16"/>
              </w:rPr>
              <w:t>Approve purchase drafts; supplier comparison; operational analytics; exception review</w:t>
            </w:r>
          </w:p>
        </w:tc>
        <w:tc>
          <w:tcPr>
            <w:tcW w:type="dxa" w:w="4320"/>
            <w:vAlign w:val="top"/>
            <w:tcMar>
              <w:top w:w="60" w:type="dxa"/>
              <w:start w:w="70" w:type="dxa"/>
              <w:bottom w:w="60" w:type="dxa"/>
              <w:end w:w="70" w:type="dxa"/>
            </w:tcMar>
          </w:tcPr>
          <w:p>
            <w:r>
              <w:rPr>
                <w:sz w:val="16"/>
              </w:rPr>
              <w:t>System configuration; owner-only AI unless separately granted</w:t>
            </w:r>
          </w:p>
        </w:tc>
      </w:tr>
      <w:tr>
        <w:tc>
          <w:tcPr>
            <w:tcW w:type="dxa" w:w="1872"/>
            <w:vAlign w:val="top"/>
            <w:tcMar>
              <w:top w:w="60" w:type="dxa"/>
              <w:start w:w="70" w:type="dxa"/>
              <w:bottom w:w="60" w:type="dxa"/>
              <w:end w:w="70" w:type="dxa"/>
            </w:tcMar>
          </w:tcPr>
          <w:p>
            <w:r>
              <w:rPr>
                <w:sz w:val="16"/>
              </w:rPr>
              <w:t>Owner</w:t>
            </w:r>
          </w:p>
        </w:tc>
        <w:tc>
          <w:tcPr>
            <w:tcW w:type="dxa" w:w="4608"/>
            <w:vAlign w:val="top"/>
            <w:tcMar>
              <w:top w:w="60" w:type="dxa"/>
              <w:start w:w="70" w:type="dxa"/>
              <w:bottom w:w="60" w:type="dxa"/>
              <w:end w:w="70" w:type="dxa"/>
            </w:tcMar>
          </w:tcPr>
          <w:p>
            <w:r>
              <w:rPr>
                <w:sz w:val="16"/>
              </w:rPr>
              <w:t>All business features in this phase; AI assistant; financial/operational summaries</w:t>
            </w:r>
          </w:p>
        </w:tc>
        <w:tc>
          <w:tcPr>
            <w:tcW w:type="dxa" w:w="4320"/>
            <w:vAlign w:val="top"/>
            <w:tcMar>
              <w:top w:w="60" w:type="dxa"/>
              <w:start w:w="70" w:type="dxa"/>
              <w:bottom w:w="60" w:type="dxa"/>
              <w:end w:w="70" w:type="dxa"/>
            </w:tcMar>
          </w:tcPr>
          <w:p>
            <w:r>
              <w:rPr>
                <w:sz w:val="16"/>
              </w:rPr>
              <w:t>Infrastructure/system-secret administration unless also System Admin</w:t>
            </w:r>
          </w:p>
        </w:tc>
      </w:tr>
      <w:tr>
        <w:tc>
          <w:tcPr>
            <w:tcW w:type="dxa" w:w="1872"/>
            <w:vAlign w:val="top"/>
            <w:tcMar>
              <w:top w:w="60" w:type="dxa"/>
              <w:start w:w="70" w:type="dxa"/>
              <w:bottom w:w="60" w:type="dxa"/>
              <w:end w:w="70" w:type="dxa"/>
            </w:tcMar>
          </w:tcPr>
          <w:p>
            <w:r>
              <w:rPr>
                <w:sz w:val="16"/>
              </w:rPr>
              <w:t>System Admin</w:t>
            </w:r>
          </w:p>
        </w:tc>
        <w:tc>
          <w:tcPr>
            <w:tcW w:type="dxa" w:w="4608"/>
            <w:vAlign w:val="top"/>
            <w:tcMar>
              <w:top w:w="60" w:type="dxa"/>
              <w:start w:w="70" w:type="dxa"/>
              <w:bottom w:w="60" w:type="dxa"/>
              <w:end w:w="70" w:type="dxa"/>
            </w:tcMar>
          </w:tcPr>
          <w:p>
            <w:r>
              <w:rPr>
                <w:sz w:val="16"/>
              </w:rPr>
              <w:t>Technical configuration, users, role assignments, integration settings where explicitly permitted</w:t>
            </w:r>
          </w:p>
        </w:tc>
        <w:tc>
          <w:tcPr>
            <w:tcW w:type="dxa" w:w="4320"/>
            <w:vAlign w:val="top"/>
            <w:tcMar>
              <w:top w:w="60" w:type="dxa"/>
              <w:start w:w="70" w:type="dxa"/>
              <w:bottom w:w="60" w:type="dxa"/>
              <w:end w:w="70" w:type="dxa"/>
            </w:tcMar>
          </w:tcPr>
          <w:p>
            <w:r>
              <w:rPr>
                <w:sz w:val="16"/>
              </w:rPr>
              <w:t>Business approvals by default; cash/refund/purchase approval unless granted separately</w:t>
            </w:r>
          </w:p>
        </w:tc>
      </w:tr>
    </w:tbl>
    <w:p>
      <w:pPr>
        <w:spacing w:after="20"/>
      </w:pPr>
    </w:p>
    <w:p>
      <w:pPr>
        <w:pStyle w:val="Heading2"/>
      </w:pPr>
      <w:r>
        <w:t>4.1 Permission model</w:t>
      </w:r>
    </w:p>
    <w:p>
      <w:pPr>
        <w:pStyle w:val="CodeBlock"/>
      </w:pPr>
      <w:r>
        <w:rPr>
          <w:rFonts w:ascii="Consolas" w:hAnsi="Consolas"/>
        </w:rPr>
        <w:t>Suggested permission keys (adapt to existing naming):</w:t>
        <w:br/>
        <w:t>inventory.shelf.read</w:t>
        <w:br/>
        <w:t>inventory.shelf.manage</w:t>
        <w:br/>
        <w:t>inventory.shelf.recommendation.review</w:t>
        <w:br/>
        <w:t>inventory.expiry.read</w:t>
        <w:br/>
        <w:t>inventory.expiry.manage</w:t>
        <w:br/>
        <w:t>procurement.supplier_price.read</w:t>
        <w:br/>
        <w:t>procurement.reorder.review</w:t>
        <w:br/>
        <w:t>procurement.purchase_draft.approve</w:t>
        <w:br/>
        <w:t>sales.budget_regimen.calculate</w:t>
        <w:br/>
        <w:t>sales.budget_regimen.verify</w:t>
        <w:br/>
        <w:t>returns.lookup</w:t>
        <w:br/>
        <w:t>returns.refund</w:t>
        <w:br/>
        <w:t>analytics.owner.read</w:t>
        <w:br/>
        <w:t>ai.owner.use</w:t>
        <w:br/>
        <w:t>ai.audit.read</w:t>
      </w:r>
    </w:p>
    <w:p>
      <w:pPr>
        <w:pStyle w:val="ListBullet"/>
      </w:pPr>
      <w:r>
        <w:t>Guards must enforce permissions on every API endpoint.</w:t>
      </w:r>
    </w:p>
    <w:p>
      <w:pPr>
        <w:pStyle w:val="ListBullet"/>
      </w:pPr>
      <w:r>
        <w:t>Do not infer permission from route name or frontend menu visibility.</w:t>
      </w:r>
    </w:p>
    <w:p>
      <w:pPr>
        <w:pStyle w:val="ListBullet"/>
      </w:pPr>
      <w:r>
        <w:t>Approval actions must capture actor, timestamp and reason/notes where applicable.</w:t>
      </w:r>
    </w:p>
    <w:p>
      <w:pPr>
        <w:pStyle w:val="ListBullet"/>
      </w:pPr>
      <w:r>
        <w:t>High-value/exception thresholds should use policy configuration rather than hard-coded role checks.</w:t>
      </w:r>
    </w:p>
    <w:p>
      <w:pPr>
        <w:pStyle w:val="Heading1"/>
      </w:pPr>
      <w:r>
        <w:t>5. Data Architecture and Schema Evolution Rules</w:t>
      </w:r>
    </w:p>
    <w:p>
      <w:r>
        <w:t>The agent must inspect the current schema before creating tables. Prefer deriving intelligence from existing sale_items, stock_movements, purchase_order_items, goods_receipts, batches, product locations and returns. Add new persistence only when it stores a new business fact, a recommendation decision, a configuration policy, or durable audit evidence.</w:t>
      </w:r>
    </w:p>
    <w:p>
      <w:pPr>
        <w:pStyle w:val="Heading2"/>
      </w:pPr>
      <w:r>
        <w:t>5.1 Conceptual additions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E5E7EB"/>
            <w:tcMar>
              <w:top w:w="60" w:type="dxa"/>
              <w:start w:w="70" w:type="dxa"/>
              <w:bottom w:w="60" w:type="dxa"/>
              <w:end w:w="70" w:type="dxa"/>
            </w:tcMar>
          </w:tcPr>
          <w:p>
            <w:r>
              <w:rPr>
                <w:b/>
                <w:sz w:val="17"/>
              </w:rPr>
              <w:t>Concept</w:t>
            </w:r>
          </w:p>
        </w:tc>
        <w:tc>
          <w:tcPr>
            <w:tcW w:type="dxa" w:w="3312"/>
            <w:vAlign w:val="center"/>
            <w:shd w:fill="E5E7EB"/>
            <w:tcMar>
              <w:top w:w="60" w:type="dxa"/>
              <w:start w:w="70" w:type="dxa"/>
              <w:bottom w:w="60" w:type="dxa"/>
              <w:end w:w="70" w:type="dxa"/>
            </w:tcMar>
          </w:tcPr>
          <w:p>
            <w:r>
              <w:rPr>
                <w:b/>
                <w:sz w:val="17"/>
              </w:rPr>
              <w:t>Persistence rule</w:t>
            </w:r>
          </w:p>
        </w:tc>
        <w:tc>
          <w:tcPr>
            <w:tcW w:type="dxa" w:w="5328"/>
            <w:vAlign w:val="center"/>
            <w:shd w:fill="E5E7EB"/>
            <w:tcMar>
              <w:top w:w="60" w:type="dxa"/>
              <w:start w:w="70" w:type="dxa"/>
              <w:bottom w:w="60" w:type="dxa"/>
              <w:end w:w="70" w:type="dxa"/>
            </w:tcMar>
          </w:tcPr>
          <w:p>
            <w:r>
              <w:rPr>
                <w:b/>
                <w:sz w:val="17"/>
              </w:rPr>
              <w:t>Important fields</w:t>
            </w:r>
          </w:p>
        </w:tc>
      </w:tr>
      <w:tr>
        <w:tc>
          <w:tcPr>
            <w:tcW w:type="dxa" w:w="2160"/>
            <w:vAlign w:val="top"/>
            <w:tcMar>
              <w:top w:w="60" w:type="dxa"/>
              <w:start w:w="70" w:type="dxa"/>
              <w:bottom w:w="60" w:type="dxa"/>
              <w:end w:w="70" w:type="dxa"/>
            </w:tcMar>
          </w:tcPr>
          <w:p>
            <w:r>
              <w:rPr>
                <w:sz w:val="16"/>
              </w:rPr>
              <w:t>Shelf constraints</w:t>
            </w:r>
          </w:p>
        </w:tc>
        <w:tc>
          <w:tcPr>
            <w:tcW w:type="dxa" w:w="3312"/>
            <w:vAlign w:val="top"/>
            <w:tcMar>
              <w:top w:w="60" w:type="dxa"/>
              <w:start w:w="70" w:type="dxa"/>
              <w:bottom w:w="60" w:type="dxa"/>
              <w:end w:w="70" w:type="dxa"/>
            </w:tcMar>
          </w:tcPr>
          <w:p>
            <w:r>
              <w:rPr>
                <w:sz w:val="16"/>
              </w:rPr>
              <w:t>Extend existing shelf/location/product metadata where absent</w:t>
            </w:r>
          </w:p>
        </w:tc>
        <w:tc>
          <w:tcPr>
            <w:tcW w:type="dxa" w:w="5328"/>
            <w:vAlign w:val="top"/>
            <w:tcMar>
              <w:top w:w="60" w:type="dxa"/>
              <w:start w:w="70" w:type="dxa"/>
              <w:bottom w:w="60" w:type="dxa"/>
              <w:end w:w="70" w:type="dxa"/>
            </w:tcMar>
          </w:tcPr>
          <w:p>
            <w:r>
              <w:rPr>
                <w:sz w:val="16"/>
              </w:rPr>
              <w:t>pick_priority/rank, storage class, temperature/security eligibility, active flag</w:t>
            </w:r>
          </w:p>
        </w:tc>
      </w:tr>
      <w:tr>
        <w:tc>
          <w:tcPr>
            <w:tcW w:type="dxa" w:w="2160"/>
            <w:vAlign w:val="top"/>
            <w:tcMar>
              <w:top w:w="60" w:type="dxa"/>
              <w:start w:w="70" w:type="dxa"/>
              <w:bottom w:w="60" w:type="dxa"/>
              <w:end w:w="70" w:type="dxa"/>
            </w:tcMar>
          </w:tcPr>
          <w:p>
            <w:r>
              <w:rPr>
                <w:sz w:val="16"/>
              </w:rPr>
              <w:t>Shelf recommendations</w:t>
            </w:r>
          </w:p>
        </w:tc>
        <w:tc>
          <w:tcPr>
            <w:tcW w:type="dxa" w:w="3312"/>
            <w:vAlign w:val="top"/>
            <w:tcMar>
              <w:top w:w="60" w:type="dxa"/>
              <w:start w:w="70" w:type="dxa"/>
              <w:bottom w:w="60" w:type="dxa"/>
              <w:end w:w="70" w:type="dxa"/>
            </w:tcMar>
          </w:tcPr>
          <w:p>
            <w:r>
              <w:rPr>
                <w:sz w:val="16"/>
              </w:rPr>
              <w:t>New only if no recommendation/audit entity exists</w:t>
            </w:r>
          </w:p>
        </w:tc>
        <w:tc>
          <w:tcPr>
            <w:tcW w:type="dxa" w:w="5328"/>
            <w:vAlign w:val="top"/>
            <w:tcMar>
              <w:top w:w="60" w:type="dxa"/>
              <w:start w:w="70" w:type="dxa"/>
              <w:bottom w:w="60" w:type="dxa"/>
              <w:end w:w="70" w:type="dxa"/>
            </w:tcMar>
          </w:tcPr>
          <w:p>
            <w:r>
              <w:rPr>
                <w:sz w:val="16"/>
              </w:rPr>
              <w:t>product, current location, suggested location, score, reason snapshot, status, reviewed_by, applied_at</w:t>
            </w:r>
          </w:p>
        </w:tc>
      </w:tr>
      <w:tr>
        <w:tc>
          <w:tcPr>
            <w:tcW w:type="dxa" w:w="2160"/>
            <w:vAlign w:val="top"/>
            <w:tcMar>
              <w:top w:w="60" w:type="dxa"/>
              <w:start w:w="70" w:type="dxa"/>
              <w:bottom w:w="60" w:type="dxa"/>
              <w:end w:w="70" w:type="dxa"/>
            </w:tcMar>
          </w:tcPr>
          <w:p>
            <w:r>
              <w:rPr>
                <w:sz w:val="16"/>
              </w:rPr>
              <w:t>Expiry risk snapshots/work items</w:t>
            </w:r>
          </w:p>
        </w:tc>
        <w:tc>
          <w:tcPr>
            <w:tcW w:type="dxa" w:w="3312"/>
            <w:vAlign w:val="top"/>
            <w:tcMar>
              <w:top w:w="60" w:type="dxa"/>
              <w:start w:w="70" w:type="dxa"/>
              <w:bottom w:w="60" w:type="dxa"/>
              <w:end w:w="70" w:type="dxa"/>
            </w:tcMar>
          </w:tcPr>
          <w:p>
            <w:r>
              <w:rPr>
                <w:sz w:val="16"/>
              </w:rPr>
              <w:t>Prefer derived queries; persist work item only when workflow/action tracking is required</w:t>
            </w:r>
          </w:p>
        </w:tc>
        <w:tc>
          <w:tcPr>
            <w:tcW w:type="dxa" w:w="5328"/>
            <w:vAlign w:val="top"/>
            <w:tcMar>
              <w:top w:w="60" w:type="dxa"/>
              <w:start w:w="70" w:type="dxa"/>
              <w:bottom w:w="60" w:type="dxa"/>
              <w:end w:w="70" w:type="dxa"/>
            </w:tcMar>
          </w:tcPr>
          <w:p>
            <w:r>
              <w:rPr>
                <w:sz w:val="16"/>
              </w:rPr>
              <w:t>batch, risk window, qty, value-at-risk, action, status, assignee</w:t>
            </w:r>
          </w:p>
        </w:tc>
      </w:tr>
      <w:tr>
        <w:tc>
          <w:tcPr>
            <w:tcW w:type="dxa" w:w="2160"/>
            <w:vAlign w:val="top"/>
            <w:tcMar>
              <w:top w:w="60" w:type="dxa"/>
              <w:start w:w="70" w:type="dxa"/>
              <w:bottom w:w="60" w:type="dxa"/>
              <w:end w:w="70" w:type="dxa"/>
            </w:tcMar>
          </w:tcPr>
          <w:p>
            <w:r>
              <w:rPr>
                <w:sz w:val="16"/>
              </w:rPr>
              <w:t>Supplier price observations</w:t>
            </w:r>
          </w:p>
        </w:tc>
        <w:tc>
          <w:tcPr>
            <w:tcW w:type="dxa" w:w="3312"/>
            <w:vAlign w:val="top"/>
            <w:tcMar>
              <w:top w:w="60" w:type="dxa"/>
              <w:start w:w="70" w:type="dxa"/>
              <w:bottom w:w="60" w:type="dxa"/>
              <w:end w:w="70" w:type="dxa"/>
            </w:tcMar>
          </w:tcPr>
          <w:p>
            <w:r>
              <w:rPr>
                <w:sz w:val="16"/>
              </w:rPr>
              <w:t>Derive historical paid cost from goods receipts; add quote/offer entity only for prices not yet purchased</w:t>
            </w:r>
          </w:p>
        </w:tc>
        <w:tc>
          <w:tcPr>
            <w:tcW w:type="dxa" w:w="5328"/>
            <w:vAlign w:val="top"/>
            <w:tcMar>
              <w:top w:w="60" w:type="dxa"/>
              <w:start w:w="70" w:type="dxa"/>
              <w:bottom w:w="60" w:type="dxa"/>
              <w:end w:w="70" w:type="dxa"/>
            </w:tcMar>
          </w:tcPr>
          <w:p>
            <w:r>
              <w:rPr>
                <w:sz w:val="16"/>
              </w:rPr>
              <w:t>supplier, product, unit, effective unit cost, valid dates, source</w:t>
            </w:r>
          </w:p>
        </w:tc>
      </w:tr>
      <w:tr>
        <w:tc>
          <w:tcPr>
            <w:tcW w:type="dxa" w:w="2160"/>
            <w:vAlign w:val="top"/>
            <w:tcMar>
              <w:top w:w="60" w:type="dxa"/>
              <w:start w:w="70" w:type="dxa"/>
              <w:bottom w:w="60" w:type="dxa"/>
              <w:end w:w="70" w:type="dxa"/>
            </w:tcMar>
          </w:tcPr>
          <w:p>
            <w:r>
              <w:rPr>
                <w:sz w:val="16"/>
              </w:rPr>
              <w:t>Reorder policy/suggestions</w:t>
            </w:r>
          </w:p>
        </w:tc>
        <w:tc>
          <w:tcPr>
            <w:tcW w:type="dxa" w:w="3312"/>
            <w:vAlign w:val="top"/>
            <w:tcMar>
              <w:top w:w="60" w:type="dxa"/>
              <w:start w:w="70" w:type="dxa"/>
              <w:bottom w:w="60" w:type="dxa"/>
              <w:end w:w="70" w:type="dxa"/>
            </w:tcMar>
          </w:tcPr>
          <w:p>
            <w:r>
              <w:rPr>
                <w:sz w:val="16"/>
              </w:rPr>
              <w:t>Extend existing reorder entities</w:t>
            </w:r>
          </w:p>
        </w:tc>
        <w:tc>
          <w:tcPr>
            <w:tcW w:type="dxa" w:w="5328"/>
            <w:vAlign w:val="top"/>
            <w:tcMar>
              <w:top w:w="60" w:type="dxa"/>
              <w:start w:w="70" w:type="dxa"/>
              <w:bottom w:w="60" w:type="dxa"/>
              <w:end w:w="70" w:type="dxa"/>
            </w:tcMar>
          </w:tcPr>
          <w:p>
            <w:r>
              <w:rPr>
                <w:sz w:val="16"/>
              </w:rPr>
              <w:t>lead time, safety stock, target coverage, MOQ, order multiple, confidence, reasoning inputs</w:t>
            </w:r>
          </w:p>
        </w:tc>
      </w:tr>
      <w:tr>
        <w:tc>
          <w:tcPr>
            <w:tcW w:type="dxa" w:w="2160"/>
            <w:vAlign w:val="top"/>
            <w:tcMar>
              <w:top w:w="60" w:type="dxa"/>
              <w:start w:w="70" w:type="dxa"/>
              <w:bottom w:w="60" w:type="dxa"/>
              <w:end w:w="70" w:type="dxa"/>
            </w:tcMar>
          </w:tcPr>
          <w:p>
            <w:r>
              <w:rPr>
                <w:sz w:val="16"/>
              </w:rPr>
              <w:t>Budget calculation session</w:t>
            </w:r>
          </w:p>
        </w:tc>
        <w:tc>
          <w:tcPr>
            <w:tcW w:type="dxa" w:w="3312"/>
            <w:vAlign w:val="top"/>
            <w:tcMar>
              <w:top w:w="60" w:type="dxa"/>
              <w:start w:w="70" w:type="dxa"/>
              <w:bottom w:w="60" w:type="dxa"/>
              <w:end w:w="70" w:type="dxa"/>
            </w:tcMar>
          </w:tcPr>
          <w:p>
            <w:r>
              <w:rPr>
                <w:sz w:val="16"/>
              </w:rPr>
              <w:t>Persist only if audit/receipt workflow needs it; otherwise ephemeral</w:t>
            </w:r>
          </w:p>
        </w:tc>
        <w:tc>
          <w:tcPr>
            <w:tcW w:type="dxa" w:w="5328"/>
            <w:vAlign w:val="top"/>
            <w:tcMar>
              <w:top w:w="60" w:type="dxa"/>
              <w:start w:w="70" w:type="dxa"/>
              <w:bottom w:w="60" w:type="dxa"/>
              <w:end w:w="70" w:type="dxa"/>
            </w:tcMar>
          </w:tcPr>
          <w:p>
            <w:r>
              <w:rPr>
                <w:sz w:val="16"/>
              </w:rPr>
              <w:t>verified regimen, sellable unit rules, budget, computed complete days, total, actor</w:t>
            </w:r>
          </w:p>
        </w:tc>
      </w:tr>
      <w:tr>
        <w:tc>
          <w:tcPr>
            <w:tcW w:type="dxa" w:w="2160"/>
            <w:vAlign w:val="top"/>
            <w:tcMar>
              <w:top w:w="60" w:type="dxa"/>
              <w:start w:w="70" w:type="dxa"/>
              <w:bottom w:w="60" w:type="dxa"/>
              <w:end w:w="70" w:type="dxa"/>
            </w:tcMar>
          </w:tcPr>
          <w:p>
            <w:r>
              <w:rPr>
                <w:sz w:val="16"/>
              </w:rPr>
              <w:t>Return lookup token</w:t>
            </w:r>
          </w:p>
        </w:tc>
        <w:tc>
          <w:tcPr>
            <w:tcW w:type="dxa" w:w="3312"/>
            <w:vAlign w:val="top"/>
            <w:tcMar>
              <w:top w:w="60" w:type="dxa"/>
              <w:start w:w="70" w:type="dxa"/>
              <w:bottom w:w="60" w:type="dxa"/>
              <w:end w:w="70" w:type="dxa"/>
            </w:tcMar>
          </w:tcPr>
          <w:p>
            <w:r>
              <w:rPr>
                <w:sz w:val="16"/>
              </w:rPr>
              <w:t>Add opaque public lookup identifier if current invoice ID is sequential/guessable</w:t>
            </w:r>
          </w:p>
        </w:tc>
        <w:tc>
          <w:tcPr>
            <w:tcW w:type="dxa" w:w="5328"/>
            <w:vAlign w:val="top"/>
            <w:tcMar>
              <w:top w:w="60" w:type="dxa"/>
              <w:start w:w="70" w:type="dxa"/>
              <w:bottom w:w="60" w:type="dxa"/>
              <w:end w:w="70" w:type="dxa"/>
            </w:tcMar>
          </w:tcPr>
          <w:p>
            <w:r>
              <w:rPr>
                <w:sz w:val="16"/>
              </w:rPr>
              <w:t>invoice reference, random token/hash, issued_at, revoked_at</w:t>
            </w:r>
          </w:p>
        </w:tc>
      </w:tr>
      <w:tr>
        <w:tc>
          <w:tcPr>
            <w:tcW w:type="dxa" w:w="2160"/>
            <w:vAlign w:val="top"/>
            <w:tcMar>
              <w:top w:w="60" w:type="dxa"/>
              <w:start w:w="70" w:type="dxa"/>
              <w:bottom w:w="60" w:type="dxa"/>
              <w:end w:w="70" w:type="dxa"/>
            </w:tcMar>
          </w:tcPr>
          <w:p>
            <w:r>
              <w:rPr>
                <w:sz w:val="16"/>
              </w:rPr>
              <w:t>AI audit</w:t>
            </w:r>
          </w:p>
        </w:tc>
        <w:tc>
          <w:tcPr>
            <w:tcW w:type="dxa" w:w="3312"/>
            <w:vAlign w:val="top"/>
            <w:tcMar>
              <w:top w:w="60" w:type="dxa"/>
              <w:start w:w="70" w:type="dxa"/>
              <w:bottom w:w="60" w:type="dxa"/>
              <w:end w:w="70" w:type="dxa"/>
            </w:tcMar>
          </w:tcPr>
          <w:p>
            <w:r>
              <w:rPr>
                <w:sz w:val="16"/>
              </w:rPr>
              <w:t>Minimal durable metadata</w:t>
            </w:r>
          </w:p>
        </w:tc>
        <w:tc>
          <w:tcPr>
            <w:tcW w:type="dxa" w:w="5328"/>
            <w:vAlign w:val="top"/>
            <w:tcMar>
              <w:top w:w="60" w:type="dxa"/>
              <w:start w:w="70" w:type="dxa"/>
              <w:bottom w:w="60" w:type="dxa"/>
              <w:end w:w="70" w:type="dxa"/>
            </w:tcMar>
          </w:tcPr>
          <w:p>
            <w:r>
              <w:rPr>
                <w:sz w:val="16"/>
              </w:rPr>
              <w:t>actor, sanitized question/hash, tool names, tool args summary, model/provider, latency, status, token/usage metadata where available</w:t>
            </w:r>
          </w:p>
        </w:tc>
      </w:tr>
    </w:tbl>
    <w:p>
      <w:pPr>
        <w:spacing w:after="20"/>
      </w:pPr>
    </w:p>
    <w:p>
      <w:pPr>
        <w:pStyle w:val="Heading2"/>
      </w:pPr>
      <w:r>
        <w:t>5.2 Database invariants</w:t>
      </w:r>
    </w:p>
    <w:p>
      <w:pPr>
        <w:pStyle w:val="ListBullet"/>
      </w:pPr>
      <w:r>
        <w:t>All money uses PostgreSQL NUMERIC/DECIMAL; never float/double for PKR.</w:t>
      </w:r>
    </w:p>
    <w:p>
      <w:pPr>
        <w:pStyle w:val="ListBullet"/>
      </w:pPr>
      <w:r>
        <w:t>All quantities use a consistent base-unit strategy with explicit conversion rules.</w:t>
      </w:r>
    </w:p>
    <w:p>
      <w:pPr>
        <w:pStyle w:val="ListBullet"/>
      </w:pPr>
      <w:r>
        <w:t>Every batch belongs to one medicine/product and retains batch number and expiry even after depletion.</w:t>
      </w:r>
    </w:p>
    <w:p>
      <w:pPr>
        <w:pStyle w:val="ListBullet"/>
      </w:pPr>
      <w:r>
        <w:t>A shelf recommendation cannot be applied to an inactive/ineligible location.</w:t>
      </w:r>
    </w:p>
    <w:p>
      <w:pPr>
        <w:pStyle w:val="ListBullet"/>
      </w:pPr>
      <w:r>
        <w:t>Expired inventory cannot become sellable merely because a recommendation exists.</w:t>
      </w:r>
    </w:p>
    <w:p>
      <w:pPr>
        <w:pStyle w:val="ListBullet"/>
      </w:pPr>
      <w:r>
        <w:t>A reorder suggestion cannot mutate stock or create a finalized purchase without a separate authorized action.</w:t>
      </w:r>
    </w:p>
    <w:p>
      <w:pPr>
        <w:pStyle w:val="ListBullet"/>
      </w:pPr>
      <w:r>
        <w:t>A return lookup token reveals no customer name, phone, medicine list or payment detail by itself.</w:t>
      </w:r>
    </w:p>
    <w:p>
      <w:pPr>
        <w:pStyle w:val="ListBullet"/>
      </w:pPr>
      <w:r>
        <w:t>AI conversation/tool tables must never contain provider API keys or unrestricted raw database dumps.</w:t>
      </w:r>
    </w:p>
    <w:p>
      <w:pPr>
        <w:pStyle w:val="ListBullet"/>
      </w:pPr>
      <w:r>
        <w:t>Use foreign keys and intentional ON DELETE behavior; avoid cascading deletion of regulated transactional history.</w:t>
      </w:r>
    </w:p>
    <w:p>
      <w:pPr>
        <w:pStyle w:val="ListBullet"/>
      </w:pPr>
      <w:r>
        <w:t>Create indexes from query paths actually used by dashboards/work queues; do not add speculative indexes everywhere.</w:t>
      </w:r>
    </w:p>
    <w:p>
      <w:pPr>
        <w:pStyle w:val="Heading1"/>
      </w:pPr>
      <w:r>
        <w:t>6. Feature Specification - Shelf Optimization</w:t>
      </w:r>
    </w:p>
    <w:p>
      <w:r>
        <w:t>Goal: reduce counter picking time by identifying fast-moving products that are placed in inconvenient locations, while never violating product storage or security requirements.</w:t>
      </w:r>
    </w:p>
    <w:p>
      <w:pPr>
        <w:pStyle w:val="Heading2"/>
      </w:pPr>
      <w:r>
        <w:t>6.1 Inputs</w:t>
      </w:r>
    </w:p>
    <w:p>
      <w:pPr>
        <w:pStyle w:val="ListBullet"/>
      </w:pPr>
      <w:r>
        <w:t>Sale/pick frequency by medicine over configurable windows (for example 30/60/90 days).</w:t>
      </w:r>
    </w:p>
    <w:p>
      <w:pPr>
        <w:pStyle w:val="ListBullet"/>
      </w:pPr>
      <w:r>
        <w:t>Units sold and number of distinct sale lines/picks.</w:t>
      </w:r>
    </w:p>
    <w:p>
      <w:pPr>
        <w:pStyle w:val="ListBullet"/>
      </w:pPr>
      <w:r>
        <w:t>Current active location.</w:t>
      </w:r>
    </w:p>
    <w:p>
      <w:pPr>
        <w:pStyle w:val="ListBullet"/>
      </w:pPr>
      <w:r>
        <w:t>Location convenience score or pick-priority rank configured by the pharmacy.</w:t>
      </w:r>
    </w:p>
    <w:p>
      <w:pPr>
        <w:pStyle w:val="ListBullet"/>
      </w:pPr>
      <w:r>
        <w:t>Storage compatibility: ambient/cold/other as represented in the existing domain.</w:t>
      </w:r>
    </w:p>
    <w:p>
      <w:pPr>
        <w:pStyle w:val="ListBullet"/>
      </w:pPr>
      <w:r>
        <w:t>Security restrictions for controlled/locked storage where represented.</w:t>
      </w:r>
    </w:p>
    <w:p>
      <w:pPr>
        <w:pStyle w:val="ListBullet"/>
      </w:pPr>
      <w:r>
        <w:t>Optional shelf capacity constraints only if current data supports them reliably.</w:t>
      </w:r>
    </w:p>
    <w:p>
      <w:pPr>
        <w:pStyle w:val="Heading2"/>
      </w:pPr>
      <w:r>
        <w:t>6.2 Deterministic recommendation algorithm</w:t>
      </w:r>
    </w:p>
    <w:p>
      <w:pPr>
        <w:ind w:left="0" w:firstLine="0"/>
      </w:pPr>
      <w:r/>
      <w:r>
        <w:t>1. Compute a demand score from fulfilled sale-line pick frequency and units sold. Do not count cancelled tickets.</w:t>
      </w:r>
    </w:p>
    <w:p>
      <w:pPr>
        <w:ind w:left="0" w:firstLine="0"/>
      </w:pPr>
      <w:r/>
      <w:r>
        <w:t>2. Classify products into ABC demand classes or equivalent percentile bands.</w:t>
      </w:r>
    </w:p>
    <w:p>
      <w:pPr>
        <w:ind w:left="0" w:firstLine="0"/>
      </w:pPr>
      <w:r/>
      <w:r>
        <w:t>3. Determine eligible locations by storage/security compatibility.</w:t>
      </w:r>
    </w:p>
    <w:p>
      <w:pPr>
        <w:ind w:left="0" w:firstLine="0"/>
      </w:pPr>
      <w:r/>
      <w:r>
        <w:t>4. Compare product demand rank with current location convenience rank.</w:t>
      </w:r>
    </w:p>
    <w:p>
      <w:pPr>
        <w:ind w:left="0" w:firstLine="0"/>
      </w:pPr>
      <w:r/>
      <w:r>
        <w:t>5. Generate a recommendation only when the expected improvement exceeds a configurable threshold.</w:t>
      </w:r>
    </w:p>
    <w:p>
      <w:pPr>
        <w:ind w:left="0" w:firstLine="0"/>
      </w:pPr>
      <w:r/>
      <w:r>
        <w:t>6. Persist the score inputs/reason snapshot so the recommendation remains explainable even when later sales change.</w:t>
      </w:r>
    </w:p>
    <w:p>
      <w:pPr>
        <w:ind w:left="0" w:firstLine="0"/>
      </w:pPr>
      <w:r/>
      <w:r>
        <w:t>7. Require Inventory Manager/authorized review before updating the actual location.</w:t>
      </w:r>
    </w:p>
    <w:p>
      <w:pPr>
        <w:pStyle w:val="CodeBlock"/>
      </w:pPr>
      <w:r>
        <w:rPr>
          <w:rFonts w:ascii="Consolas" w:hAnsi="Consolas"/>
        </w:rPr>
        <w:t>Example explainable output:</w:t>
        <w:br/>
        <w:t>Medicine: Panadol 500mg</w:t>
        <w:br/>
        <w:t>Demand class: A</w:t>
        <w:br/>
        <w:t>30-day picks: 412</w:t>
        <w:br/>
        <w:t>Current location: Rack C / Shelf 4</w:t>
        <w:br/>
        <w:t>Current pick-priority rank: 18</w:t>
        <w:br/>
        <w:t>Suggested location: Rack A / Shelf 2</w:t>
        <w:br/>
        <w:t>Suggested rank: 3</w:t>
        <w:br/>
        <w:t>Reason: High pick frequency + compatible ambient storage</w:t>
        <w:br/>
        <w:t>Status: PENDING_REVIEW</w:t>
      </w:r>
    </w:p>
    <w:p>
      <w:pPr>
        <w:pStyle w:val="Heading2"/>
      </w:pPr>
      <w:r>
        <w:t>6.3 Safety and edge cases</w:t>
      </w:r>
    </w:p>
    <w:p>
      <w:pPr>
        <w:pStyle w:val="ListBullet"/>
      </w:pPr>
      <w:r>
        <w:t>Never recommend temperature-sensitive stock into an ambient-only location.</w:t>
      </w:r>
    </w:p>
    <w:p>
      <w:pPr>
        <w:pStyle w:val="ListBullet"/>
      </w:pPr>
      <w:r>
        <w:t>Never recommend controlled/secured stock into an unrestricted location.</w:t>
      </w:r>
    </w:p>
    <w:p>
      <w:pPr>
        <w:pStyle w:val="ListBullet"/>
      </w:pPr>
      <w:r>
        <w:t>Do not treat temporary back-stock as the primary picking shelf unless explicitly configured.</w:t>
      </w:r>
    </w:p>
    <w:p>
      <w:pPr>
        <w:pStyle w:val="ListBullet"/>
      </w:pPr>
      <w:r>
        <w:t>Do not move a product automatically when the recommendation is accepted; use the existing stock/location movement workflow.</w:t>
      </w:r>
    </w:p>
    <w:p>
      <w:pPr>
        <w:pStyle w:val="ListBullet"/>
      </w:pPr>
      <w:r>
        <w:t>Handle new products with insufficient history as LOW_CONFIDENCE and avoid pretending precision.</w:t>
      </w:r>
    </w:p>
    <w:p>
      <w:pPr>
        <w:pStyle w:val="ListBullet"/>
      </w:pPr>
      <w:r>
        <w:t>If the same product has multiple pick locations, score the primary picking location separately from reserve storage.</w:t>
      </w:r>
    </w:p>
    <w:p>
      <w:pPr>
        <w:pStyle w:val="Heading1"/>
      </w:pPr>
      <w:r>
        <w:t>7. Feature Specification - Expiry-Loss Prevention</w:t>
      </w:r>
    </w:p>
    <w:p>
      <w:r>
        <w:t>Goal: make expiry risk visible early enough for staff to act. This is an inventory control feature, not an instruction to sell unsuitable medicine or violate dispensing rules.</w:t>
      </w:r>
    </w:p>
    <w:p>
      <w:pPr>
        <w:pStyle w:val="Heading2"/>
      </w:pPr>
      <w:r>
        <w:t>7.1 Risk buckets and outputs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E5E7EB"/>
            <w:tcMar>
              <w:top w:w="60" w:type="dxa"/>
              <w:start w:w="70" w:type="dxa"/>
              <w:bottom w:w="60" w:type="dxa"/>
              <w:end w:w="70" w:type="dxa"/>
            </w:tcMar>
          </w:tcPr>
          <w:p>
            <w:r>
              <w:rPr>
                <w:b/>
                <w:sz w:val="17"/>
              </w:rPr>
              <w:t>Bucket</w:t>
            </w:r>
          </w:p>
        </w:tc>
        <w:tc>
          <w:tcPr>
            <w:tcW w:type="dxa" w:w="3312"/>
            <w:vAlign w:val="center"/>
            <w:shd w:fill="E5E7EB"/>
            <w:tcMar>
              <w:top w:w="60" w:type="dxa"/>
              <w:start w:w="70" w:type="dxa"/>
              <w:bottom w:w="60" w:type="dxa"/>
              <w:end w:w="70" w:type="dxa"/>
            </w:tcMar>
          </w:tcPr>
          <w:p>
            <w:r>
              <w:rPr>
                <w:b/>
                <w:sz w:val="17"/>
              </w:rPr>
              <w:t>Default interpretation</w:t>
            </w:r>
          </w:p>
        </w:tc>
        <w:tc>
          <w:tcPr>
            <w:tcW w:type="dxa" w:w="5472"/>
            <w:vAlign w:val="center"/>
            <w:shd w:fill="E5E7EB"/>
            <w:tcMar>
              <w:top w:w="60" w:type="dxa"/>
              <w:start w:w="70" w:type="dxa"/>
              <w:bottom w:w="60" w:type="dxa"/>
              <w:end w:w="70" w:type="dxa"/>
            </w:tcMar>
          </w:tcPr>
          <w:p>
            <w:r>
              <w:rPr>
                <w:b/>
                <w:sz w:val="17"/>
              </w:rPr>
              <w:t>System action</w:t>
            </w:r>
          </w:p>
        </w:tc>
      </w:tr>
      <w:tr>
        <w:tc>
          <w:tcPr>
            <w:tcW w:type="dxa" w:w="1728"/>
            <w:vAlign w:val="top"/>
            <w:tcMar>
              <w:top w:w="60" w:type="dxa"/>
              <w:start w:w="70" w:type="dxa"/>
              <w:bottom w:w="60" w:type="dxa"/>
              <w:end w:w="70" w:type="dxa"/>
            </w:tcMar>
          </w:tcPr>
          <w:p>
            <w:r>
              <w:rPr>
                <w:sz w:val="16"/>
              </w:rPr>
              <w:t>Expired</w:t>
            </w:r>
          </w:p>
        </w:tc>
        <w:tc>
          <w:tcPr>
            <w:tcW w:type="dxa" w:w="3312"/>
            <w:vAlign w:val="top"/>
            <w:tcMar>
              <w:top w:w="60" w:type="dxa"/>
              <w:start w:w="70" w:type="dxa"/>
              <w:bottom w:w="60" w:type="dxa"/>
              <w:end w:w="70" w:type="dxa"/>
            </w:tcMar>
          </w:tcPr>
          <w:p>
            <w:r>
              <w:rPr>
                <w:sz w:val="16"/>
              </w:rPr>
              <w:t>expiry_date &lt; today</w:t>
            </w:r>
          </w:p>
        </w:tc>
        <w:tc>
          <w:tcPr>
            <w:tcW w:type="dxa" w:w="5472"/>
            <w:vAlign w:val="top"/>
            <w:tcMar>
              <w:top w:w="60" w:type="dxa"/>
              <w:start w:w="70" w:type="dxa"/>
              <w:bottom w:w="60" w:type="dxa"/>
              <w:end w:w="70" w:type="dxa"/>
            </w:tcMar>
          </w:tcPr>
          <w:p>
            <w:r>
              <w:rPr>
                <w:sz w:val="16"/>
              </w:rPr>
              <w:t>Block sale; quarantine/disposition workflow</w:t>
            </w:r>
          </w:p>
        </w:tc>
      </w:tr>
      <w:tr>
        <w:tc>
          <w:tcPr>
            <w:tcW w:type="dxa" w:w="1728"/>
            <w:vAlign w:val="top"/>
            <w:tcMar>
              <w:top w:w="60" w:type="dxa"/>
              <w:start w:w="70" w:type="dxa"/>
              <w:bottom w:w="60" w:type="dxa"/>
              <w:end w:w="70" w:type="dxa"/>
            </w:tcMar>
          </w:tcPr>
          <w:p>
            <w:r>
              <w:rPr>
                <w:sz w:val="16"/>
              </w:rPr>
              <w:t>0-30 days</w:t>
            </w:r>
          </w:p>
        </w:tc>
        <w:tc>
          <w:tcPr>
            <w:tcW w:type="dxa" w:w="3312"/>
            <w:vAlign w:val="top"/>
            <w:tcMar>
              <w:top w:w="60" w:type="dxa"/>
              <w:start w:w="70" w:type="dxa"/>
              <w:bottom w:w="60" w:type="dxa"/>
              <w:end w:w="70" w:type="dxa"/>
            </w:tcMar>
          </w:tcPr>
          <w:p>
            <w:r>
              <w:rPr>
                <w:sz w:val="16"/>
              </w:rPr>
              <w:t>Critical risk</w:t>
            </w:r>
          </w:p>
        </w:tc>
        <w:tc>
          <w:tcPr>
            <w:tcW w:type="dxa" w:w="5472"/>
            <w:vAlign w:val="top"/>
            <w:tcMar>
              <w:top w:w="60" w:type="dxa"/>
              <w:start w:w="70" w:type="dxa"/>
              <w:bottom w:w="60" w:type="dxa"/>
              <w:end w:w="70" w:type="dxa"/>
            </w:tcMar>
          </w:tcPr>
          <w:p>
            <w:r>
              <w:rPr>
                <w:sz w:val="16"/>
              </w:rPr>
              <w:t>High-priority work queue; stop unnecessary reorder; review supplier-return eligibility</w:t>
            </w:r>
          </w:p>
        </w:tc>
      </w:tr>
      <w:tr>
        <w:tc>
          <w:tcPr>
            <w:tcW w:type="dxa" w:w="1728"/>
            <w:vAlign w:val="top"/>
            <w:tcMar>
              <w:top w:w="60" w:type="dxa"/>
              <w:start w:w="70" w:type="dxa"/>
              <w:bottom w:w="60" w:type="dxa"/>
              <w:end w:w="70" w:type="dxa"/>
            </w:tcMar>
          </w:tcPr>
          <w:p>
            <w:r>
              <w:rPr>
                <w:sz w:val="16"/>
              </w:rPr>
              <w:t>31-60 days</w:t>
            </w:r>
          </w:p>
        </w:tc>
        <w:tc>
          <w:tcPr>
            <w:tcW w:type="dxa" w:w="3312"/>
            <w:vAlign w:val="top"/>
            <w:tcMar>
              <w:top w:w="60" w:type="dxa"/>
              <w:start w:w="70" w:type="dxa"/>
              <w:bottom w:w="60" w:type="dxa"/>
              <w:end w:w="70" w:type="dxa"/>
            </w:tcMar>
          </w:tcPr>
          <w:p>
            <w:r>
              <w:rPr>
                <w:sz w:val="16"/>
              </w:rPr>
              <w:t>High risk</w:t>
            </w:r>
          </w:p>
        </w:tc>
        <w:tc>
          <w:tcPr>
            <w:tcW w:type="dxa" w:w="5472"/>
            <w:vAlign w:val="top"/>
            <w:tcMar>
              <w:top w:w="60" w:type="dxa"/>
              <w:start w:w="70" w:type="dxa"/>
              <w:bottom w:w="60" w:type="dxa"/>
              <w:end w:w="70" w:type="dxa"/>
            </w:tcMar>
          </w:tcPr>
          <w:p>
            <w:r>
              <w:rPr>
                <w:sz w:val="16"/>
              </w:rPr>
              <w:t>Monitor movement; verify FEFO; review future procurement</w:t>
            </w:r>
          </w:p>
        </w:tc>
      </w:tr>
      <w:tr>
        <w:tc>
          <w:tcPr>
            <w:tcW w:type="dxa" w:w="1728"/>
            <w:vAlign w:val="top"/>
            <w:tcMar>
              <w:top w:w="60" w:type="dxa"/>
              <w:start w:w="70" w:type="dxa"/>
              <w:bottom w:w="60" w:type="dxa"/>
              <w:end w:w="70" w:type="dxa"/>
            </w:tcMar>
          </w:tcPr>
          <w:p>
            <w:r>
              <w:rPr>
                <w:sz w:val="16"/>
              </w:rPr>
              <w:t>61-90 days</w:t>
            </w:r>
          </w:p>
        </w:tc>
        <w:tc>
          <w:tcPr>
            <w:tcW w:type="dxa" w:w="3312"/>
            <w:vAlign w:val="top"/>
            <w:tcMar>
              <w:top w:w="60" w:type="dxa"/>
              <w:start w:w="70" w:type="dxa"/>
              <w:bottom w:w="60" w:type="dxa"/>
              <w:end w:w="70" w:type="dxa"/>
            </w:tcMar>
          </w:tcPr>
          <w:p>
            <w:r>
              <w:rPr>
                <w:sz w:val="16"/>
              </w:rPr>
              <w:t>Moderate risk</w:t>
            </w:r>
          </w:p>
        </w:tc>
        <w:tc>
          <w:tcPr>
            <w:tcW w:type="dxa" w:w="5472"/>
            <w:vAlign w:val="top"/>
            <w:tcMar>
              <w:top w:w="60" w:type="dxa"/>
              <w:start w:w="70" w:type="dxa"/>
              <w:bottom w:w="60" w:type="dxa"/>
              <w:end w:w="70" w:type="dxa"/>
            </w:tcMar>
          </w:tcPr>
          <w:p>
            <w:r>
              <w:rPr>
                <w:sz w:val="16"/>
              </w:rPr>
              <w:t>Early warning and purchase suppression where justified</w:t>
            </w:r>
          </w:p>
        </w:tc>
      </w:tr>
      <w:tr>
        <w:tc>
          <w:tcPr>
            <w:tcW w:type="dxa" w:w="1728"/>
            <w:vAlign w:val="top"/>
            <w:tcMar>
              <w:top w:w="60" w:type="dxa"/>
              <w:start w:w="70" w:type="dxa"/>
              <w:bottom w:w="60" w:type="dxa"/>
              <w:end w:w="70" w:type="dxa"/>
            </w:tcMar>
          </w:tcPr>
          <w:p>
            <w:r>
              <w:rPr>
                <w:sz w:val="16"/>
              </w:rPr>
              <w:t>&gt;90 days</w:t>
            </w:r>
          </w:p>
        </w:tc>
        <w:tc>
          <w:tcPr>
            <w:tcW w:type="dxa" w:w="3312"/>
            <w:vAlign w:val="top"/>
            <w:tcMar>
              <w:top w:w="60" w:type="dxa"/>
              <w:start w:w="70" w:type="dxa"/>
              <w:bottom w:w="60" w:type="dxa"/>
              <w:end w:w="70" w:type="dxa"/>
            </w:tcMar>
          </w:tcPr>
          <w:p>
            <w:r>
              <w:rPr>
                <w:sz w:val="16"/>
              </w:rPr>
              <w:t>Normal</w:t>
            </w:r>
          </w:p>
        </w:tc>
        <w:tc>
          <w:tcPr>
            <w:tcW w:type="dxa" w:w="5472"/>
            <w:vAlign w:val="top"/>
            <w:tcMar>
              <w:top w:w="60" w:type="dxa"/>
              <w:start w:w="70" w:type="dxa"/>
              <w:bottom w:w="60" w:type="dxa"/>
              <w:end w:w="70" w:type="dxa"/>
            </w:tcMar>
          </w:tcPr>
          <w:p>
            <w:r>
              <w:rPr>
                <w:sz w:val="16"/>
              </w:rPr>
              <w:t>No expiry alert unless product-specific policy says otherwise</w:t>
            </w:r>
          </w:p>
        </w:tc>
      </w:tr>
    </w:tbl>
    <w:p>
      <w:pPr>
        <w:spacing w:after="20"/>
      </w:pPr>
    </w:p>
    <w:p>
      <w:pPr>
        <w:pStyle w:val="ListBullet"/>
      </w:pPr>
      <w:r>
        <w:t>Thresholds must be configurable per pharmacy/product category.</w:t>
      </w:r>
    </w:p>
    <w:p>
      <w:pPr>
        <w:pStyle w:val="ListBullet"/>
      </w:pPr>
      <w:r>
        <w:t>Value-at-risk should use a documented inventory cost basis (for example actual batch acquisition/effective unit cost), not selling price unless the UI clearly labels it.</w:t>
      </w:r>
    </w:p>
    <w:p>
      <w:pPr>
        <w:pStyle w:val="ListBullet"/>
      </w:pPr>
      <w:r>
        <w:t>Do not subtract customer returns from historical demand when estimating demand; treat demand from fulfilled sales separately.</w:t>
      </w:r>
    </w:p>
    <w:p>
      <w:pPr>
        <w:pStyle w:val="ListBullet"/>
      </w:pPr>
      <w:r>
        <w:t>FEFO selection should remain enforced by the existing sale/batch allocation path.</w:t>
      </w:r>
    </w:p>
    <w:p>
      <w:pPr>
        <w:pStyle w:val="ListBullet"/>
      </w:pPr>
      <w:r>
        <w:t>Scheduled expiry evaluation should be idempotent and timezone-safe.</w:t>
      </w:r>
    </w:p>
    <w:p>
      <w:pPr>
        <w:pStyle w:val="Heading1"/>
      </w:pPr>
      <w:r>
        <w:t>8. Feature Specification - Supplier Price Intelligence</w:t>
      </w:r>
    </w:p>
    <w:p>
      <w:r>
        <w:t>Goal: show the owner/inventory manager what the pharmacy actually paid and what suppliers currently offer, without creating a second conflicting source of procurement truth.</w:t>
      </w:r>
    </w:p>
    <w:p>
      <w:pPr>
        <w:pStyle w:val="Heading2"/>
      </w:pPr>
      <w:r>
        <w:t>8.1 Cost model</w:t>
      </w:r>
    </w:p>
    <w:p>
      <w:pPr>
        <w:pStyle w:val="ListBullet"/>
      </w:pPr>
      <w:r>
        <w:t>Historical cost is derived from accepted goods receipts/purchase invoices whenever possible.</w:t>
      </w:r>
    </w:p>
    <w:p>
      <w:pPr>
        <w:pStyle w:val="ListBullet"/>
      </w:pPr>
      <w:r>
        <w:t>Normalize comparisons to the medicine base or configured comparison unit.</w:t>
      </w:r>
    </w:p>
    <w:p>
      <w:pPr>
        <w:pStyle w:val="ListBullet"/>
      </w:pPr>
      <w:r>
        <w:t>Include discounts and bonus/free units when computing effective unit cost if those values are captured reliably.</w:t>
      </w:r>
    </w:p>
    <w:p>
      <w:pPr>
        <w:pStyle w:val="ListBullet"/>
      </w:pPr>
      <w:r>
        <w:t>Store supplier quotes only when the price exists before purchase and cannot be derived from the purchase flow.</w:t>
      </w:r>
    </w:p>
    <w:p>
      <w:pPr>
        <w:pStyle w:val="ListBullet"/>
      </w:pPr>
      <w:r>
        <w:t>Keep quote validity dates and source/entered-by metadata.</w:t>
      </w:r>
    </w:p>
    <w:p>
      <w:pPr>
        <w:pStyle w:val="CodeBlock"/>
      </w:pPr>
      <w:r>
        <w:rPr>
          <w:rFonts w:ascii="Consolas" w:hAnsi="Consolas"/>
        </w:rPr>
        <w:t>Effective unit cost example:</w:t>
        <w:br/>
        <w:t>gross_line_cost = quantity * invoice_unit_cost</w:t>
        <w:br/>
        <w:t>net_line_cost   = gross_line_cost - line_discount</w:t>
        <w:br/>
        <w:t>effective_units = purchased_units + eligible_bonus_units</w:t>
        <w:br/>
        <w:t>effective_unit_cost = net_line_cost / effective_units</w:t>
      </w:r>
    </w:p>
    <w:p>
      <w:pPr>
        <w:pStyle w:val="Heading2"/>
      </w:pPr>
      <w:r>
        <w:t>8.2 Comparison UI</w:t>
      </w:r>
    </w:p>
    <w:p>
      <w:pPr>
        <w:pStyle w:val="ListBullet"/>
      </w:pPr>
      <w:r>
        <w:t>Current/most recent effective unit cost by supplier.</w:t>
      </w:r>
    </w:p>
    <w:p>
      <w:pPr>
        <w:pStyle w:val="ListBullet"/>
      </w:pPr>
      <w:r>
        <w:t>Previous paid cost and price change.</w:t>
      </w:r>
    </w:p>
    <w:p>
      <w:pPr>
        <w:pStyle w:val="ListBullet"/>
      </w:pPr>
      <w:r>
        <w:t>Supplier lead time when known.</w:t>
      </w:r>
    </w:p>
    <w:p>
      <w:pPr>
        <w:pStyle w:val="ListBullet"/>
      </w:pPr>
      <w:r>
        <w:t>Last purchase date.</w:t>
      </w:r>
    </w:p>
    <w:p>
      <w:pPr>
        <w:pStyle w:val="ListBullet"/>
      </w:pPr>
      <w:r>
        <w:t>Do not label the cheapest supplier as 'best' automatically; price is only one procurement factor.</w:t>
      </w:r>
    </w:p>
    <w:p>
      <w:pPr>
        <w:pStyle w:val="Heading1"/>
      </w:pPr>
      <w:r>
        <w:t>9. Feature Specification - Purchase Forecasting / Reorder v2</w:t>
      </w:r>
    </w:p>
    <w:p>
      <w:r>
        <w:t>Goal: improve existing reorder suggestions without pretending to provide machine-learning demand forecasts. Start with an explainable statistical baseline that remains useful on low-cost hardware.</w:t>
      </w:r>
    </w:p>
    <w:p>
      <w:pPr>
        <w:pStyle w:val="Heading2"/>
      </w:pPr>
      <w:r>
        <w:t>9.1 Baseline formula</w:t>
      </w:r>
    </w:p>
    <w:p>
      <w:pPr>
        <w:pStyle w:val="CodeBlock"/>
      </w:pPr>
      <w:r>
        <w:rPr>
          <w:rFonts w:ascii="Consolas" w:hAnsi="Consolas"/>
        </w:rPr>
        <w:t>avg_daily_demand = fulfilled_units / eligible_demand_days</w:t>
        <w:br/>
        <w:br/>
        <w:t>reorder_point =</w:t>
        <w:br/>
        <w:t xml:space="preserve">    (avg_daily_demand * supplier_lead_time_days)</w:t>
        <w:br/>
        <w:t xml:space="preserve">    + safety_stock_units</w:t>
        <w:br/>
        <w:br/>
        <w:t>target_stock =</w:t>
        <w:br/>
        <w:t xml:space="preserve">    (avg_daily_demand * target_coverage_days)</w:t>
        <w:br/>
        <w:t xml:space="preserve">    + safety_stock_units</w:t>
        <w:br/>
        <w:br/>
        <w:t>raw_suggested_qty =</w:t>
        <w:br/>
        <w:t xml:space="preserve">    max(0, target_stock - net_available_units)</w:t>
        <w:br/>
        <w:br/>
        <w:t>suggested_order_qty =</w:t>
        <w:br/>
        <w:t xml:space="preserve">    round_up_to_order_multiple(</w:t>
        <w:br/>
        <w:t xml:space="preserve">        max(raw_suggested_qty, minimum_order_quantity_if_applicable)</w:t>
        <w:br/>
        <w:t xml:space="preserve">    )</w:t>
      </w:r>
    </w:p>
    <w:p>
      <w:pPr>
        <w:pStyle w:val="Heading2"/>
      </w:pPr>
      <w:r>
        <w:t>9.2 Demand-quality rules</w:t>
      </w:r>
    </w:p>
    <w:p>
      <w:pPr>
        <w:pStyle w:val="ListBullet"/>
      </w:pPr>
      <w:r>
        <w:t>Use fulfilled sales, not cancelled tickets.</w:t>
      </w:r>
    </w:p>
    <w:p>
      <w:pPr>
        <w:pStyle w:val="ListBullet"/>
      </w:pPr>
      <w:r>
        <w:t>Track days where inventory was zero or unavailable; those days may suppress observed sales and therefore reduce forecast confidence.</w:t>
      </w:r>
    </w:p>
    <w:p>
      <w:pPr>
        <w:pStyle w:val="ListBullet"/>
      </w:pPr>
      <w:r>
        <w:t>Exclude obvious data-corruption intervals and document exclusions.</w:t>
      </w:r>
    </w:p>
    <w:p>
      <w:pPr>
        <w:pStyle w:val="ListBullet"/>
      </w:pPr>
      <w:r>
        <w:t>Return quantities should not erase evidence of customer demand; expose both gross fulfilled demand and net movement if needed.</w:t>
      </w:r>
    </w:p>
    <w:p>
      <w:pPr>
        <w:pStyle w:val="ListBullet"/>
      </w:pPr>
      <w:r>
        <w:t>New products with limited history must be LOW_CONFIDENCE.</w:t>
      </w:r>
    </w:p>
    <w:p>
      <w:pPr>
        <w:pStyle w:val="ListBullet"/>
      </w:pPr>
      <w:r>
        <w:t>Allow a configurable lookback window; do not hard-code one pharmacy's seasonality assumption.</w:t>
      </w:r>
    </w:p>
    <w:p>
      <w:pPr>
        <w:pStyle w:val="ListBullet"/>
      </w:pPr>
      <w:r>
        <w:t>Supplier lead time should come from observed purchase order-to-receipt history when enough data exists, otherwise configured fallback.</w:t>
      </w:r>
    </w:p>
    <w:p>
      <w:pPr>
        <w:pStyle w:val="Heading2"/>
      </w:pPr>
      <w:r>
        <w:t>9.3 Recommendation lifecycle</w:t>
      </w:r>
    </w:p>
    <w:p>
      <w:pPr>
        <w:pStyle w:val="CodeBlock"/>
      </w:pPr>
      <w:r>
        <w:rPr>
          <w:rFonts w:ascii="Consolas" w:hAnsi="Consolas"/>
        </w:rPr>
        <w:t>GENERATED -&gt; REVIEWED -&gt; DRAFT_PO -&gt; APPROVED -&gt; ORDERED</w:t>
        <w:br/>
        <w:t xml:space="preserve">     |           |</w:t>
        <w:br/>
        <w:t xml:space="preserve">     -&gt; DISMISSED</w:t>
        <w:br/>
        <w:t xml:space="preserve">     -&gt; EXPIRED / SUPERSEDED</w:t>
      </w:r>
    </w:p>
    <w:p>
      <w:pPr>
        <w:pStyle w:val="ListBullet"/>
      </w:pPr>
      <w:r>
        <w:t>Generating a new suggestion must not duplicate an active equivalent suggestion.</w:t>
      </w:r>
    </w:p>
    <w:p>
      <w:pPr>
        <w:pStyle w:val="ListBullet"/>
      </w:pPr>
      <w:r>
        <w:t>Suggestions must show their inputs: demand window, average demand, lead time, safety stock, available stock, MOQ/order multiple and confidence.</w:t>
      </w:r>
    </w:p>
    <w:p>
      <w:pPr>
        <w:pStyle w:val="ListBullet"/>
      </w:pPr>
      <w:r>
        <w:t>Do not automatically send an order to a supplier.</w:t>
      </w:r>
    </w:p>
    <w:p>
      <w:pPr>
        <w:pStyle w:val="Heading1"/>
      </w:pPr>
      <w:r>
        <w:t>10. Feature Specification - Budget-Based Regimen Quantity Calculator</w:t>
      </w:r>
    </w:p>
    <w:p>
      <w:r>
        <w:t>Goal: answer the commercial question 'how many complete days of this pharmacist-entered regimen fit within the customer's budget?' without changing the prescribed dose, frequency, duration, medicine or clinical instruction.</w:t>
      </w:r>
    </w:p>
    <w:p>
      <w:pPr>
        <w:pStyle w:val="Heading2"/>
      </w:pPr>
      <w:r>
        <w:t>10.1 Safety boundary</w:t>
      </w:r>
    </w:p>
    <w:p>
      <w:pPr>
        <w:pStyle w:val="ListBullet"/>
      </w:pPr>
      <w:r>
        <w:t>A pharmacist/supervisor verifies the regimen inputs when required by pharmacy policy.</w:t>
      </w:r>
    </w:p>
    <w:p>
      <w:pPr>
        <w:pStyle w:val="ListBullet"/>
      </w:pPr>
      <w:r>
        <w:t>The system may calculate affordability; it must never recommend skipping doses, reducing frequency, changing strength, or substituting medicines automatically.</w:t>
      </w:r>
    </w:p>
    <w:p>
      <w:pPr>
        <w:pStyle w:val="ListBullet"/>
      </w:pPr>
      <w:r>
        <w:t>AI is not used for the calculation.</w:t>
      </w:r>
    </w:p>
    <w:p>
      <w:pPr>
        <w:pStyle w:val="ListBullet"/>
      </w:pPr>
      <w:r>
        <w:t>If zero complete regimen days fit, say so and show the cost of one complete day/regimen unit rather than suggesting unsafe partial therapy.</w:t>
      </w:r>
    </w:p>
    <w:p>
      <w:pPr>
        <w:pStyle w:val="Heading2"/>
      </w:pPr>
      <w:r>
        <w:t>10.2 Correct calculation with pack constraints</w:t>
      </w:r>
    </w:p>
    <w:p>
      <w:pPr>
        <w:pStyle w:val="CodeBlock"/>
      </w:pPr>
      <w:r>
        <w:rPr>
          <w:rFonts w:ascii="Consolas" w:hAnsi="Consolas"/>
        </w:rPr>
        <w:t>For each medicine i and candidate duration d:</w:t>
        <w:br/>
        <w:br/>
        <w:t>required_base_units_i(d)</w:t>
        <w:br/>
        <w:t xml:space="preserve">    = ceil(d * prescribed_base_units_per_day_i)</w:t>
        <w:br/>
        <w:br/>
        <w:t>required_sellable_units_i(d)</w:t>
        <w:br/>
        <w:t xml:space="preserve">    = ceil_to_minimum_sale_increment(required_base_units_i(d))</w:t>
        <w:br/>
        <w:br/>
        <w:t>cost_i(d)</w:t>
        <w:br/>
        <w:t xml:space="preserve">    = required_sellable_units_i(d) * price_per_sellable_unit_i</w:t>
        <w:br/>
        <w:br/>
        <w:t>total_cost(d)</w:t>
        <w:br/>
        <w:t xml:space="preserve">    = sum(cost_i(d))</w:t>
        <w:br/>
        <w:br/>
        <w:t>Result:</w:t>
        <w:br/>
        <w:t>max d such that total_cost(d) &lt;= customer_budget</w:t>
        <w:br/>
        <w:br/>
        <w:t>Use integer/base-unit arithmetic where possible.</w:t>
        <w:br/>
        <w:t>Money uses Decimal/NUMERIC, never floating point.</w:t>
      </w:r>
    </w:p>
    <w:p>
      <w:pPr>
        <w:pStyle w:val="ListBullet"/>
      </w:pPr>
      <w:r>
        <w:t>Support tablet/strip/box or other existing unit-conversion rules.</w:t>
      </w:r>
    </w:p>
    <w:p>
      <w:pPr>
        <w:pStyle w:val="ListBullet"/>
      </w:pPr>
      <w:r>
        <w:t>Respect minimum sale increments configured by the pharmacy.</w:t>
      </w:r>
    </w:p>
    <w:p>
      <w:pPr>
        <w:pStyle w:val="ListBullet"/>
      </w:pPr>
      <w:r>
        <w:t>If a price changes before checkout, recalculate and require the user to acknowledge the updated result.</w:t>
      </w:r>
    </w:p>
    <w:p>
      <w:pPr>
        <w:pStyle w:val="ListBullet"/>
      </w:pPr>
      <w:r>
        <w:t>Do not reserve stock merely by calculating a budget result unless the user proceeds through the existing sale-ticket flow.</w:t>
      </w:r>
    </w:p>
    <w:p>
      <w:pPr>
        <w:pStyle w:val="ListBullet"/>
      </w:pPr>
      <w:r>
        <w:t>Persist the calculation only if needed for an audit/receipt workflow; otherwise keep it transient.</w:t>
      </w:r>
    </w:p>
    <w:p>
      <w:pPr>
        <w:pStyle w:val="Heading1"/>
      </w:pPr>
      <w:r>
        <w:t>11. Feature Specification - QR-Assisted Return Lookup</w:t>
      </w:r>
    </w:p>
    <w:p>
      <w:r>
        <w:t>Goal: make returns faster by scanning the original receipt without exposing private invoice data in the QR payload.</w:t>
      </w:r>
    </w:p>
    <w:p>
      <w:pPr>
        <w:pStyle w:val="Heading2"/>
      </w:pPr>
      <w:r>
        <w:t>11.1 QR design</w:t>
      </w:r>
    </w:p>
    <w:p>
      <w:pPr>
        <w:pStyle w:val="ListBullet"/>
      </w:pPr>
      <w:r>
        <w:t>QR contains an opaque random lookup identifier or a URL containing that identifier; do not encode customer name, phone, medicine list, amount or payment details.</w:t>
      </w:r>
    </w:p>
    <w:p>
      <w:pPr>
        <w:pStyle w:val="ListBullet"/>
      </w:pPr>
      <w:r>
        <w:t>Avoid sequential invoice IDs as the only lookup secret.</w:t>
      </w:r>
    </w:p>
    <w:p>
      <w:pPr>
        <w:pStyle w:val="ListBullet"/>
      </w:pPr>
      <w:r>
        <w:t>The scan resolves server-side and still requires an authenticated employee with returns.lookup permission.</w:t>
      </w:r>
    </w:p>
    <w:p>
      <w:pPr>
        <w:pStyle w:val="ListBullet"/>
      </w:pPr>
      <w:r>
        <w:t>The returned screen shows only data the employee is authorized to see.</w:t>
      </w:r>
    </w:p>
    <w:p>
      <w:pPr>
        <w:pStyle w:val="ListBullet"/>
      </w:pPr>
      <w:r>
        <w:t>Existing return eligibility, approval and refund rules remain authoritative.</w:t>
      </w:r>
    </w:p>
    <w:p>
      <w:pPr>
        <w:pStyle w:val="Heading2"/>
      </w:pPr>
      <w:r>
        <w:t>11.2 Workflow</w:t>
      </w:r>
    </w:p>
    <w:p>
      <w:pPr>
        <w:pStyle w:val="CodeBlock"/>
      </w:pPr>
      <w:r>
        <w:rPr>
          <w:rFonts w:ascii="Consolas" w:hAnsi="Consolas"/>
        </w:rPr>
        <w:t>SCAN RECEIPT QR</w:t>
        <w:br/>
        <w:t xml:space="preserve">      |</w:t>
        <w:br/>
        <w:t>Authenticated lookup</w:t>
        <w:br/>
        <w:t xml:space="preserve">      |</w:t>
        <w:br/>
        <w:t>Original finalized invoice</w:t>
        <w:br/>
        <w:t xml:space="preserve">      |</w:t>
        <w:br/>
        <w:t>Select eligible item(s)</w:t>
        <w:br/>
        <w:t xml:space="preserve">      |</w:t>
        <w:br/>
        <w:t>Validate quantity / prior returns / policy</w:t>
        <w:br/>
        <w:t xml:space="preserve">      |</w:t>
        <w:br/>
        <w:t>Approval if required</w:t>
        <w:br/>
        <w:t xml:space="preserve">      |</w:t>
        <w:br/>
        <w:t>Create linked return transaction</w:t>
        <w:br/>
        <w:t xml:space="preserve">      |</w:t>
        <w:br/>
        <w:t>Refund / stock disposition / audit</w:t>
        <w:br/>
        <w:t xml:space="preserve">      |</w:t>
        <w:br/>
        <w:t>Existing FBR return/debit-note path where applicable</w:t>
      </w:r>
    </w:p>
    <w:p>
      <w:pPr>
        <w:pStyle w:val="ListBullet"/>
      </w:pPr>
      <w:r>
        <w:t>Repeated scans are harmless.</w:t>
      </w:r>
    </w:p>
    <w:p>
      <w:pPr>
        <w:pStyle w:val="ListBullet"/>
      </w:pPr>
      <w:r>
        <w:t>Already fully returned items are clearly disabled.</w:t>
      </w:r>
    </w:p>
    <w:p>
      <w:pPr>
        <w:pStyle w:val="ListBullet"/>
      </w:pPr>
      <w:r>
        <w:t>Partial returns cannot exceed originally sold quantity minus prior accepted returns.</w:t>
      </w:r>
    </w:p>
    <w:p>
      <w:pPr>
        <w:pStyle w:val="ListBullet"/>
      </w:pPr>
      <w:r>
        <w:t>No return operation modifies the original sale line quantity in place.</w:t>
      </w:r>
    </w:p>
    <w:p>
      <w:pPr>
        <w:pStyle w:val="Heading1"/>
      </w:pPr>
      <w:r>
        <w:t>12. Feature Specification - Owner AI Assistant</w:t>
      </w:r>
    </w:p>
    <w:p>
      <w:r>
        <w:t>Goal: let the owner ask operational questions in natural language while keeping the transactional system deterministic, private and usable without AI.</w:t>
      </w:r>
    </w:p>
    <w:p>
      <w:pPr>
        <w:pStyle w:val="Heading2"/>
      </w:pPr>
      <w:r>
        <w:t>12.1 Provider architecture</w:t>
      </w:r>
    </w:p>
    <w:p>
      <w:pPr>
        <w:pStyle w:val="CodeBlock"/>
      </w:pPr>
      <w:r>
        <w:rPr>
          <w:rFonts w:ascii="Consolas" w:hAnsi="Consolas"/>
        </w:rPr>
        <w:t>Owner UI</w:t>
        <w:br/>
        <w:t xml:space="preserve">   |</w:t>
        <w:br/>
        <w:t>AI Assistant API (NestJS)</w:t>
        <w:br/>
        <w:t xml:space="preserve">   |</w:t>
        <w:br/>
        <w:t>Policy + intent/tool routing</w:t>
        <w:br/>
        <w:t xml:space="preserve">   |</w:t>
        <w:br/>
        <w:t>Validated read-only tools</w:t>
        <w:br/>
        <w:t xml:space="preserve">   |</w:t>
        <w:br/>
        <w:t>Domain services / reporting queries</w:t>
        <w:br/>
        <w:t xml:space="preserve">   |</w:t>
        <w:br/>
        <w:t>Sanitized structured result</w:t>
        <w:br/>
        <w:t xml:space="preserve">   |</w:t>
        <w:br/>
        <w:t>AIProvider interface</w:t>
        <w:br/>
        <w:t xml:space="preserve">   +-- GeminiProvider</w:t>
        <w:br/>
        <w:t xml:space="preserve">   +-- Future paid provider</w:t>
        <w:br/>
        <w:t xml:space="preserve">   +-- Future local model provider</w:t>
      </w:r>
    </w:p>
    <w:p>
      <w:pPr>
        <w:pStyle w:val="Heading2"/>
      </w:pPr>
      <w:r>
        <w:t>12.2 Allowed tools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E5E7EB"/>
            <w:tcMar>
              <w:top w:w="60" w:type="dxa"/>
              <w:start w:w="70" w:type="dxa"/>
              <w:bottom w:w="60" w:type="dxa"/>
              <w:end w:w="70" w:type="dxa"/>
            </w:tcMar>
          </w:tcPr>
          <w:p>
            <w:r>
              <w:rPr>
                <w:b/>
                <w:sz w:val="17"/>
              </w:rPr>
              <w:t>Tool</w:t>
            </w:r>
          </w:p>
        </w:tc>
        <w:tc>
          <w:tcPr>
            <w:tcW w:type="dxa" w:w="7344"/>
            <w:vAlign w:val="center"/>
            <w:shd w:fill="E5E7EB"/>
            <w:tcMar>
              <w:top w:w="60" w:type="dxa"/>
              <w:start w:w="70" w:type="dxa"/>
              <w:bottom w:w="60" w:type="dxa"/>
              <w:end w:w="70" w:type="dxa"/>
            </w:tcMar>
          </w:tcPr>
          <w:p>
            <w:r>
              <w:rPr>
                <w:b/>
                <w:sz w:val="17"/>
              </w:rPr>
              <w:t>Purpose</w:t>
            </w:r>
          </w:p>
        </w:tc>
      </w:tr>
      <w:tr>
        <w:tc>
          <w:tcPr>
            <w:tcW w:type="dxa" w:w="3168"/>
            <w:vAlign w:val="top"/>
            <w:tcMar>
              <w:top w:w="60" w:type="dxa"/>
              <w:start w:w="70" w:type="dxa"/>
              <w:bottom w:w="60" w:type="dxa"/>
              <w:end w:w="70" w:type="dxa"/>
            </w:tcMar>
          </w:tcPr>
          <w:p>
            <w:r>
              <w:rPr>
                <w:sz w:val="16"/>
              </w:rPr>
              <w:t>get_sales_summary</w:t>
            </w:r>
          </w:p>
        </w:tc>
        <w:tc>
          <w:tcPr>
            <w:tcW w:type="dxa" w:w="7344"/>
            <w:vAlign w:val="top"/>
            <w:tcMar>
              <w:top w:w="60" w:type="dxa"/>
              <w:start w:w="70" w:type="dxa"/>
              <w:bottom w:w="60" w:type="dxa"/>
              <w:end w:w="70" w:type="dxa"/>
            </w:tcMar>
          </w:tcPr>
          <w:p>
            <w:r>
              <w:rPr>
                <w:sz w:val="16"/>
              </w:rPr>
              <w:t>Aggregated sales/revenue/transaction counts for an allowed date range.</w:t>
            </w:r>
          </w:p>
        </w:tc>
      </w:tr>
      <w:tr>
        <w:tc>
          <w:tcPr>
            <w:tcW w:type="dxa" w:w="3168"/>
            <w:vAlign w:val="top"/>
            <w:tcMar>
              <w:top w:w="60" w:type="dxa"/>
              <w:start w:w="70" w:type="dxa"/>
              <w:bottom w:w="60" w:type="dxa"/>
              <w:end w:w="70" w:type="dxa"/>
            </w:tcMar>
          </w:tcPr>
          <w:p>
            <w:r>
              <w:rPr>
                <w:sz w:val="16"/>
              </w:rPr>
              <w:t>get_profit_summary</w:t>
            </w:r>
          </w:p>
        </w:tc>
        <w:tc>
          <w:tcPr>
            <w:tcW w:type="dxa" w:w="7344"/>
            <w:vAlign w:val="top"/>
            <w:tcMar>
              <w:top w:w="60" w:type="dxa"/>
              <w:start w:w="70" w:type="dxa"/>
              <w:bottom w:w="60" w:type="dxa"/>
              <w:end w:w="70" w:type="dxa"/>
            </w:tcMar>
          </w:tcPr>
          <w:p>
            <w:r>
              <w:rPr>
                <w:sz w:val="16"/>
              </w:rPr>
              <w:t>Operational gross-profit summary from authoritative cost/revenue logic.</w:t>
            </w:r>
          </w:p>
        </w:tc>
      </w:tr>
      <w:tr>
        <w:tc>
          <w:tcPr>
            <w:tcW w:type="dxa" w:w="3168"/>
            <w:vAlign w:val="top"/>
            <w:tcMar>
              <w:top w:w="60" w:type="dxa"/>
              <w:start w:w="70" w:type="dxa"/>
              <w:bottom w:w="60" w:type="dxa"/>
              <w:end w:w="70" w:type="dxa"/>
            </w:tcMar>
          </w:tcPr>
          <w:p>
            <w:r>
              <w:rPr>
                <w:sz w:val="16"/>
              </w:rPr>
              <w:t>get_low_stock</w:t>
            </w:r>
          </w:p>
        </w:tc>
        <w:tc>
          <w:tcPr>
            <w:tcW w:type="dxa" w:w="7344"/>
            <w:vAlign w:val="top"/>
            <w:tcMar>
              <w:top w:w="60" w:type="dxa"/>
              <w:start w:w="70" w:type="dxa"/>
              <w:bottom w:w="60" w:type="dxa"/>
              <w:end w:w="70" w:type="dxa"/>
            </w:tcMar>
          </w:tcPr>
          <w:p>
            <w:r>
              <w:rPr>
                <w:sz w:val="16"/>
              </w:rPr>
              <w:t>Low-stock list and days-of-stock.</w:t>
            </w:r>
          </w:p>
        </w:tc>
      </w:tr>
      <w:tr>
        <w:tc>
          <w:tcPr>
            <w:tcW w:type="dxa" w:w="3168"/>
            <w:vAlign w:val="top"/>
            <w:tcMar>
              <w:top w:w="60" w:type="dxa"/>
              <w:start w:w="70" w:type="dxa"/>
              <w:bottom w:w="60" w:type="dxa"/>
              <w:end w:w="70" w:type="dxa"/>
            </w:tcMar>
          </w:tcPr>
          <w:p>
            <w:r>
              <w:rPr>
                <w:sz w:val="16"/>
              </w:rPr>
              <w:t>get_expiry_risk</w:t>
            </w:r>
          </w:p>
        </w:tc>
        <w:tc>
          <w:tcPr>
            <w:tcW w:type="dxa" w:w="7344"/>
            <w:vAlign w:val="top"/>
            <w:tcMar>
              <w:top w:w="60" w:type="dxa"/>
              <w:start w:w="70" w:type="dxa"/>
              <w:bottom w:w="60" w:type="dxa"/>
              <w:end w:w="70" w:type="dxa"/>
            </w:tcMar>
          </w:tcPr>
          <w:p>
            <w:r>
              <w:rPr>
                <w:sz w:val="16"/>
              </w:rPr>
              <w:t>Expiry buckets and value-at-risk.</w:t>
            </w:r>
          </w:p>
        </w:tc>
      </w:tr>
      <w:tr>
        <w:tc>
          <w:tcPr>
            <w:tcW w:type="dxa" w:w="3168"/>
            <w:vAlign w:val="top"/>
            <w:tcMar>
              <w:top w:w="60" w:type="dxa"/>
              <w:start w:w="70" w:type="dxa"/>
              <w:bottom w:w="60" w:type="dxa"/>
              <w:end w:w="70" w:type="dxa"/>
            </w:tcMar>
          </w:tcPr>
          <w:p>
            <w:r>
              <w:rPr>
                <w:sz w:val="16"/>
              </w:rPr>
              <w:t>get_purchase_suggestions</w:t>
            </w:r>
          </w:p>
        </w:tc>
        <w:tc>
          <w:tcPr>
            <w:tcW w:type="dxa" w:w="7344"/>
            <w:vAlign w:val="top"/>
            <w:tcMar>
              <w:top w:w="60" w:type="dxa"/>
              <w:start w:w="70" w:type="dxa"/>
              <w:bottom w:w="60" w:type="dxa"/>
              <w:end w:w="70" w:type="dxa"/>
            </w:tcMar>
          </w:tcPr>
          <w:p>
            <w:r>
              <w:rPr>
                <w:sz w:val="16"/>
              </w:rPr>
              <w:t>Current deterministic reorder suggestions with reasons.</w:t>
            </w:r>
          </w:p>
        </w:tc>
      </w:tr>
      <w:tr>
        <w:tc>
          <w:tcPr>
            <w:tcW w:type="dxa" w:w="3168"/>
            <w:vAlign w:val="top"/>
            <w:tcMar>
              <w:top w:w="60" w:type="dxa"/>
              <w:start w:w="70" w:type="dxa"/>
              <w:bottom w:w="60" w:type="dxa"/>
              <w:end w:w="70" w:type="dxa"/>
            </w:tcMar>
          </w:tcPr>
          <w:p>
            <w:r>
              <w:rPr>
                <w:sz w:val="16"/>
              </w:rPr>
              <w:t>get_supplier_price_comparison</w:t>
            </w:r>
          </w:p>
        </w:tc>
        <w:tc>
          <w:tcPr>
            <w:tcW w:type="dxa" w:w="7344"/>
            <w:vAlign w:val="top"/>
            <w:tcMar>
              <w:top w:w="60" w:type="dxa"/>
              <w:start w:w="70" w:type="dxa"/>
              <w:bottom w:w="60" w:type="dxa"/>
              <w:end w:w="70" w:type="dxa"/>
            </w:tcMar>
          </w:tcPr>
          <w:p>
            <w:r>
              <w:rPr>
                <w:sz w:val="16"/>
              </w:rPr>
              <w:t>Authorized supplier price history/comparison.</w:t>
            </w:r>
          </w:p>
        </w:tc>
      </w:tr>
      <w:tr>
        <w:tc>
          <w:tcPr>
            <w:tcW w:type="dxa" w:w="3168"/>
            <w:vAlign w:val="top"/>
            <w:tcMar>
              <w:top w:w="60" w:type="dxa"/>
              <w:start w:w="70" w:type="dxa"/>
              <w:bottom w:w="60" w:type="dxa"/>
              <w:end w:w="70" w:type="dxa"/>
            </w:tcMar>
          </w:tcPr>
          <w:p>
            <w:r>
              <w:rPr>
                <w:sz w:val="16"/>
              </w:rPr>
              <w:t>get_shelf_recommendations</w:t>
            </w:r>
          </w:p>
        </w:tc>
        <w:tc>
          <w:tcPr>
            <w:tcW w:type="dxa" w:w="7344"/>
            <w:vAlign w:val="top"/>
            <w:tcMar>
              <w:top w:w="60" w:type="dxa"/>
              <w:start w:w="70" w:type="dxa"/>
              <w:bottom w:w="60" w:type="dxa"/>
              <w:end w:w="70" w:type="dxa"/>
            </w:tcMar>
          </w:tcPr>
          <w:p>
            <w:r>
              <w:rPr>
                <w:sz w:val="16"/>
              </w:rPr>
              <w:t>Pending/applied shelf optimization recommendations.</w:t>
            </w:r>
          </w:p>
        </w:tc>
      </w:tr>
      <w:tr>
        <w:tc>
          <w:tcPr>
            <w:tcW w:type="dxa" w:w="3168"/>
            <w:vAlign w:val="top"/>
            <w:tcMar>
              <w:top w:w="60" w:type="dxa"/>
              <w:start w:w="70" w:type="dxa"/>
              <w:bottom w:w="60" w:type="dxa"/>
              <w:end w:w="70" w:type="dxa"/>
            </w:tcMar>
          </w:tcPr>
          <w:p>
            <w:r>
              <w:rPr>
                <w:sz w:val="16"/>
              </w:rPr>
              <w:t>get_returns_summary</w:t>
            </w:r>
          </w:p>
        </w:tc>
        <w:tc>
          <w:tcPr>
            <w:tcW w:type="dxa" w:w="7344"/>
            <w:vAlign w:val="top"/>
            <w:tcMar>
              <w:top w:w="60" w:type="dxa"/>
              <w:start w:w="70" w:type="dxa"/>
              <w:bottom w:w="60" w:type="dxa"/>
              <w:end w:w="70" w:type="dxa"/>
            </w:tcMar>
          </w:tcPr>
          <w:p>
            <w:r>
              <w:rPr>
                <w:sz w:val="16"/>
              </w:rPr>
              <w:t>Aggregated return counts/value/reasons.</w:t>
            </w:r>
          </w:p>
        </w:tc>
      </w:tr>
      <w:tr>
        <w:tc>
          <w:tcPr>
            <w:tcW w:type="dxa" w:w="3168"/>
            <w:vAlign w:val="top"/>
            <w:tcMar>
              <w:top w:w="60" w:type="dxa"/>
              <w:start w:w="70" w:type="dxa"/>
              <w:bottom w:w="60" w:type="dxa"/>
              <w:end w:w="70" w:type="dxa"/>
            </w:tcMar>
          </w:tcPr>
          <w:p>
            <w:r>
              <w:rPr>
                <w:sz w:val="16"/>
              </w:rPr>
              <w:t>get_cash_reconciliation_summary</w:t>
            </w:r>
          </w:p>
        </w:tc>
        <w:tc>
          <w:tcPr>
            <w:tcW w:type="dxa" w:w="7344"/>
            <w:vAlign w:val="top"/>
            <w:tcMar>
              <w:top w:w="60" w:type="dxa"/>
              <w:start w:w="70" w:type="dxa"/>
              <w:bottom w:w="60" w:type="dxa"/>
              <w:end w:w="70" w:type="dxa"/>
            </w:tcMar>
          </w:tcPr>
          <w:p>
            <w:r>
              <w:rPr>
                <w:sz w:val="16"/>
              </w:rPr>
              <w:t>Authorized summarized reconciliation data.</w:t>
            </w:r>
          </w:p>
        </w:tc>
      </w:tr>
    </w:tbl>
    <w:p>
      <w:pPr>
        <w:spacing w:after="20"/>
      </w:pPr>
    </w:p>
    <w:p>
      <w:pPr>
        <w:pStyle w:val="Heading2"/>
      </w:pPr>
      <w:r>
        <w:t>12.3 AI security rules</w:t>
      </w:r>
    </w:p>
    <w:p>
      <w:pPr>
        <w:pStyle w:val="ListBullet"/>
      </w:pPr>
      <w:r>
        <w:t>No arbitrary SQL generation/execution.</w:t>
      </w:r>
    </w:p>
    <w:p>
      <w:pPr>
        <w:pStyle w:val="ListBullet"/>
      </w:pPr>
      <w:r>
        <w:t>No write-capable tools in Phase 2.</w:t>
      </w:r>
    </w:p>
    <w:p>
      <w:pPr>
        <w:pStyle w:val="ListBullet"/>
      </w:pPr>
      <w:r>
        <w:t>Validate tool arguments with DTO/Zod/class-validator equivalents before domain-service calls.</w:t>
      </w:r>
    </w:p>
    <w:p>
      <w:pPr>
        <w:pStyle w:val="ListBullet"/>
      </w:pPr>
      <w:r>
        <w:t>Apply the same backend RBAC inside tool execution; the model cannot elevate permissions.</w:t>
      </w:r>
    </w:p>
    <w:p>
      <w:pPr>
        <w:pStyle w:val="ListBullet"/>
      </w:pPr>
      <w:r>
        <w:t>Do not send customer-identifiable prescription/health information to Gemini free tier.</w:t>
      </w:r>
    </w:p>
    <w:p>
      <w:pPr>
        <w:pStyle w:val="ListBullet"/>
      </w:pPr>
      <w:r>
        <w:t>Prefer aggregate operational data and sanitized medicine/business metrics.</w:t>
      </w:r>
    </w:p>
    <w:p>
      <w:pPr>
        <w:pStyle w:val="ListBullet"/>
      </w:pPr>
      <w:r>
        <w:t>Keep the Gemini API key server-side only.</w:t>
      </w:r>
    </w:p>
    <w:p>
      <w:pPr>
        <w:pStyle w:val="ListBullet"/>
      </w:pPr>
      <w:r>
        <w:t>Rate-limit assistant requests and cap tool-call depth/count per user request.</w:t>
      </w:r>
    </w:p>
    <w:p>
      <w:pPr>
        <w:pStyle w:val="ListBullet"/>
      </w:pPr>
      <w:r>
        <w:t>Treat model output as untrusted presentation text; never let it create executable HTML/SQL/commands.</w:t>
      </w:r>
    </w:p>
    <w:p>
      <w:pPr>
        <w:pStyle w:val="ListBullet"/>
      </w:pPr>
      <w:r>
        <w:t>When a tool fails, tell the owner that the data could not be retrieved; do not let the model fabricate a result.</w:t>
      </w:r>
    </w:p>
    <w:p>
      <w:pPr>
        <w:pStyle w:val="Heading2"/>
      </w:pPr>
      <w:r>
        <w:t>12.4 Gemini implementation note</w:t>
      </w:r>
    </w:p>
    <w:p>
      <w:r>
        <w:t>As of August 2026, Google lists free-tier availability for some Gemini models, but availability/rate limits can change. The free tier is also marked as eligible for use to improve Google's products, whereas paid tier is marked differently. Therefore the model identifier must be environment-configured and the free-tier implementation must remain restricted to sanitized, non-identifiable operational data. Do not hard-code a deprecated model into business logic.</w:t>
      </w:r>
    </w:p>
    <w:p>
      <w:pPr>
        <w:pStyle w:val="CodeBlock"/>
      </w:pPr>
      <w:r>
        <w:rPr>
          <w:rFonts w:ascii="Consolas" w:hAnsi="Consolas"/>
        </w:rPr>
        <w:t>Environment example:</w:t>
        <w:br/>
        <w:t>AI_PROVIDER=gemini</w:t>
        <w:br/>
        <w:t>GEMINI_API_KEY=...</w:t>
        <w:br/>
        <w:t>GEMINI_MODEL=&lt;supported-configured-model&gt;</w:t>
        <w:br/>
        <w:t>AI_MAX_TOOL_CALLS=4</w:t>
        <w:br/>
        <w:t>AI_REQUEST_TIMEOUT_MS=15000</w:t>
        <w:br/>
        <w:t>AI_ENABLED=true</w:t>
      </w:r>
    </w:p>
    <w:p>
      <w:pPr>
        <w:pStyle w:val="Heading2"/>
      </w:pPr>
      <w:r>
        <w:t>12.5 Failure behavior</w:t>
      </w:r>
    </w:p>
    <w:p>
      <w:pPr>
        <w:pStyle w:val="ListBullet"/>
      </w:pPr>
      <w:r>
        <w:t>Gemini unavailable: assistant shows unavailable/retry; dashboard and all pharmacy operations continue normally.</w:t>
      </w:r>
    </w:p>
    <w:p>
      <w:pPr>
        <w:pStyle w:val="ListBullet"/>
      </w:pPr>
      <w:r>
        <w:t>Rate limited: return a friendly deterministic error and log provider status without exposing secrets.</w:t>
      </w:r>
    </w:p>
    <w:p>
      <w:pPr>
        <w:pStyle w:val="ListBullet"/>
      </w:pPr>
      <w:r>
        <w:t>Tool timeout: cancel/timeout cleanly and do not reuse partial numbers as final answers.</w:t>
      </w:r>
    </w:p>
    <w:p>
      <w:pPr>
        <w:pStyle w:val="ListBullet"/>
      </w:pPr>
      <w:r>
        <w:t>Provider response malformed: validate schema and fail closed.</w:t>
      </w:r>
    </w:p>
    <w:p>
      <w:pPr>
        <w:pStyle w:val="Heading1"/>
      </w:pPr>
      <w:r>
        <w:t>13. Cross-Feature Workflows</w:t>
      </w:r>
    </w:p>
    <w:p>
      <w:pPr>
        <w:pStyle w:val="Heading2"/>
      </w:pPr>
      <w:r>
        <w:t>13.1 Morning inventory review</w:t>
      </w:r>
    </w:p>
    <w:p>
      <w:pPr>
        <w:pStyle w:val="CodeBlock"/>
      </w:pPr>
      <w:r>
        <w:rPr>
          <w:rFonts w:ascii="Consolas" w:hAnsi="Consolas"/>
        </w:rPr>
        <w:t>Daily job</w:t>
        <w:br/>
        <w:t xml:space="preserve">  |</w:t>
        <w:br/>
        <w:t xml:space="preserve">  +-&gt; Expiry risk refresh</w:t>
        <w:br/>
        <w:t xml:space="preserve">  +-&gt; Reorder suggestion refresh</w:t>
        <w:br/>
        <w:t xml:space="preserve">  +-&gt; Shelf recommendation refresh (scheduled/thresholded)</w:t>
        <w:br/>
        <w:t xml:space="preserve">  |</w:t>
        <w:br/>
        <w:t>Owner/Inventory dashboard</w:t>
        <w:br/>
        <w:t xml:space="preserve">  |</w:t>
        <w:br/>
        <w:t xml:space="preserve">  +-&gt; Critical expiry items</w:t>
        <w:br/>
        <w:t xml:space="preserve">  +-&gt; Reorder candidates</w:t>
        <w:br/>
        <w:t xml:space="preserve">  +-&gt; Supplier comparison</w:t>
        <w:br/>
        <w:t xml:space="preserve">  +-&gt; Shelf improvements</w:t>
      </w:r>
    </w:p>
    <w:p>
      <w:pPr>
        <w:pStyle w:val="Heading2"/>
      </w:pPr>
      <w:r>
        <w:t>13.2 Procurement decision</w:t>
      </w:r>
    </w:p>
    <w:p>
      <w:pPr>
        <w:pStyle w:val="CodeBlock"/>
      </w:pPr>
      <w:r>
        <w:rPr>
          <w:rFonts w:ascii="Consolas" w:hAnsi="Consolas"/>
        </w:rPr>
        <w:t>Reorder suggestion</w:t>
        <w:br/>
        <w:t xml:space="preserve">   |</w:t>
        <w:br/>
        <w:t>Open medicine</w:t>
        <w:br/>
        <w:t xml:space="preserve">   |</w:t>
        <w:br/>
        <w:t>Supplier price history + current quote</w:t>
        <w:br/>
        <w:t xml:space="preserve">   |</w:t>
        <w:br/>
        <w:t>Manager adjusts quantity/supplier</w:t>
        <w:br/>
        <w:t xml:space="preserve">   |</w:t>
        <w:br/>
        <w:t>Create DRAFT purchase order</w:t>
        <w:br/>
        <w:t xml:space="preserve">   |</w:t>
        <w:br/>
        <w:t>Authorized approval</w:t>
        <w:br/>
        <w:t xml:space="preserve">   |</w:t>
        <w:br/>
        <w:t>Existing purchase/receipt workflow</w:t>
      </w:r>
    </w:p>
    <w:p>
      <w:pPr>
        <w:pStyle w:val="Heading2"/>
      </w:pPr>
      <w:r>
        <w:t>13.3 Owner question</w:t>
      </w:r>
    </w:p>
    <w:p>
      <w:pPr>
        <w:pStyle w:val="CodeBlock"/>
      </w:pPr>
      <w:r>
        <w:rPr>
          <w:rFonts w:ascii="Consolas" w:hAnsi="Consolas"/>
        </w:rPr>
        <w:t>Owner: "What is most likely to run out this week?"</w:t>
        <w:br/>
        <w:t xml:space="preserve">   |</w:t>
        <w:br/>
        <w:t>Assistant tool router</w:t>
        <w:br/>
        <w:t xml:space="preserve">   |</w:t>
        <w:br/>
        <w:t>get_low_stock + get_purchase_suggestions</w:t>
        <w:br/>
        <w:t xml:space="preserve">   |</w:t>
        <w:br/>
        <w:t>Structured results</w:t>
        <w:br/>
        <w:t xml:space="preserve">   |</w:t>
        <w:br/>
        <w:t>Gemini explains</w:t>
        <w:br/>
        <w:t xml:space="preserve">   |</w:t>
        <w:br/>
        <w:t>No stock/order mutation</w:t>
      </w:r>
    </w:p>
    <w:p>
      <w:pPr>
        <w:pStyle w:val="Heading1"/>
      </w:pPr>
      <w:r>
        <w:t>14. API Design Guidelines</w:t>
      </w:r>
    </w:p>
    <w:p>
      <w:r>
        <w:t>Adapt route names to the existing repository. Keep resource boundaries stable and avoid adding one giant `/analytics` controller.</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E5E7EB"/>
            <w:tcMar>
              <w:top w:w="60" w:type="dxa"/>
              <w:start w:w="70" w:type="dxa"/>
              <w:bottom w:w="60" w:type="dxa"/>
              <w:end w:w="70" w:type="dxa"/>
            </w:tcMar>
          </w:tcPr>
          <w:p>
            <w:r>
              <w:rPr>
                <w:b/>
                <w:sz w:val="17"/>
              </w:rPr>
              <w:t>Method</w:t>
            </w:r>
          </w:p>
        </w:tc>
        <w:tc>
          <w:tcPr>
            <w:tcW w:type="dxa" w:w="4176"/>
            <w:vAlign w:val="center"/>
            <w:shd w:fill="E5E7EB"/>
            <w:tcMar>
              <w:top w:w="60" w:type="dxa"/>
              <w:start w:w="70" w:type="dxa"/>
              <w:bottom w:w="60" w:type="dxa"/>
              <w:end w:w="70" w:type="dxa"/>
            </w:tcMar>
          </w:tcPr>
          <w:p>
            <w:r>
              <w:rPr>
                <w:b/>
                <w:sz w:val="17"/>
              </w:rPr>
              <w:t>Conceptual route</w:t>
            </w:r>
          </w:p>
        </w:tc>
        <w:tc>
          <w:tcPr>
            <w:tcW w:type="dxa" w:w="5760"/>
            <w:vAlign w:val="center"/>
            <w:shd w:fill="E5E7EB"/>
            <w:tcMar>
              <w:top w:w="60" w:type="dxa"/>
              <w:start w:w="70" w:type="dxa"/>
              <w:bottom w:w="60" w:type="dxa"/>
              <w:end w:w="70" w:type="dxa"/>
            </w:tcMar>
          </w:tcPr>
          <w:p>
            <w:r>
              <w:rPr>
                <w:b/>
                <w:sz w:val="17"/>
              </w:rPr>
              <w:t>Contract</w:t>
            </w:r>
          </w:p>
        </w:tc>
      </w:tr>
      <w:tr>
        <w:tc>
          <w:tcPr>
            <w:tcW w:type="dxa" w:w="1152"/>
            <w:vAlign w:val="top"/>
            <w:tcMar>
              <w:top w:w="60" w:type="dxa"/>
              <w:start w:w="70" w:type="dxa"/>
              <w:bottom w:w="60" w:type="dxa"/>
              <w:end w:w="70" w:type="dxa"/>
            </w:tcMar>
          </w:tcPr>
          <w:p>
            <w:r>
              <w:rPr>
                <w:sz w:val="16"/>
              </w:rPr>
              <w:t>GET</w:t>
            </w:r>
          </w:p>
        </w:tc>
        <w:tc>
          <w:tcPr>
            <w:tcW w:type="dxa" w:w="4176"/>
            <w:vAlign w:val="top"/>
            <w:tcMar>
              <w:top w:w="60" w:type="dxa"/>
              <w:start w:w="70" w:type="dxa"/>
              <w:bottom w:w="60" w:type="dxa"/>
              <w:end w:w="70" w:type="dxa"/>
            </w:tcMar>
          </w:tcPr>
          <w:p>
            <w:r>
              <w:rPr>
                <w:sz w:val="16"/>
              </w:rPr>
              <w:t>/shelf-recommendations</w:t>
            </w:r>
          </w:p>
        </w:tc>
        <w:tc>
          <w:tcPr>
            <w:tcW w:type="dxa" w:w="5760"/>
            <w:vAlign w:val="top"/>
            <w:tcMar>
              <w:top w:w="60" w:type="dxa"/>
              <w:start w:w="70" w:type="dxa"/>
              <w:bottom w:w="60" w:type="dxa"/>
              <w:end w:w="70" w:type="dxa"/>
            </w:tcMar>
          </w:tcPr>
          <w:p>
            <w:r>
              <w:rPr>
                <w:sz w:val="16"/>
              </w:rPr>
              <w:t>Authorized recommendation queue with filters/pagination</w:t>
            </w:r>
          </w:p>
        </w:tc>
      </w:tr>
      <w:tr>
        <w:tc>
          <w:tcPr>
            <w:tcW w:type="dxa" w:w="1152"/>
            <w:vAlign w:val="top"/>
            <w:tcMar>
              <w:top w:w="60" w:type="dxa"/>
              <w:start w:w="70" w:type="dxa"/>
              <w:bottom w:w="60" w:type="dxa"/>
              <w:end w:w="70" w:type="dxa"/>
            </w:tcMar>
          </w:tcPr>
          <w:p>
            <w:r>
              <w:rPr>
                <w:sz w:val="16"/>
              </w:rPr>
              <w:t>POST</w:t>
            </w:r>
          </w:p>
        </w:tc>
        <w:tc>
          <w:tcPr>
            <w:tcW w:type="dxa" w:w="4176"/>
            <w:vAlign w:val="top"/>
            <w:tcMar>
              <w:top w:w="60" w:type="dxa"/>
              <w:start w:w="70" w:type="dxa"/>
              <w:bottom w:w="60" w:type="dxa"/>
              <w:end w:w="70" w:type="dxa"/>
            </w:tcMar>
          </w:tcPr>
          <w:p>
            <w:r>
              <w:rPr>
                <w:sz w:val="16"/>
              </w:rPr>
              <w:t>/shelf-recommendations/:id/review</w:t>
            </w:r>
          </w:p>
        </w:tc>
        <w:tc>
          <w:tcPr>
            <w:tcW w:type="dxa" w:w="5760"/>
            <w:vAlign w:val="top"/>
            <w:tcMar>
              <w:top w:w="60" w:type="dxa"/>
              <w:start w:w="70" w:type="dxa"/>
              <w:bottom w:w="60" w:type="dxa"/>
              <w:end w:w="70" w:type="dxa"/>
            </w:tcMar>
          </w:tcPr>
          <w:p>
            <w:r>
              <w:rPr>
                <w:sz w:val="16"/>
              </w:rPr>
              <w:t>Accept/dismiss/review; audited</w:t>
            </w:r>
          </w:p>
        </w:tc>
      </w:tr>
      <w:tr>
        <w:tc>
          <w:tcPr>
            <w:tcW w:type="dxa" w:w="1152"/>
            <w:vAlign w:val="top"/>
            <w:tcMar>
              <w:top w:w="60" w:type="dxa"/>
              <w:start w:w="70" w:type="dxa"/>
              <w:bottom w:w="60" w:type="dxa"/>
              <w:end w:w="70" w:type="dxa"/>
            </w:tcMar>
          </w:tcPr>
          <w:p>
            <w:r>
              <w:rPr>
                <w:sz w:val="16"/>
              </w:rPr>
              <w:t>GET</w:t>
            </w:r>
          </w:p>
        </w:tc>
        <w:tc>
          <w:tcPr>
            <w:tcW w:type="dxa" w:w="4176"/>
            <w:vAlign w:val="top"/>
            <w:tcMar>
              <w:top w:w="60" w:type="dxa"/>
              <w:start w:w="70" w:type="dxa"/>
              <w:bottom w:w="60" w:type="dxa"/>
              <w:end w:w="70" w:type="dxa"/>
            </w:tcMar>
          </w:tcPr>
          <w:p>
            <w:r>
              <w:rPr>
                <w:sz w:val="16"/>
              </w:rPr>
              <w:t>/expiry-risk</w:t>
            </w:r>
          </w:p>
        </w:tc>
        <w:tc>
          <w:tcPr>
            <w:tcW w:type="dxa" w:w="5760"/>
            <w:vAlign w:val="top"/>
            <w:tcMar>
              <w:top w:w="60" w:type="dxa"/>
              <w:start w:w="70" w:type="dxa"/>
              <w:bottom w:w="60" w:type="dxa"/>
              <w:end w:w="70" w:type="dxa"/>
            </w:tcMar>
          </w:tcPr>
          <w:p>
            <w:r>
              <w:rPr>
                <w:sz w:val="16"/>
              </w:rPr>
              <w:t>Batch risk buckets and filters</w:t>
            </w:r>
          </w:p>
        </w:tc>
      </w:tr>
      <w:tr>
        <w:tc>
          <w:tcPr>
            <w:tcW w:type="dxa" w:w="1152"/>
            <w:vAlign w:val="top"/>
            <w:tcMar>
              <w:top w:w="60" w:type="dxa"/>
              <w:start w:w="70" w:type="dxa"/>
              <w:bottom w:w="60" w:type="dxa"/>
              <w:end w:w="70" w:type="dxa"/>
            </w:tcMar>
          </w:tcPr>
          <w:p>
            <w:r>
              <w:rPr>
                <w:sz w:val="16"/>
              </w:rPr>
              <w:t>POST</w:t>
            </w:r>
          </w:p>
        </w:tc>
        <w:tc>
          <w:tcPr>
            <w:tcW w:type="dxa" w:w="4176"/>
            <w:vAlign w:val="top"/>
            <w:tcMar>
              <w:top w:w="60" w:type="dxa"/>
              <w:start w:w="70" w:type="dxa"/>
              <w:bottom w:w="60" w:type="dxa"/>
              <w:end w:w="70" w:type="dxa"/>
            </w:tcMar>
          </w:tcPr>
          <w:p>
            <w:r>
              <w:rPr>
                <w:sz w:val="16"/>
              </w:rPr>
              <w:t>/expiry-work-items/:id/action</w:t>
            </w:r>
          </w:p>
        </w:tc>
        <w:tc>
          <w:tcPr>
            <w:tcW w:type="dxa" w:w="5760"/>
            <w:vAlign w:val="top"/>
            <w:tcMar>
              <w:top w:w="60" w:type="dxa"/>
              <w:start w:w="70" w:type="dxa"/>
              <w:bottom w:w="60" w:type="dxa"/>
              <w:end w:w="70" w:type="dxa"/>
            </w:tcMar>
          </w:tcPr>
          <w:p>
            <w:r>
              <w:rPr>
                <w:sz w:val="16"/>
              </w:rPr>
              <w:t>Record authorized operational action</w:t>
            </w:r>
          </w:p>
        </w:tc>
      </w:tr>
      <w:tr>
        <w:tc>
          <w:tcPr>
            <w:tcW w:type="dxa" w:w="1152"/>
            <w:vAlign w:val="top"/>
            <w:tcMar>
              <w:top w:w="60" w:type="dxa"/>
              <w:start w:w="70" w:type="dxa"/>
              <w:bottom w:w="60" w:type="dxa"/>
              <w:end w:w="70" w:type="dxa"/>
            </w:tcMar>
          </w:tcPr>
          <w:p>
            <w:r>
              <w:rPr>
                <w:sz w:val="16"/>
              </w:rPr>
              <w:t>GET</w:t>
            </w:r>
          </w:p>
        </w:tc>
        <w:tc>
          <w:tcPr>
            <w:tcW w:type="dxa" w:w="4176"/>
            <w:vAlign w:val="top"/>
            <w:tcMar>
              <w:top w:w="60" w:type="dxa"/>
              <w:start w:w="70" w:type="dxa"/>
              <w:bottom w:w="60" w:type="dxa"/>
              <w:end w:w="70" w:type="dxa"/>
            </w:tcMar>
          </w:tcPr>
          <w:p>
            <w:r>
              <w:rPr>
                <w:sz w:val="16"/>
              </w:rPr>
              <w:t>/suppliers/:id/products/:productId/history</w:t>
            </w:r>
          </w:p>
        </w:tc>
        <w:tc>
          <w:tcPr>
            <w:tcW w:type="dxa" w:w="5760"/>
            <w:vAlign w:val="top"/>
            <w:tcMar>
              <w:top w:w="60" w:type="dxa"/>
              <w:start w:w="70" w:type="dxa"/>
              <w:bottom w:w="60" w:type="dxa"/>
              <w:end w:w="70" w:type="dxa"/>
            </w:tcMar>
          </w:tcPr>
          <w:p>
            <w:r>
              <w:rPr>
                <w:sz w:val="16"/>
              </w:rPr>
              <w:t>Price/purchase history</w:t>
            </w:r>
          </w:p>
        </w:tc>
      </w:tr>
      <w:tr>
        <w:tc>
          <w:tcPr>
            <w:tcW w:type="dxa" w:w="1152"/>
            <w:vAlign w:val="top"/>
            <w:tcMar>
              <w:top w:w="60" w:type="dxa"/>
              <w:start w:w="70" w:type="dxa"/>
              <w:bottom w:w="60" w:type="dxa"/>
              <w:end w:w="70" w:type="dxa"/>
            </w:tcMar>
          </w:tcPr>
          <w:p>
            <w:r>
              <w:rPr>
                <w:sz w:val="16"/>
              </w:rPr>
              <w:t>GET</w:t>
            </w:r>
          </w:p>
        </w:tc>
        <w:tc>
          <w:tcPr>
            <w:tcW w:type="dxa" w:w="4176"/>
            <w:vAlign w:val="top"/>
            <w:tcMar>
              <w:top w:w="60" w:type="dxa"/>
              <w:start w:w="70" w:type="dxa"/>
              <w:bottom w:w="60" w:type="dxa"/>
              <w:end w:w="70" w:type="dxa"/>
            </w:tcMar>
          </w:tcPr>
          <w:p>
            <w:r>
              <w:rPr>
                <w:sz w:val="16"/>
              </w:rPr>
              <w:t>/products/:id/supplier-comparison</w:t>
            </w:r>
          </w:p>
        </w:tc>
        <w:tc>
          <w:tcPr>
            <w:tcW w:type="dxa" w:w="5760"/>
            <w:vAlign w:val="top"/>
            <w:tcMar>
              <w:top w:w="60" w:type="dxa"/>
              <w:start w:w="70" w:type="dxa"/>
              <w:bottom w:w="60" w:type="dxa"/>
              <w:end w:w="70" w:type="dxa"/>
            </w:tcMar>
          </w:tcPr>
          <w:p>
            <w:r>
              <w:rPr>
                <w:sz w:val="16"/>
              </w:rPr>
              <w:t>Normalized comparison</w:t>
            </w:r>
          </w:p>
        </w:tc>
      </w:tr>
      <w:tr>
        <w:tc>
          <w:tcPr>
            <w:tcW w:type="dxa" w:w="1152"/>
            <w:vAlign w:val="top"/>
            <w:tcMar>
              <w:top w:w="60" w:type="dxa"/>
              <w:start w:w="70" w:type="dxa"/>
              <w:bottom w:w="60" w:type="dxa"/>
              <w:end w:w="70" w:type="dxa"/>
            </w:tcMar>
          </w:tcPr>
          <w:p>
            <w:r>
              <w:rPr>
                <w:sz w:val="16"/>
              </w:rPr>
              <w:t>GET</w:t>
            </w:r>
          </w:p>
        </w:tc>
        <w:tc>
          <w:tcPr>
            <w:tcW w:type="dxa" w:w="4176"/>
            <w:vAlign w:val="top"/>
            <w:tcMar>
              <w:top w:w="60" w:type="dxa"/>
              <w:start w:w="70" w:type="dxa"/>
              <w:bottom w:w="60" w:type="dxa"/>
              <w:end w:w="70" w:type="dxa"/>
            </w:tcMar>
          </w:tcPr>
          <w:p>
            <w:r>
              <w:rPr>
                <w:sz w:val="16"/>
              </w:rPr>
              <w:t>/reorder-suggestions</w:t>
            </w:r>
          </w:p>
        </w:tc>
        <w:tc>
          <w:tcPr>
            <w:tcW w:type="dxa" w:w="5760"/>
            <w:vAlign w:val="top"/>
            <w:tcMar>
              <w:top w:w="60" w:type="dxa"/>
              <w:start w:w="70" w:type="dxa"/>
              <w:bottom w:w="60" w:type="dxa"/>
              <w:end w:w="70" w:type="dxa"/>
            </w:tcMar>
          </w:tcPr>
          <w:p>
            <w:r>
              <w:rPr>
                <w:sz w:val="16"/>
              </w:rPr>
              <w:t>Explainable deterministic suggestions</w:t>
            </w:r>
          </w:p>
        </w:tc>
      </w:tr>
      <w:tr>
        <w:tc>
          <w:tcPr>
            <w:tcW w:type="dxa" w:w="1152"/>
            <w:vAlign w:val="top"/>
            <w:tcMar>
              <w:top w:w="60" w:type="dxa"/>
              <w:start w:w="70" w:type="dxa"/>
              <w:bottom w:w="60" w:type="dxa"/>
              <w:end w:w="70" w:type="dxa"/>
            </w:tcMar>
          </w:tcPr>
          <w:p>
            <w:r>
              <w:rPr>
                <w:sz w:val="16"/>
              </w:rPr>
              <w:t>POST</w:t>
            </w:r>
          </w:p>
        </w:tc>
        <w:tc>
          <w:tcPr>
            <w:tcW w:type="dxa" w:w="4176"/>
            <w:vAlign w:val="top"/>
            <w:tcMar>
              <w:top w:w="60" w:type="dxa"/>
              <w:start w:w="70" w:type="dxa"/>
              <w:bottom w:w="60" w:type="dxa"/>
              <w:end w:w="70" w:type="dxa"/>
            </w:tcMar>
          </w:tcPr>
          <w:p>
            <w:r>
              <w:rPr>
                <w:sz w:val="16"/>
              </w:rPr>
              <w:t>/reorder-suggestions/:id/create-draft-po</w:t>
            </w:r>
          </w:p>
        </w:tc>
        <w:tc>
          <w:tcPr>
            <w:tcW w:type="dxa" w:w="5760"/>
            <w:vAlign w:val="top"/>
            <w:tcMar>
              <w:top w:w="60" w:type="dxa"/>
              <w:start w:w="70" w:type="dxa"/>
              <w:bottom w:w="60" w:type="dxa"/>
              <w:end w:w="70" w:type="dxa"/>
            </w:tcMar>
          </w:tcPr>
          <w:p>
            <w:r>
              <w:rPr>
                <w:sz w:val="16"/>
              </w:rPr>
              <w:t>Creates draft only</w:t>
            </w:r>
          </w:p>
        </w:tc>
      </w:tr>
      <w:tr>
        <w:tc>
          <w:tcPr>
            <w:tcW w:type="dxa" w:w="1152"/>
            <w:vAlign w:val="top"/>
            <w:tcMar>
              <w:top w:w="60" w:type="dxa"/>
              <w:start w:w="70" w:type="dxa"/>
              <w:bottom w:w="60" w:type="dxa"/>
              <w:end w:w="70" w:type="dxa"/>
            </w:tcMar>
          </w:tcPr>
          <w:p>
            <w:r>
              <w:rPr>
                <w:sz w:val="16"/>
              </w:rPr>
              <w:t>POST</w:t>
            </w:r>
          </w:p>
        </w:tc>
        <w:tc>
          <w:tcPr>
            <w:tcW w:type="dxa" w:w="4176"/>
            <w:vAlign w:val="top"/>
            <w:tcMar>
              <w:top w:w="60" w:type="dxa"/>
              <w:start w:w="70" w:type="dxa"/>
              <w:bottom w:w="60" w:type="dxa"/>
              <w:end w:w="70" w:type="dxa"/>
            </w:tcMar>
          </w:tcPr>
          <w:p>
            <w:r>
              <w:rPr>
                <w:sz w:val="16"/>
              </w:rPr>
              <w:t>/budget-regimen/calculate</w:t>
            </w:r>
          </w:p>
        </w:tc>
        <w:tc>
          <w:tcPr>
            <w:tcW w:type="dxa" w:w="5760"/>
            <w:vAlign w:val="top"/>
            <w:tcMar>
              <w:top w:w="60" w:type="dxa"/>
              <w:start w:w="70" w:type="dxa"/>
              <w:bottom w:w="60" w:type="dxa"/>
              <w:end w:w="70" w:type="dxa"/>
            </w:tcMar>
          </w:tcPr>
          <w:p>
            <w:r>
              <w:rPr>
                <w:sz w:val="16"/>
              </w:rPr>
              <w:t>Pure/deterministic calculation endpoint</w:t>
            </w:r>
          </w:p>
        </w:tc>
      </w:tr>
      <w:tr>
        <w:tc>
          <w:tcPr>
            <w:tcW w:type="dxa" w:w="1152"/>
            <w:vAlign w:val="top"/>
            <w:tcMar>
              <w:top w:w="60" w:type="dxa"/>
              <w:start w:w="70" w:type="dxa"/>
              <w:bottom w:w="60" w:type="dxa"/>
              <w:end w:w="70" w:type="dxa"/>
            </w:tcMar>
          </w:tcPr>
          <w:p>
            <w:r>
              <w:rPr>
                <w:sz w:val="16"/>
              </w:rPr>
              <w:t>GET</w:t>
            </w:r>
          </w:p>
        </w:tc>
        <w:tc>
          <w:tcPr>
            <w:tcW w:type="dxa" w:w="4176"/>
            <w:vAlign w:val="top"/>
            <w:tcMar>
              <w:top w:w="60" w:type="dxa"/>
              <w:start w:w="70" w:type="dxa"/>
              <w:bottom w:w="60" w:type="dxa"/>
              <w:end w:w="70" w:type="dxa"/>
            </w:tcMar>
          </w:tcPr>
          <w:p>
            <w:r>
              <w:rPr>
                <w:sz w:val="16"/>
              </w:rPr>
              <w:t>/returns/lookup/:token</w:t>
            </w:r>
          </w:p>
        </w:tc>
        <w:tc>
          <w:tcPr>
            <w:tcW w:type="dxa" w:w="5760"/>
            <w:vAlign w:val="top"/>
            <w:tcMar>
              <w:top w:w="60" w:type="dxa"/>
              <w:start w:w="70" w:type="dxa"/>
              <w:bottom w:w="60" w:type="dxa"/>
              <w:end w:w="70" w:type="dxa"/>
            </w:tcMar>
          </w:tcPr>
          <w:p>
            <w:r>
              <w:rPr>
                <w:sz w:val="16"/>
              </w:rPr>
              <w:t>Authenticated opaque-QR lookup</w:t>
            </w:r>
          </w:p>
        </w:tc>
      </w:tr>
      <w:tr>
        <w:tc>
          <w:tcPr>
            <w:tcW w:type="dxa" w:w="1152"/>
            <w:vAlign w:val="top"/>
            <w:tcMar>
              <w:top w:w="60" w:type="dxa"/>
              <w:start w:w="70" w:type="dxa"/>
              <w:bottom w:w="60" w:type="dxa"/>
              <w:end w:w="70" w:type="dxa"/>
            </w:tcMar>
          </w:tcPr>
          <w:p>
            <w:r>
              <w:rPr>
                <w:sz w:val="16"/>
              </w:rPr>
              <w:t>POST</w:t>
            </w:r>
          </w:p>
        </w:tc>
        <w:tc>
          <w:tcPr>
            <w:tcW w:type="dxa" w:w="4176"/>
            <w:vAlign w:val="top"/>
            <w:tcMar>
              <w:top w:w="60" w:type="dxa"/>
              <w:start w:w="70" w:type="dxa"/>
              <w:bottom w:w="60" w:type="dxa"/>
              <w:end w:w="70" w:type="dxa"/>
            </w:tcMar>
          </w:tcPr>
          <w:p>
            <w:r>
              <w:rPr>
                <w:sz w:val="16"/>
              </w:rPr>
              <w:t>/owner-ai/chat</w:t>
            </w:r>
          </w:p>
        </w:tc>
        <w:tc>
          <w:tcPr>
            <w:tcW w:type="dxa" w:w="5760"/>
            <w:vAlign w:val="top"/>
            <w:tcMar>
              <w:top w:w="60" w:type="dxa"/>
              <w:start w:w="70" w:type="dxa"/>
              <w:bottom w:w="60" w:type="dxa"/>
              <w:end w:w="70" w:type="dxa"/>
            </w:tcMar>
          </w:tcPr>
          <w:p>
            <w:r>
              <w:rPr>
                <w:sz w:val="16"/>
              </w:rPr>
              <w:t>Owner assistant request; read-only tools</w:t>
            </w:r>
          </w:p>
        </w:tc>
      </w:tr>
    </w:tbl>
    <w:p>
      <w:pPr>
        <w:spacing w:after="20"/>
      </w:pPr>
    </w:p>
    <w:p>
      <w:pPr>
        <w:pStyle w:val="ListBullet"/>
      </w:pPr>
      <w:r>
        <w:t>Use pagination for potentially large lists.</w:t>
      </w:r>
    </w:p>
    <w:p>
      <w:pPr>
        <w:pStyle w:val="ListBullet"/>
      </w:pPr>
      <w:r>
        <w:t>Use explicit DTOs; reject unknown/invalid state transitions.</w:t>
      </w:r>
    </w:p>
    <w:p>
      <w:pPr>
        <w:pStyle w:val="ListBullet"/>
      </w:pPr>
      <w:r>
        <w:t>Use stable error codes for UI handling.</w:t>
      </w:r>
    </w:p>
    <w:p>
      <w:pPr>
        <w:pStyle w:val="ListBullet"/>
      </w:pPr>
      <w:r>
        <w:t>Never expose internal stack traces to counter clients.</w:t>
      </w:r>
    </w:p>
    <w:p>
      <w:pPr>
        <w:pStyle w:val="ListBullet"/>
      </w:pPr>
      <w:r>
        <w:t>Use database transactions for multi-record state transitions.</w:t>
      </w:r>
    </w:p>
    <w:p>
      <w:pPr>
        <w:pStyle w:val="ListBullet"/>
      </w:pPr>
      <w:r>
        <w:t>Apply idempotency keys where a retry could duplicate a durable business action.</w:t>
      </w:r>
    </w:p>
    <w:p>
      <w:pPr>
        <w:pStyle w:val="Heading1"/>
      </w:pPr>
      <w:r>
        <w:t>15. UI / UX Requirements</w:t>
      </w:r>
    </w:p>
    <w:p>
      <w:pPr>
        <w:pStyle w:val="Heading2"/>
      </w:pPr>
      <w:r>
        <w:t>15.1 Inventory intelligence screen</w:t>
      </w:r>
    </w:p>
    <w:p>
      <w:pPr>
        <w:pStyle w:val="ListBullet"/>
      </w:pPr>
      <w:r>
        <w:t>One attention-oriented landing view: Expiring Soon, Low Stock, Reorder, Shelf Suggestions.</w:t>
      </w:r>
    </w:p>
    <w:p>
      <w:pPr>
        <w:pStyle w:val="ListBullet"/>
      </w:pPr>
      <w:r>
        <w:t>Default to actionable lists rather than decorative charts.</w:t>
      </w:r>
    </w:p>
    <w:p>
      <w:pPr>
        <w:pStyle w:val="ListBullet"/>
      </w:pPr>
      <w:r>
        <w:t>Every recommendation includes 'Why?' with the deterministic inputs.</w:t>
      </w:r>
    </w:p>
    <w:p>
      <w:pPr>
        <w:pStyle w:val="ListBullet"/>
      </w:pPr>
      <w:r>
        <w:t>Use clear statuses: Pending Review, Applied, Dismissed, Superseded, Low Confidence.</w:t>
      </w:r>
    </w:p>
    <w:p>
      <w:pPr>
        <w:pStyle w:val="ListBullet"/>
      </w:pPr>
      <w:r>
        <w:t>Keyboard navigation remains usable on counter/inventory PCs.</w:t>
      </w:r>
    </w:p>
    <w:p>
      <w:pPr>
        <w:pStyle w:val="Heading2"/>
      </w:pPr>
      <w:r>
        <w:t>15.2 Budget calculator</w:t>
      </w:r>
    </w:p>
    <w:p>
      <w:pPr>
        <w:pStyle w:val="ListBullet"/>
      </w:pPr>
      <w:r>
        <w:t>Fast entry from current cart or medicine search.</w:t>
      </w:r>
    </w:p>
    <w:p>
      <w:pPr>
        <w:pStyle w:val="ListBullet"/>
      </w:pPr>
      <w:r>
        <w:t>Show regimen exactly as entered and who verified it.</w:t>
      </w:r>
    </w:p>
    <w:p>
      <w:pPr>
        <w:pStyle w:val="ListBullet"/>
      </w:pPr>
      <w:r>
        <w:t>Show maximum complete days, quantities by medicine, total cost and remainder.</w:t>
      </w:r>
    </w:p>
    <w:p>
      <w:pPr>
        <w:pStyle w:val="ListBullet"/>
      </w:pPr>
      <w:r>
        <w:t>Show a strong non-editable note that the tool does not alter prescribed dosing.</w:t>
      </w:r>
    </w:p>
    <w:p>
      <w:pPr>
        <w:pStyle w:val="Heading2"/>
      </w:pPr>
      <w:r>
        <w:t>15.3 Owner assistant</w:t>
      </w:r>
    </w:p>
    <w:p>
      <w:pPr>
        <w:pStyle w:val="ListBullet"/>
      </w:pPr>
      <w:r>
        <w:t>Suggested operational questions, not a generic medical chatbot prompt.</w:t>
      </w:r>
    </w:p>
    <w:p>
      <w:pPr>
        <w:pStyle w:val="ListBullet"/>
      </w:pPr>
      <w:r>
        <w:t>Responses should cite the date range and data basis used.</w:t>
      </w:r>
    </w:p>
    <w:p>
      <w:pPr>
        <w:pStyle w:val="ListBullet"/>
      </w:pPr>
      <w:r>
        <w:t>Provide links/buttons to open the underlying authorized dashboard/report where practical.</w:t>
      </w:r>
    </w:p>
    <w:p>
      <w:pPr>
        <w:pStyle w:val="ListBullet"/>
      </w:pPr>
      <w:r>
        <w:t>Make AI-generated explanation visually distinguishable from deterministic KPI values.</w:t>
      </w:r>
    </w:p>
    <w:p>
      <w:pPr>
        <w:pStyle w:val="Heading1"/>
      </w:pPr>
      <w:r>
        <w:t>16. Background Jobs and Scheduling</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E5E7EB"/>
            <w:tcMar>
              <w:top w:w="60" w:type="dxa"/>
              <w:start w:w="70" w:type="dxa"/>
              <w:bottom w:w="60" w:type="dxa"/>
              <w:end w:w="70" w:type="dxa"/>
            </w:tcMar>
          </w:tcPr>
          <w:p>
            <w:r>
              <w:rPr>
                <w:b/>
                <w:sz w:val="17"/>
              </w:rPr>
              <w:t>Job</w:t>
            </w:r>
          </w:p>
        </w:tc>
        <w:tc>
          <w:tcPr>
            <w:tcW w:type="dxa" w:w="3600"/>
            <w:vAlign w:val="center"/>
            <w:shd w:fill="E5E7EB"/>
            <w:tcMar>
              <w:top w:w="60" w:type="dxa"/>
              <w:start w:w="70" w:type="dxa"/>
              <w:bottom w:w="60" w:type="dxa"/>
              <w:end w:w="70" w:type="dxa"/>
            </w:tcMar>
          </w:tcPr>
          <w:p>
            <w:r>
              <w:rPr>
                <w:b/>
                <w:sz w:val="17"/>
              </w:rPr>
              <w:t>Recommended cadence</w:t>
            </w:r>
          </w:p>
        </w:tc>
        <w:tc>
          <w:tcPr>
            <w:tcW w:type="dxa" w:w="4608"/>
            <w:vAlign w:val="center"/>
            <w:shd w:fill="E5E7EB"/>
            <w:tcMar>
              <w:top w:w="60" w:type="dxa"/>
              <w:start w:w="70" w:type="dxa"/>
              <w:bottom w:w="60" w:type="dxa"/>
              <w:end w:w="70" w:type="dxa"/>
            </w:tcMar>
          </w:tcPr>
          <w:p>
            <w:r>
              <w:rPr>
                <w:b/>
                <w:sz w:val="17"/>
              </w:rPr>
              <w:t>Idempotency / lock rule</w:t>
            </w:r>
          </w:p>
        </w:tc>
      </w:tr>
      <w:tr>
        <w:tc>
          <w:tcPr>
            <w:tcW w:type="dxa" w:w="2880"/>
            <w:vAlign w:val="top"/>
            <w:tcMar>
              <w:top w:w="60" w:type="dxa"/>
              <w:start w:w="70" w:type="dxa"/>
              <w:bottom w:w="60" w:type="dxa"/>
              <w:end w:w="70" w:type="dxa"/>
            </w:tcMar>
          </w:tcPr>
          <w:p>
            <w:r>
              <w:rPr>
                <w:sz w:val="16"/>
              </w:rPr>
              <w:t>Expiry risk refresh</w:t>
            </w:r>
          </w:p>
        </w:tc>
        <w:tc>
          <w:tcPr>
            <w:tcW w:type="dxa" w:w="3600"/>
            <w:vAlign w:val="top"/>
            <w:tcMar>
              <w:top w:w="60" w:type="dxa"/>
              <w:start w:w="70" w:type="dxa"/>
              <w:bottom w:w="60" w:type="dxa"/>
              <w:end w:w="70" w:type="dxa"/>
            </w:tcMar>
          </w:tcPr>
          <w:p>
            <w:r>
              <w:rPr>
                <w:sz w:val="16"/>
              </w:rPr>
              <w:t>Daily after midnight local or first server-active window</w:t>
            </w:r>
          </w:p>
        </w:tc>
        <w:tc>
          <w:tcPr>
            <w:tcW w:type="dxa" w:w="4608"/>
            <w:vAlign w:val="top"/>
            <w:tcMar>
              <w:top w:w="60" w:type="dxa"/>
              <w:start w:w="70" w:type="dxa"/>
              <w:bottom w:w="60" w:type="dxa"/>
              <w:end w:w="70" w:type="dxa"/>
            </w:tcMar>
          </w:tcPr>
          <w:p>
            <w:r>
              <w:rPr>
                <w:sz w:val="16"/>
              </w:rPr>
              <w:t>Upsert by pharmacy/batch/date snapshot or recompute derived view</w:t>
            </w:r>
          </w:p>
        </w:tc>
      </w:tr>
      <w:tr>
        <w:tc>
          <w:tcPr>
            <w:tcW w:type="dxa" w:w="2880"/>
            <w:vAlign w:val="top"/>
            <w:tcMar>
              <w:top w:w="60" w:type="dxa"/>
              <w:start w:w="70" w:type="dxa"/>
              <w:bottom w:w="60" w:type="dxa"/>
              <w:end w:w="70" w:type="dxa"/>
            </w:tcMar>
          </w:tcPr>
          <w:p>
            <w:r>
              <w:rPr>
                <w:sz w:val="16"/>
              </w:rPr>
              <w:t>Reorder refresh</w:t>
            </w:r>
          </w:p>
        </w:tc>
        <w:tc>
          <w:tcPr>
            <w:tcW w:type="dxa" w:w="3600"/>
            <w:vAlign w:val="top"/>
            <w:tcMar>
              <w:top w:w="60" w:type="dxa"/>
              <w:start w:w="70" w:type="dxa"/>
              <w:bottom w:w="60" w:type="dxa"/>
              <w:end w:w="70" w:type="dxa"/>
            </w:tcMar>
          </w:tcPr>
          <w:p>
            <w:r>
              <w:rPr>
                <w:sz w:val="16"/>
              </w:rPr>
              <w:t>Daily and optionally after major receiving events</w:t>
            </w:r>
          </w:p>
        </w:tc>
        <w:tc>
          <w:tcPr>
            <w:tcW w:type="dxa" w:w="4608"/>
            <w:vAlign w:val="top"/>
            <w:tcMar>
              <w:top w:w="60" w:type="dxa"/>
              <w:start w:w="70" w:type="dxa"/>
              <w:bottom w:w="60" w:type="dxa"/>
              <w:end w:w="70" w:type="dxa"/>
            </w:tcMar>
          </w:tcPr>
          <w:p>
            <w:r>
              <w:rPr>
                <w:sz w:val="16"/>
              </w:rPr>
              <w:t>One active suggestion version per product/policy window</w:t>
            </w:r>
          </w:p>
        </w:tc>
      </w:tr>
      <w:tr>
        <w:tc>
          <w:tcPr>
            <w:tcW w:type="dxa" w:w="2880"/>
            <w:vAlign w:val="top"/>
            <w:tcMar>
              <w:top w:w="60" w:type="dxa"/>
              <w:start w:w="70" w:type="dxa"/>
              <w:bottom w:w="60" w:type="dxa"/>
              <w:end w:w="70" w:type="dxa"/>
            </w:tcMar>
          </w:tcPr>
          <w:p>
            <w:r>
              <w:rPr>
                <w:sz w:val="16"/>
              </w:rPr>
              <w:t>Shelf recommendation refresh</w:t>
            </w:r>
          </w:p>
        </w:tc>
        <w:tc>
          <w:tcPr>
            <w:tcW w:type="dxa" w:w="3600"/>
            <w:vAlign w:val="top"/>
            <w:tcMar>
              <w:top w:w="60" w:type="dxa"/>
              <w:start w:w="70" w:type="dxa"/>
              <w:bottom w:w="60" w:type="dxa"/>
              <w:end w:w="70" w:type="dxa"/>
            </w:tcMar>
          </w:tcPr>
          <w:p>
            <w:r>
              <w:rPr>
                <w:sz w:val="16"/>
              </w:rPr>
              <w:t>Weekly or after sufficient new sales volume</w:t>
            </w:r>
          </w:p>
        </w:tc>
        <w:tc>
          <w:tcPr>
            <w:tcW w:type="dxa" w:w="4608"/>
            <w:vAlign w:val="top"/>
            <w:tcMar>
              <w:top w:w="60" w:type="dxa"/>
              <w:start w:w="70" w:type="dxa"/>
              <w:bottom w:w="60" w:type="dxa"/>
              <w:end w:w="70" w:type="dxa"/>
            </w:tcMar>
          </w:tcPr>
          <w:p>
            <w:r>
              <w:rPr>
                <w:sz w:val="16"/>
              </w:rPr>
              <w:t>Supersede older pending recommendation; do not duplicate</w:t>
            </w:r>
          </w:p>
        </w:tc>
      </w:tr>
      <w:tr>
        <w:tc>
          <w:tcPr>
            <w:tcW w:type="dxa" w:w="2880"/>
            <w:vAlign w:val="top"/>
            <w:tcMar>
              <w:top w:w="60" w:type="dxa"/>
              <w:start w:w="70" w:type="dxa"/>
              <w:bottom w:w="60" w:type="dxa"/>
              <w:end w:w="70" w:type="dxa"/>
            </w:tcMar>
          </w:tcPr>
          <w:p>
            <w:r>
              <w:rPr>
                <w:sz w:val="16"/>
              </w:rPr>
              <w:t>Supplier metric refresh</w:t>
            </w:r>
          </w:p>
        </w:tc>
        <w:tc>
          <w:tcPr>
            <w:tcW w:type="dxa" w:w="3600"/>
            <w:vAlign w:val="top"/>
            <w:tcMar>
              <w:top w:w="60" w:type="dxa"/>
              <w:start w:w="70" w:type="dxa"/>
              <w:bottom w:w="60" w:type="dxa"/>
              <w:end w:w="70" w:type="dxa"/>
            </w:tcMar>
          </w:tcPr>
          <w:p>
            <w:r>
              <w:rPr>
                <w:sz w:val="16"/>
              </w:rPr>
              <w:t>On goods receipt + periodic repair</w:t>
            </w:r>
          </w:p>
        </w:tc>
        <w:tc>
          <w:tcPr>
            <w:tcW w:type="dxa" w:w="4608"/>
            <w:vAlign w:val="top"/>
            <w:tcMar>
              <w:top w:w="60" w:type="dxa"/>
              <w:start w:w="70" w:type="dxa"/>
              <w:bottom w:w="60" w:type="dxa"/>
              <w:end w:w="70" w:type="dxa"/>
            </w:tcMar>
          </w:tcPr>
          <w:p>
            <w:r>
              <w:rPr>
                <w:sz w:val="16"/>
              </w:rPr>
              <w:t>Derive from authoritative receipts</w:t>
            </w:r>
          </w:p>
        </w:tc>
      </w:tr>
      <w:tr>
        <w:tc>
          <w:tcPr>
            <w:tcW w:type="dxa" w:w="2880"/>
            <w:vAlign w:val="top"/>
            <w:tcMar>
              <w:top w:w="60" w:type="dxa"/>
              <w:start w:w="70" w:type="dxa"/>
              <w:bottom w:w="60" w:type="dxa"/>
              <w:end w:w="70" w:type="dxa"/>
            </w:tcMar>
          </w:tcPr>
          <w:p>
            <w:r>
              <w:rPr>
                <w:sz w:val="16"/>
              </w:rPr>
              <w:t>AI audit cleanup</w:t>
            </w:r>
          </w:p>
        </w:tc>
        <w:tc>
          <w:tcPr>
            <w:tcW w:type="dxa" w:w="3600"/>
            <w:vAlign w:val="top"/>
            <w:tcMar>
              <w:top w:w="60" w:type="dxa"/>
              <w:start w:w="70" w:type="dxa"/>
              <w:bottom w:w="60" w:type="dxa"/>
              <w:end w:w="70" w:type="dxa"/>
            </w:tcMar>
          </w:tcPr>
          <w:p>
            <w:r>
              <w:rPr>
                <w:sz w:val="16"/>
              </w:rPr>
              <w:t>Policy-driven</w:t>
            </w:r>
          </w:p>
        </w:tc>
        <w:tc>
          <w:tcPr>
            <w:tcW w:type="dxa" w:w="4608"/>
            <w:vAlign w:val="top"/>
            <w:tcMar>
              <w:top w:w="60" w:type="dxa"/>
              <w:start w:w="70" w:type="dxa"/>
              <w:bottom w:w="60" w:type="dxa"/>
              <w:end w:w="70" w:type="dxa"/>
            </w:tcMar>
          </w:tcPr>
          <w:p>
            <w:r>
              <w:rPr>
                <w:sz w:val="16"/>
              </w:rPr>
              <w:t>Never delete regulated transaction data as part of AI cleanup</w:t>
            </w:r>
          </w:p>
        </w:tc>
      </w:tr>
    </w:tbl>
    <w:p>
      <w:pPr>
        <w:spacing w:after="20"/>
      </w:pPr>
    </w:p>
    <w:p>
      <w:pPr>
        <w:pStyle w:val="ListBullet"/>
      </w:pPr>
      <w:r>
        <w:t>Use the existing worker/queue stack; do not introduce a second queue system.</w:t>
      </w:r>
    </w:p>
    <w:p>
      <w:pPr>
        <w:pStyle w:val="ListBullet"/>
      </w:pPr>
      <w:r>
        <w:t>Use distributed/job locks if multiple worker replicas can run.</w:t>
      </w:r>
    </w:p>
    <w:p>
      <w:pPr>
        <w:pStyle w:val="ListBullet"/>
      </w:pPr>
      <w:r>
        <w:t>Persist job status, last success, last error and duration for supportability.</w:t>
      </w:r>
    </w:p>
    <w:p>
      <w:pPr>
        <w:pStyle w:val="Heading1"/>
      </w:pPr>
      <w:r>
        <w:t>17. Observability and Supportability</w:t>
      </w:r>
    </w:p>
    <w:p>
      <w:pPr>
        <w:pStyle w:val="ListBullet"/>
      </w:pPr>
      <w:r>
        <w:t>Structured logs with request/job correlation IDs.</w:t>
      </w:r>
    </w:p>
    <w:p>
      <w:pPr>
        <w:pStyle w:val="ListBullet"/>
      </w:pPr>
      <w:r>
        <w:t>Metrics for job success/failure, queue depth, AI provider failures, AI latency, QR lookup failures, recommendation counts and application rates.</w:t>
      </w:r>
    </w:p>
    <w:p>
      <w:pPr>
        <w:pStyle w:val="ListBullet"/>
      </w:pPr>
      <w:r>
        <w:t>Do not log customer health/prescription details, API keys, FBR tokens or payment secrets.</w:t>
      </w:r>
    </w:p>
    <w:p>
      <w:pPr>
        <w:pStyle w:val="ListBullet"/>
      </w:pPr>
      <w:r>
        <w:t>Health checks should distinguish API, database, Redis/worker and optional AI provider status.</w:t>
      </w:r>
    </w:p>
    <w:p>
      <w:pPr>
        <w:pStyle w:val="ListBullet"/>
      </w:pPr>
      <w:r>
        <w:t>AI provider health must never mark the core pharmacy application unhealthy.</w:t>
      </w:r>
    </w:p>
    <w:p>
      <w:pPr>
        <w:pStyle w:val="Heading1"/>
      </w:pPr>
      <w:r>
        <w:t>18. Mandatory Test Strategy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Test class</w:t>
            </w:r>
          </w:p>
        </w:tc>
        <w:tc>
          <w:tcPr>
            <w:tcW w:type="dxa" w:w="9072"/>
            <w:vAlign w:val="center"/>
            <w:shd w:fill="E5E7EB"/>
            <w:tcMar>
              <w:top w:w="60" w:type="dxa"/>
              <w:start w:w="70" w:type="dxa"/>
              <w:bottom w:w="60" w:type="dxa"/>
              <w:end w:w="70" w:type="dxa"/>
            </w:tcMar>
          </w:tcPr>
          <w:p>
            <w:r>
              <w:rPr>
                <w:b/>
                <w:sz w:val="17"/>
              </w:rPr>
              <w:t>Required coverage</w:t>
            </w:r>
          </w:p>
        </w:tc>
      </w:tr>
      <w:tr>
        <w:tc>
          <w:tcPr>
            <w:tcW w:type="dxa" w:w="1872"/>
            <w:vAlign w:val="top"/>
            <w:tcMar>
              <w:top w:w="60" w:type="dxa"/>
              <w:start w:w="70" w:type="dxa"/>
              <w:bottom w:w="60" w:type="dxa"/>
              <w:end w:w="70" w:type="dxa"/>
            </w:tcMar>
          </w:tcPr>
          <w:p>
            <w:r>
              <w:rPr>
                <w:sz w:val="16"/>
              </w:rPr>
              <w:t>Unit</w:t>
            </w:r>
          </w:p>
        </w:tc>
        <w:tc>
          <w:tcPr>
            <w:tcW w:type="dxa" w:w="9072"/>
            <w:vAlign w:val="top"/>
            <w:tcMar>
              <w:top w:w="60" w:type="dxa"/>
              <w:start w:w="70" w:type="dxa"/>
              <w:bottom w:w="60" w:type="dxa"/>
              <w:end w:w="70" w:type="dxa"/>
            </w:tcMar>
          </w:tcPr>
          <w:p>
            <w:r>
              <w:rPr>
                <w:sz w:val="16"/>
              </w:rPr>
              <w:t>Shelf scoring, storage eligibility, expiry buckets, effective supplier cost, forecast math, pack rounding, budget max-days calculation.</w:t>
            </w:r>
          </w:p>
        </w:tc>
      </w:tr>
      <w:tr>
        <w:tc>
          <w:tcPr>
            <w:tcW w:type="dxa" w:w="1872"/>
            <w:vAlign w:val="top"/>
            <w:tcMar>
              <w:top w:w="60" w:type="dxa"/>
              <w:start w:w="70" w:type="dxa"/>
              <w:bottom w:w="60" w:type="dxa"/>
              <w:end w:w="70" w:type="dxa"/>
            </w:tcMar>
          </w:tcPr>
          <w:p>
            <w:r>
              <w:rPr>
                <w:sz w:val="16"/>
              </w:rPr>
              <w:t>Database</w:t>
            </w:r>
          </w:p>
        </w:tc>
        <w:tc>
          <w:tcPr>
            <w:tcW w:type="dxa" w:w="9072"/>
            <w:vAlign w:val="top"/>
            <w:tcMar>
              <w:top w:w="60" w:type="dxa"/>
              <w:start w:w="70" w:type="dxa"/>
              <w:bottom w:w="60" w:type="dxa"/>
              <w:end w:w="70" w:type="dxa"/>
            </w:tcMar>
          </w:tcPr>
          <w:p>
            <w:r>
              <w:rPr>
                <w:sz w:val="16"/>
              </w:rPr>
              <w:t>Constraints, migrations, indexes, immutable historical relations, return quantity limits, permissions data.</w:t>
            </w:r>
          </w:p>
        </w:tc>
      </w:tr>
      <w:tr>
        <w:tc>
          <w:tcPr>
            <w:tcW w:type="dxa" w:w="1872"/>
            <w:vAlign w:val="top"/>
            <w:tcMar>
              <w:top w:w="60" w:type="dxa"/>
              <w:start w:w="70" w:type="dxa"/>
              <w:bottom w:w="60" w:type="dxa"/>
              <w:end w:w="70" w:type="dxa"/>
            </w:tcMar>
          </w:tcPr>
          <w:p>
            <w:r>
              <w:rPr>
                <w:sz w:val="16"/>
              </w:rPr>
              <w:t>Integration</w:t>
            </w:r>
          </w:p>
        </w:tc>
        <w:tc>
          <w:tcPr>
            <w:tcW w:type="dxa" w:w="9072"/>
            <w:vAlign w:val="top"/>
            <w:tcMar>
              <w:top w:w="60" w:type="dxa"/>
              <w:start w:w="70" w:type="dxa"/>
              <w:bottom w:w="60" w:type="dxa"/>
              <w:end w:w="70" w:type="dxa"/>
            </w:tcMar>
          </w:tcPr>
          <w:p>
            <w:r>
              <w:rPr>
                <w:sz w:val="16"/>
              </w:rPr>
              <w:t>NestJS services/controllers against PostgreSQL; worker idempotency; QR lookup; AI tool authorization.</w:t>
            </w:r>
          </w:p>
        </w:tc>
      </w:tr>
      <w:tr>
        <w:tc>
          <w:tcPr>
            <w:tcW w:type="dxa" w:w="1872"/>
            <w:vAlign w:val="top"/>
            <w:tcMar>
              <w:top w:w="60" w:type="dxa"/>
              <w:start w:w="70" w:type="dxa"/>
              <w:bottom w:w="60" w:type="dxa"/>
              <w:end w:w="70" w:type="dxa"/>
            </w:tcMar>
          </w:tcPr>
          <w:p>
            <w:r>
              <w:rPr>
                <w:sz w:val="16"/>
              </w:rPr>
              <w:t>RBAC</w:t>
            </w:r>
          </w:p>
        </w:tc>
        <w:tc>
          <w:tcPr>
            <w:tcW w:type="dxa" w:w="9072"/>
            <w:vAlign w:val="top"/>
            <w:tcMar>
              <w:top w:w="60" w:type="dxa"/>
              <w:start w:w="70" w:type="dxa"/>
              <w:bottom w:w="60" w:type="dxa"/>
              <w:end w:w="70" w:type="dxa"/>
            </w:tcMar>
          </w:tcPr>
          <w:p>
            <w:r>
              <w:rPr>
                <w:sz w:val="16"/>
              </w:rPr>
              <w:t>Every new endpoint: allowed and denied cases for each relevant role.</w:t>
            </w:r>
          </w:p>
        </w:tc>
      </w:tr>
      <w:tr>
        <w:tc>
          <w:tcPr>
            <w:tcW w:type="dxa" w:w="1872"/>
            <w:vAlign w:val="top"/>
            <w:tcMar>
              <w:top w:w="60" w:type="dxa"/>
              <w:start w:w="70" w:type="dxa"/>
              <w:bottom w:w="60" w:type="dxa"/>
              <w:end w:w="70" w:type="dxa"/>
            </w:tcMar>
          </w:tcPr>
          <w:p>
            <w:r>
              <w:rPr>
                <w:sz w:val="16"/>
              </w:rPr>
              <w:t>Concurrency</w:t>
            </w:r>
          </w:p>
        </w:tc>
        <w:tc>
          <w:tcPr>
            <w:tcW w:type="dxa" w:w="9072"/>
            <w:vAlign w:val="top"/>
            <w:tcMar>
              <w:top w:w="60" w:type="dxa"/>
              <w:start w:w="70" w:type="dxa"/>
              <w:bottom w:w="60" w:type="dxa"/>
              <w:end w:w="70" w:type="dxa"/>
            </w:tcMar>
          </w:tcPr>
          <w:p>
            <w:r>
              <w:rPr>
                <w:sz w:val="16"/>
              </w:rPr>
              <w:t>Two users reviewing same recommendation; repeated create-draft action; duplicate scheduled job; concurrent return attempts.</w:t>
            </w:r>
          </w:p>
        </w:tc>
      </w:tr>
      <w:tr>
        <w:tc>
          <w:tcPr>
            <w:tcW w:type="dxa" w:w="1872"/>
            <w:vAlign w:val="top"/>
            <w:tcMar>
              <w:top w:w="60" w:type="dxa"/>
              <w:start w:w="70" w:type="dxa"/>
              <w:bottom w:w="60" w:type="dxa"/>
              <w:end w:w="70" w:type="dxa"/>
            </w:tcMar>
          </w:tcPr>
          <w:p>
            <w:r>
              <w:rPr>
                <w:sz w:val="16"/>
              </w:rPr>
              <w:t>Failure</w:t>
            </w:r>
          </w:p>
        </w:tc>
        <w:tc>
          <w:tcPr>
            <w:tcW w:type="dxa" w:w="9072"/>
            <w:vAlign w:val="top"/>
            <w:tcMar>
              <w:top w:w="60" w:type="dxa"/>
              <w:start w:w="70" w:type="dxa"/>
              <w:bottom w:w="60" w:type="dxa"/>
              <w:end w:w="70" w:type="dxa"/>
            </w:tcMar>
          </w:tcPr>
          <w:p>
            <w:r>
              <w:rPr>
                <w:sz w:val="16"/>
              </w:rPr>
              <w:t>Redis unavailable, Gemini unavailable/rate-limited, internet unavailable, malformed AI response, stale price, missing supplier lead time.</w:t>
            </w:r>
          </w:p>
        </w:tc>
      </w:tr>
      <w:tr>
        <w:tc>
          <w:tcPr>
            <w:tcW w:type="dxa" w:w="1872"/>
            <w:vAlign w:val="top"/>
            <w:tcMar>
              <w:top w:w="60" w:type="dxa"/>
              <w:start w:w="70" w:type="dxa"/>
              <w:bottom w:w="60" w:type="dxa"/>
              <w:end w:w="70" w:type="dxa"/>
            </w:tcMar>
          </w:tcPr>
          <w:p>
            <w:r>
              <w:rPr>
                <w:sz w:val="16"/>
              </w:rPr>
              <w:t>Regression</w:t>
            </w:r>
          </w:p>
        </w:tc>
        <w:tc>
          <w:tcPr>
            <w:tcW w:type="dxa" w:w="9072"/>
            <w:vAlign w:val="top"/>
            <w:tcMar>
              <w:top w:w="60" w:type="dxa"/>
              <w:start w:w="70" w:type="dxa"/>
              <w:bottom w:w="60" w:type="dxa"/>
              <w:end w:w="70" w:type="dxa"/>
            </w:tcMar>
          </w:tcPr>
          <w:p>
            <w:r>
              <w:rPr>
                <w:sz w:val="16"/>
              </w:rPr>
              <w:t>POS sale, cashier finalization, FEFO, inventory movement, return, cash reconciliation and FBR-ready invoice behavior remain unchanged.</w:t>
            </w:r>
          </w:p>
        </w:tc>
      </w:tr>
      <w:tr>
        <w:tc>
          <w:tcPr>
            <w:tcW w:type="dxa" w:w="1872"/>
            <w:vAlign w:val="top"/>
            <w:tcMar>
              <w:top w:w="60" w:type="dxa"/>
              <w:start w:w="70" w:type="dxa"/>
              <w:bottom w:w="60" w:type="dxa"/>
              <w:end w:w="70" w:type="dxa"/>
            </w:tcMar>
          </w:tcPr>
          <w:p>
            <w:r>
              <w:rPr>
                <w:sz w:val="16"/>
              </w:rPr>
              <w:t>E2E</w:t>
            </w:r>
          </w:p>
        </w:tc>
        <w:tc>
          <w:tcPr>
            <w:tcW w:type="dxa" w:w="9072"/>
            <w:vAlign w:val="top"/>
            <w:tcMar>
              <w:top w:w="60" w:type="dxa"/>
              <w:start w:w="70" w:type="dxa"/>
              <w:bottom w:w="60" w:type="dxa"/>
              <w:end w:w="70" w:type="dxa"/>
            </w:tcMar>
          </w:tcPr>
          <w:p>
            <w:r>
              <w:rPr>
                <w:sz w:val="16"/>
              </w:rPr>
              <w:t>Morning inventory review, reorder-to-draft-PO, QR return, budget calculator, owner assistant question.</w:t>
            </w:r>
          </w:p>
        </w:tc>
      </w:tr>
    </w:tbl>
    <w:p>
      <w:pPr>
        <w:spacing w:after="20"/>
      </w:pPr>
    </w:p>
    <w:p>
      <w:pPr>
        <w:pStyle w:val="Heading2"/>
      </w:pPr>
      <w:r>
        <w:t>18.1 Non-negotiable edge cases</w:t>
      </w:r>
    </w:p>
    <w:p>
      <w:pPr>
        <w:pStyle w:val="ListBullet"/>
      </w:pPr>
      <w:r>
        <w:t>Product has no sales history.</w:t>
      </w:r>
    </w:p>
    <w:p>
      <w:pPr>
        <w:pStyle w:val="ListBullet"/>
      </w:pPr>
      <w:r>
        <w:t>Product was out of stock for most of the forecast window.</w:t>
      </w:r>
    </w:p>
    <w:p>
      <w:pPr>
        <w:pStyle w:val="ListBullet"/>
      </w:pPr>
      <w:r>
        <w:t>Supplier has no lead-time history.</w:t>
      </w:r>
    </w:p>
    <w:p>
      <w:pPr>
        <w:pStyle w:val="ListBullet"/>
      </w:pPr>
      <w:r>
        <w:t>Supplier price uses a different pack unit than comparison base unit.</w:t>
      </w:r>
    </w:p>
    <w:p>
      <w:pPr>
        <w:pStyle w:val="ListBullet"/>
      </w:pPr>
      <w:r>
        <w:t>Bonus units make effective cost lower than invoice unit price.</w:t>
      </w:r>
    </w:p>
    <w:p>
      <w:pPr>
        <w:pStyle w:val="ListBullet"/>
      </w:pPr>
      <w:r>
        <w:t>Batch expires today; timezone/date boundary behavior is tested.</w:t>
      </w:r>
    </w:p>
    <w:p>
      <w:pPr>
        <w:pStyle w:val="ListBullet"/>
      </w:pPr>
      <w:r>
        <w:t>Expired batch exists but another valid batch is sellable.</w:t>
      </w:r>
    </w:p>
    <w:p>
      <w:pPr>
        <w:pStyle w:val="ListBullet"/>
      </w:pPr>
      <w:r>
        <w:t>Shelf recommendation target becomes inactive before approval.</w:t>
      </w:r>
    </w:p>
    <w:p>
      <w:pPr>
        <w:pStyle w:val="ListBullet"/>
      </w:pPr>
      <w:r>
        <w:t>Budget is below the cost of one complete regimen day.</w:t>
      </w:r>
    </w:p>
    <w:p>
      <w:pPr>
        <w:pStyle w:val="ListBullet"/>
      </w:pPr>
      <w:r>
        <w:t>Budget exactly equals a pack-rounded regimen cost.</w:t>
      </w:r>
    </w:p>
    <w:p>
      <w:pPr>
        <w:pStyle w:val="ListBullet"/>
      </w:pPr>
      <w:r>
        <w:t>Price changes between calculation and sale checkout.</w:t>
      </w:r>
    </w:p>
    <w:p>
      <w:pPr>
        <w:pStyle w:val="ListBullet"/>
      </w:pPr>
      <w:r>
        <w:t>Return QR scanned twice.</w:t>
      </w:r>
    </w:p>
    <w:p>
      <w:pPr>
        <w:pStyle w:val="ListBullet"/>
      </w:pPr>
      <w:r>
        <w:t>Partial return already exists.</w:t>
      </w:r>
    </w:p>
    <w:p>
      <w:pPr>
        <w:pStyle w:val="ListBullet"/>
      </w:pPr>
      <w:r>
        <w:t>Unauthorized employee guesses/scans a valid return token.</w:t>
      </w:r>
    </w:p>
    <w:p>
      <w:pPr>
        <w:pStyle w:val="ListBullet"/>
      </w:pPr>
      <w:r>
        <w:t>Gemini returns text that claims a number different from tool output; UI/data contract keeps deterministic values authoritative.</w:t>
      </w:r>
    </w:p>
    <w:p>
      <w:pPr>
        <w:pStyle w:val="Heading1"/>
      </w:pPr>
      <w:r>
        <w:t>19. Deployment and Low-Cost Hardware Guardrails</w:t>
      </w:r>
    </w:p>
    <w:p>
      <w:r>
        <w:t>Phase 2 must remain suitable for the same local-server architecture. Do not add Elasticsearch, Kafka, Kubernetes, a vector database, a separate analytics warehouse, or GPU-dependent inference. PostgreSQL indexes/materialized queries, the existing Redis/worker and the NestJS API are sufficient for this phase.</w:t>
      </w:r>
    </w:p>
    <w:p>
      <w:pPr>
        <w:pStyle w:val="ListBullet"/>
      </w:pPr>
      <w:r>
        <w:t>Keep analytics queries bounded and indexed; precompute only where measured response time requires it.</w:t>
      </w:r>
    </w:p>
    <w:p>
      <w:pPr>
        <w:pStyle w:val="ListBullet"/>
      </w:pPr>
      <w:r>
        <w:t>Run recommendation jobs off the request path in the existing worker.</w:t>
      </w:r>
    </w:p>
    <w:p>
      <w:pPr>
        <w:pStyle w:val="ListBullet"/>
      </w:pPr>
      <w:r>
        <w:t>Use modest job concurrency so background work does not starve POS/API CPU or PostgreSQL I/O.</w:t>
      </w:r>
    </w:p>
    <w:p>
      <w:pPr>
        <w:pStyle w:val="ListBullet"/>
      </w:pPr>
      <w:r>
        <w:t>Owner AI requires internet, but it is optional; all deterministic reports remain local.</w:t>
      </w:r>
    </w:p>
    <w:p>
      <w:pPr>
        <w:pStyle w:val="ListBullet"/>
      </w:pPr>
      <w:r>
        <w:t>Do not store large model artifacts on the pharmacy server.</w:t>
      </w:r>
    </w:p>
    <w:p>
      <w:pPr>
        <w:pStyle w:val="ListBullet"/>
      </w:pPr>
      <w:r>
        <w:t>Add database backup coverage for any new durable tables and verify restore.</w:t>
      </w:r>
    </w:p>
    <w:p>
      <w:pPr>
        <w:pStyle w:val="Heading1"/>
      </w:pPr>
      <w:r>
        <w:t>20. Mandatory Engineering Governance for Codex / Claude</w:t>
      </w:r>
    </w:p>
    <w:p>
      <w:pPr>
        <w:pStyle w:val="ListBullet"/>
      </w:pPr>
      <w:r>
        <w:t>Inspect first; never assume table names, folders or abstractions from this document.</w:t>
      </w:r>
    </w:p>
    <w:p>
      <w:pPr>
        <w:pStyle w:val="ListBullet"/>
      </w:pPr>
      <w:r>
        <w:t>Reuse existing domain services, DTOs, repository conventions and design system.</w:t>
      </w:r>
    </w:p>
    <w:p>
      <w:pPr>
        <w:pStyle w:val="ListBullet"/>
      </w:pPr>
      <w:r>
        <w:t>Keep each prompt bounded; do not implement the next prompt early.</w:t>
      </w:r>
    </w:p>
    <w:p>
      <w:pPr>
        <w:pStyle w:val="ListBullet"/>
      </w:pPr>
      <w:r>
        <w:t>Every schema change documents: primary key, foreign keys, unique constraints, indexes, nullability, delete/update behavior and migration rollback/forward-fix strategy.</w:t>
      </w:r>
    </w:p>
    <w:p>
      <w:pPr>
        <w:pStyle w:val="ListBullet"/>
      </w:pPr>
      <w:r>
        <w:t>Every endpoint documents: permission, input validation, transaction boundary, idempotency expectation, error codes and tests.</w:t>
      </w:r>
    </w:p>
    <w:p>
      <w:pPr>
        <w:pStyle w:val="ListBullet"/>
      </w:pPr>
      <w:r>
        <w:t>Never edit generated files manually.</w:t>
      </w:r>
    </w:p>
    <w:p>
      <w:pPr>
        <w:pStyle w:val="ListBullet"/>
      </w:pPr>
      <w:r>
        <w:t>Run formatting, type-check, lint, unit tests, integration tests and production build after each prompt where configured.</w:t>
      </w:r>
    </w:p>
    <w:p>
      <w:pPr>
        <w:pStyle w:val="ListBullet"/>
      </w:pPr>
      <w:r>
        <w:t>Update AGENTS.md / CLAUDE.md / CHANGELOG.md or the repository's equivalent governance files after each bounded implementation.</w:t>
      </w:r>
    </w:p>
    <w:p>
      <w:pPr>
        <w:pStyle w:val="ListBullet"/>
      </w:pPr>
      <w:r>
        <w:t>Record actual commands and actual results in the completion report; do not claim tests that were not run.</w:t>
      </w:r>
    </w:p>
    <w:p>
      <w:pPr>
        <w:pStyle w:val="ListBullet"/>
      </w:pPr>
      <w:r>
        <w:t>If the repository conflicts with this plan, stop the conflicting implementation, document the conflict and propose the smallest compatible correction.</w:t>
      </w:r>
    </w:p>
    <w:p>
      <w:pPr>
        <w:pStyle w:val="Heading1"/>
      </w:pPr>
      <w:r>
        <w:t>21. Sequential Implementation Prompt Book</w:t>
      </w:r>
    </w:p>
    <w:p>
      <w:r>
        <w:t>Execute one prompt at a time. Commit/review before proceeding. The exact branch naming can follow the repository convention. Each prompt starts by reading the previous prompt's completion report and current repository state.</w:t>
      </w:r>
    </w:p>
    <w:p>
      <w:pPr>
        <w:pStyle w:val="Heading2"/>
      </w:pPr>
      <w:r>
        <w:t>P2-01: Phase-2 Architecture Audit and Baseline Lock</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Architect / Senior Backend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Create a verified map of the implemented Phase-1 system and identify exactly where Phase-2 extensions belong, without changing runtime behavior.</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Read repository governance docs, architecture docs, data model, migrations, current RBAC, POS/inventory/purchase/return/FBR/dashboard modules, Docker configuration and tests.</w:t>
      </w:r>
    </w:p>
    <w:p>
      <w:pPr>
        <w:ind w:left="0" w:firstLine="0"/>
      </w:pPr>
      <w:r/>
      <w:r>
        <w:t>2. Map authoritative sources for sales demand, batch stock, purchase cost, supplier lead time, shelf location, return eligibility and owner metrics.</w:t>
      </w:r>
    </w:p>
    <w:p>
      <w:pPr>
        <w:ind w:left="0" w:firstLine="0"/>
      </w:pPr>
      <w:r/>
      <w:r>
        <w:t>3. Identify existing concepts that can be extended versus genuine schema gaps.</w:t>
      </w:r>
    </w:p>
    <w:p>
      <w:pPr>
        <w:ind w:left="0" w:firstLine="0"/>
      </w:pPr>
      <w:r/>
      <w:r>
        <w:t>4. Create/update a Phase-2 architecture decision record and module dependency map.</w:t>
      </w:r>
    </w:p>
    <w:p>
      <w:pPr>
        <w:ind w:left="0" w:firstLine="0"/>
      </w:pPr>
      <w:r/>
      <w:r>
        <w:t>5. Define performance baselines for the current owner dashboard and core POS endpoints before adding analytics.</w:t>
      </w:r>
    </w:p>
    <w:p>
      <w:pPr>
        <w:pStyle w:val="Heading3"/>
      </w:pPr>
      <w:r>
        <w:t>Critical architecture / safety rules</w:t>
      </w:r>
    </w:p>
    <w:p>
      <w:pPr>
        <w:pStyle w:val="ListBullet"/>
      </w:pPr>
      <w:r>
        <w:t>No production schema/runtime feature changes in this prompt unless required only to fix broken documentation metadata.</w:t>
      </w:r>
    </w:p>
    <w:p>
      <w:pPr>
        <w:pStyle w:val="ListBullet"/>
      </w:pPr>
      <w:r>
        <w:t>Do not rename working modules merely to match this document.</w:t>
      </w:r>
    </w:p>
    <w:p>
      <w:pPr>
        <w:pStyle w:val="ListBullet"/>
      </w:pPr>
      <w:r>
        <w:t>Do not proceed if core Phase-1 tests are red; report the blockers.</w:t>
      </w:r>
    </w:p>
    <w:p>
      <w:pPr>
        <w:pStyle w:val="Heading3"/>
      </w:pPr>
      <w:r>
        <w:t>Required verification and acceptance</w:t>
      </w:r>
    </w:p>
    <w:p>
      <w:pPr>
        <w:pStyle w:val="ListBullet"/>
      </w:pPr>
      <w:r>
        <w:t>Architecture map is repository-specific, not generic.</w:t>
      </w:r>
    </w:p>
    <w:p>
      <w:pPr>
        <w:pStyle w:val="ListBullet"/>
      </w:pPr>
      <w:r>
        <w:t>All Phase-2 data sources and permission boundaries are identified.</w:t>
      </w:r>
    </w:p>
    <w:p>
      <w:pPr>
        <w:pStyle w:val="ListBullet"/>
      </w:pPr>
      <w:r>
        <w:t>A baseline test/build report is attached.</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P2-01. Return the completion report for review/commit before the next prompt.</w:t>
      </w:r>
    </w:p>
    <w:p/>
    <w:p>
      <w:pPr>
        <w:pStyle w:val="Heading2"/>
      </w:pPr>
      <w:r>
        <w:t>P2-02: Storage Constraints and Shelf Intelligence Foundation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Backend / Data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Add the minimum domain support required for safe shelf optimization while preserving current shelf lookup.</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Inspect existing location tables and product/batch storage attributes.</w:t>
      </w:r>
    </w:p>
    <w:p>
      <w:pPr>
        <w:ind w:left="0" w:firstLine="0"/>
      </w:pPr>
      <w:r/>
      <w:r>
        <w:t>2. Add only missing storage/security eligibility metadata and location convenience rank/priority.</w:t>
      </w:r>
    </w:p>
    <w:p>
      <w:pPr>
        <w:ind w:left="0" w:firstLine="0"/>
      </w:pPr>
      <w:r/>
      <w:r>
        <w:t>3. Implement validation that prevents incompatible product-location assignments.</w:t>
      </w:r>
    </w:p>
    <w:p>
      <w:pPr>
        <w:ind w:left="0" w:firstLine="0"/>
      </w:pPr>
      <w:r/>
      <w:r>
        <w:t>4. Add migration/tests/indexes only where required by actual query paths.</w:t>
      </w:r>
    </w:p>
    <w:p>
      <w:pPr>
        <w:ind w:left="0" w:firstLine="0"/>
      </w:pPr>
      <w:r/>
      <w:r>
        <w:t>5. Expose authorized read/write services for shelf/location configuration.</w:t>
      </w:r>
    </w:p>
    <w:p>
      <w:pPr>
        <w:pStyle w:val="Heading3"/>
      </w:pPr>
      <w:r>
        <w:t>Critical architecture / safety rules</w:t>
      </w:r>
    </w:p>
    <w:p>
      <w:pPr>
        <w:pStyle w:val="ListBullet"/>
      </w:pPr>
      <w:r>
        <w:t>Do not introduce a full warehouse-management system.</w:t>
      </w:r>
    </w:p>
    <w:p>
      <w:pPr>
        <w:pStyle w:val="ListBullet"/>
      </w:pPr>
      <w:r>
        <w:t>Do not model exact physical distance unless the pharmacy already captures it reliably.</w:t>
      </w:r>
    </w:p>
    <w:p>
      <w:pPr>
        <w:pStyle w:val="ListBullet"/>
      </w:pPr>
      <w:r>
        <w:t>Do not let convenience ranking override storage/security restrictions.</w:t>
      </w:r>
    </w:p>
    <w:p>
      <w:pPr>
        <w:pStyle w:val="Heading3"/>
      </w:pPr>
      <w:r>
        <w:t>Required verification and acceptance</w:t>
      </w:r>
    </w:p>
    <w:p>
      <w:pPr>
        <w:pStyle w:val="ListBullet"/>
      </w:pPr>
      <w:r>
        <w:t>Existing shelf lookup still works.</w:t>
      </w:r>
    </w:p>
    <w:p>
      <w:pPr>
        <w:pStyle w:val="ListBullet"/>
      </w:pPr>
      <w:r>
        <w:t>Incompatible assignments are rejected server-side.</w:t>
      </w:r>
    </w:p>
    <w:p>
      <w:pPr>
        <w:pStyle w:val="ListBullet"/>
      </w:pPr>
      <w:r>
        <w:t>RBAC tests cover shelf configuration.</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P2-02. Return the completion report for review/commit before the next prompt.</w:t>
      </w:r>
    </w:p>
    <w:p/>
    <w:p>
      <w:pPr>
        <w:pStyle w:val="Heading2"/>
      </w:pPr>
      <w:r>
        <w:t>P2-03: Shelf Optimization Engine and Review UI</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Backend + Frontend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Generate explainable shelf placement recommendations from real demand and route them through an authorized review workflow.</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Implement tested demand scoring/ABC classification using fulfilled sales.</w:t>
      </w:r>
    </w:p>
    <w:p>
      <w:pPr>
        <w:ind w:left="0" w:firstLine="0"/>
      </w:pPr>
      <w:r/>
      <w:r>
        <w:t>2. Filter target locations by storage/security eligibility.</w:t>
      </w:r>
    </w:p>
    <w:p>
      <w:pPr>
        <w:ind w:left="0" w:firstLine="0"/>
      </w:pPr>
      <w:r/>
      <w:r>
        <w:t>3. Persist recommendation reason snapshots and status if required for review/audit.</w:t>
      </w:r>
    </w:p>
    <w:p>
      <w:pPr>
        <w:ind w:left="0" w:firstLine="0"/>
      </w:pPr>
      <w:r/>
      <w:r>
        <w:t>4. Build inventory-manager recommendation list/detail with Apply/Dismiss actions.</w:t>
      </w:r>
    </w:p>
    <w:p>
      <w:pPr>
        <w:ind w:left="0" w:firstLine="0"/>
      </w:pPr>
      <w:r/>
      <w:r>
        <w:t>5. Applying a recommendation must use the existing location movement/update service rather than direct table mutation.</w:t>
      </w:r>
    </w:p>
    <w:p>
      <w:pPr>
        <w:ind w:left="0" w:firstLine="0"/>
      </w:pPr>
      <w:r/>
      <w:r>
        <w:t>6. Add low-confidence behavior for insufficient history.</w:t>
      </w:r>
    </w:p>
    <w:p>
      <w:pPr>
        <w:pStyle w:val="Heading3"/>
      </w:pPr>
      <w:r>
        <w:t>Critical architecture / safety rules</w:t>
      </w:r>
    </w:p>
    <w:p>
      <w:pPr>
        <w:pStyle w:val="ListBullet"/>
      </w:pPr>
      <w:r>
        <w:t>No AI/LLM in shelf scoring.</w:t>
      </w:r>
    </w:p>
    <w:p>
      <w:pPr>
        <w:pStyle w:val="ListBullet"/>
      </w:pPr>
      <w:r>
        <w:t>No automatic movement.</w:t>
      </w:r>
    </w:p>
    <w:p>
      <w:pPr>
        <w:pStyle w:val="ListBullet"/>
      </w:pPr>
      <w:r>
        <w:t>No recommendation to an incompatible or inactive location.</w:t>
      </w:r>
    </w:p>
    <w:p>
      <w:pPr>
        <w:pStyle w:val="Heading3"/>
      </w:pPr>
      <w:r>
        <w:t>Required verification and acceptance</w:t>
      </w:r>
    </w:p>
    <w:p>
      <w:pPr>
        <w:pStyle w:val="ListBullet"/>
      </w:pPr>
      <w:r>
        <w:t>Recommendation is reproducible from saved inputs.</w:t>
      </w:r>
    </w:p>
    <w:p>
      <w:pPr>
        <w:pStyle w:val="ListBullet"/>
      </w:pPr>
      <w:r>
        <w:t>Concurrent review is handled safely.</w:t>
      </w:r>
    </w:p>
    <w:p>
      <w:pPr>
        <w:pStyle w:val="ListBullet"/>
      </w:pPr>
      <w:r>
        <w:t>Applied/dismissed actions are audited.</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P2-03. Return the completion report for review/commit before the next prompt.</w:t>
      </w:r>
    </w:p>
    <w:p/>
    <w:p>
      <w:pPr>
        <w:pStyle w:val="Heading2"/>
      </w:pPr>
      <w:r>
        <w:t>P2-04: Expiry Risk and Loss-Prevention Work Queue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Inventory Backend + Frontend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Add actionable expiry-risk visibility and a durable work queue where human actions need tracking.</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Implement configurable expiry buckets and value-at-risk calculation.</w:t>
      </w:r>
    </w:p>
    <w:p>
      <w:pPr>
        <w:ind w:left="0" w:firstLine="0"/>
      </w:pPr>
      <w:r/>
      <w:r>
        <w:t>2. Create the daily idempotent refresh/query path.</w:t>
      </w:r>
    </w:p>
    <w:p>
      <w:pPr>
        <w:ind w:left="0" w:firstLine="0"/>
      </w:pPr>
      <w:r/>
      <w:r>
        <w:t>3. Integrate FEFO status and identify when reorder should be suppressed because sufficient near-expiry stock exists.</w:t>
      </w:r>
    </w:p>
    <w:p>
      <w:pPr>
        <w:ind w:left="0" w:firstLine="0"/>
      </w:pPr>
      <w:r/>
      <w:r>
        <w:t>4. Build inventory/owner views for expired, 0-30, 31-60 and 61-90 day risk.</w:t>
      </w:r>
    </w:p>
    <w:p>
      <w:pPr>
        <w:ind w:left="0" w:firstLine="0"/>
      </w:pPr>
      <w:r/>
      <w:r>
        <w:t>5. Add action recording such as reviewed, supplier-return candidate, quarantined or resolved, reusing existing disposition concepts.</w:t>
      </w:r>
    </w:p>
    <w:p>
      <w:pPr>
        <w:pStyle w:val="Heading3"/>
      </w:pPr>
      <w:r>
        <w:t>Critical architecture / safety rules</w:t>
      </w:r>
    </w:p>
    <w:p>
      <w:pPr>
        <w:pStyle w:val="ListBullet"/>
      </w:pPr>
      <w:r>
        <w:t>Do not change dispensing rules or force sale of near-expiry product.</w:t>
      </w:r>
    </w:p>
    <w:p>
      <w:pPr>
        <w:pStyle w:val="ListBullet"/>
      </w:pPr>
      <w:r>
        <w:t>Expired stock must remain blocked from sale.</w:t>
      </w:r>
    </w:p>
    <w:p>
      <w:pPr>
        <w:pStyle w:val="ListBullet"/>
      </w:pPr>
      <w:r>
        <w:t>Do not use selling price as inventory loss value unless explicitly labeled.</w:t>
      </w:r>
    </w:p>
    <w:p>
      <w:pPr>
        <w:pStyle w:val="Heading3"/>
      </w:pPr>
      <w:r>
        <w:t>Required verification and acceptance</w:t>
      </w:r>
    </w:p>
    <w:p>
      <w:pPr>
        <w:pStyle w:val="ListBullet"/>
      </w:pPr>
      <w:r>
        <w:t>Date/time boundary tests pass in Asia/Karachi display context.</w:t>
      </w:r>
    </w:p>
    <w:p>
      <w:pPr>
        <w:pStyle w:val="ListBullet"/>
      </w:pPr>
      <w:r>
        <w:t>Expired and near-expiry batches are correctly separated.</w:t>
      </w:r>
    </w:p>
    <w:p>
      <w:pPr>
        <w:pStyle w:val="ListBullet"/>
      </w:pPr>
      <w:r>
        <w:t>Jobs are idempotent and observable.</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P2-04. Return the completion report for review/commit before the next prompt.</w:t>
      </w:r>
    </w:p>
    <w:p/>
    <w:p>
      <w:pPr>
        <w:pStyle w:val="Heading2"/>
      </w:pPr>
      <w:r>
        <w:t>P2-05: Supplier Price History and Comparison</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Procurement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Provide normalized, explainable supplier price intelligence using purchase receipts as the historical source of truth.</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Derive paid historical cost from existing purchase/receipt data.</w:t>
      </w:r>
    </w:p>
    <w:p>
      <w:pPr>
        <w:ind w:left="0" w:firstLine="0"/>
      </w:pPr>
      <w:r/>
      <w:r>
        <w:t>2. Implement base-unit normalization across box/strip/tablet or existing unit model.</w:t>
      </w:r>
    </w:p>
    <w:p>
      <w:pPr>
        <w:ind w:left="0" w:firstLine="0"/>
      </w:pPr>
      <w:r/>
      <w:r>
        <w:t>3. Account for discounts and captured bonus units when computing effective unit cost.</w:t>
      </w:r>
    </w:p>
    <w:p>
      <w:pPr>
        <w:ind w:left="0" w:firstLine="0"/>
      </w:pPr>
      <w:r/>
      <w:r>
        <w:t>4. Add a supplier quote entity only if current quotes cannot be represented by existing purchase data.</w:t>
      </w:r>
    </w:p>
    <w:p>
      <w:pPr>
        <w:ind w:left="0" w:firstLine="0"/>
      </w:pPr>
      <w:r/>
      <w:r>
        <w:t>5. Build product-level supplier comparison and supplier/product history views.</w:t>
      </w:r>
    </w:p>
    <w:p>
      <w:pPr>
        <w:ind w:left="0" w:firstLine="0"/>
      </w:pPr>
      <w:r/>
      <w:r>
        <w:t>6. Add permission and audit coverage.</w:t>
      </w:r>
    </w:p>
    <w:p>
      <w:pPr>
        <w:pStyle w:val="Heading3"/>
      </w:pPr>
      <w:r>
        <w:t>Critical architecture / safety rules</w:t>
      </w:r>
    </w:p>
    <w:p>
      <w:pPr>
        <w:pStyle w:val="ListBullet"/>
      </w:pPr>
      <w:r>
        <w:t>Do not create duplicate historical purchase records.</w:t>
      </w:r>
    </w:p>
    <w:p>
      <w:pPr>
        <w:pStyle w:val="ListBullet"/>
      </w:pPr>
      <w:r>
        <w:t>Do not automatically select the cheapest supplier as the purchase decision.</w:t>
      </w:r>
    </w:p>
    <w:p>
      <w:pPr>
        <w:pStyle w:val="ListBullet"/>
      </w:pPr>
      <w:r>
        <w:t>Do not compare prices across incompatible unit conversions.</w:t>
      </w:r>
    </w:p>
    <w:p>
      <w:pPr>
        <w:pStyle w:val="Heading3"/>
      </w:pPr>
      <w:r>
        <w:t>Required verification and acceptance</w:t>
      </w:r>
    </w:p>
    <w:p>
      <w:pPr>
        <w:pStyle w:val="ListBullet"/>
      </w:pPr>
      <w:r>
        <w:t>Normalized price math has unit tests.</w:t>
      </w:r>
    </w:p>
    <w:p>
      <w:pPr>
        <w:pStyle w:val="ListBullet"/>
      </w:pPr>
      <w:r>
        <w:t>Historical values reconcile with purchase receipts.</w:t>
      </w:r>
    </w:p>
    <w:p>
      <w:pPr>
        <w:pStyle w:val="ListBullet"/>
      </w:pPr>
      <w:r>
        <w:t>UI clearly distinguishes paid historical cost from current quote.</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P2-05. Return the completion report for review/commit before the next prompt.</w:t>
      </w:r>
    </w:p>
    <w:p/>
    <w:p>
      <w:pPr>
        <w:pStyle w:val="Heading2"/>
      </w:pPr>
      <w:r>
        <w:t>P2-06: Reorder and Purchase Forecasting v2</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Backend / Analytics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Upgrade existing reorder suggestions to an explainable demand/lead-time/safety-stock model and create draft purchase actions.</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Implement demand window, stockout-day awareness, lead-time fallback/observed lead time, safety stock, coverage target, MOQ and order-multiple rounding.</w:t>
      </w:r>
    </w:p>
    <w:p>
      <w:pPr>
        <w:ind w:left="0" w:firstLine="0"/>
      </w:pPr>
      <w:r/>
      <w:r>
        <w:t>2. Attach confidence and complete reasoning inputs to each suggestion.</w:t>
      </w:r>
    </w:p>
    <w:p>
      <w:pPr>
        <w:ind w:left="0" w:firstLine="0"/>
      </w:pPr>
      <w:r/>
      <w:r>
        <w:t>3. Make scheduled generation idempotent and supersede stale recommendations.</w:t>
      </w:r>
    </w:p>
    <w:p>
      <w:pPr>
        <w:ind w:left="0" w:firstLine="0"/>
      </w:pPr>
      <w:r/>
      <w:r>
        <w:t>4. Integrate expiry-risk suppression/flagging where ordering more stock would increase expiry risk.</w:t>
      </w:r>
    </w:p>
    <w:p>
      <w:pPr>
        <w:ind w:left="0" w:firstLine="0"/>
      </w:pPr>
      <w:r/>
      <w:r>
        <w:t>5. Allow authorized user to convert a suggestion into a DRAFT purchase order using the existing procurement module.</w:t>
      </w:r>
    </w:p>
    <w:p>
      <w:pPr>
        <w:pStyle w:val="Heading3"/>
      </w:pPr>
      <w:r>
        <w:t>Critical architecture / safety rules</w:t>
      </w:r>
    </w:p>
    <w:p>
      <w:pPr>
        <w:pStyle w:val="ListBullet"/>
      </w:pPr>
      <w:r>
        <w:t>No ML model in this prompt.</w:t>
      </w:r>
    </w:p>
    <w:p>
      <w:pPr>
        <w:pStyle w:val="ListBullet"/>
      </w:pPr>
      <w:r>
        <w:t>No automatic supplier order transmission.</w:t>
      </w:r>
    </w:p>
    <w:p>
      <w:pPr>
        <w:pStyle w:val="ListBullet"/>
      </w:pPr>
      <w:r>
        <w:t>No silent override of an existing human-edited draft PO.</w:t>
      </w:r>
    </w:p>
    <w:p>
      <w:pPr>
        <w:pStyle w:val="Heading3"/>
      </w:pPr>
      <w:r>
        <w:t>Required verification and acceptance</w:t>
      </w:r>
    </w:p>
    <w:p>
      <w:pPr>
        <w:pStyle w:val="ListBullet"/>
      </w:pPr>
      <w:r>
        <w:t>Forecast calculations are deterministic and tested.</w:t>
      </w:r>
    </w:p>
    <w:p>
      <w:pPr>
        <w:pStyle w:val="ListBullet"/>
      </w:pPr>
      <w:r>
        <w:t>Stockout history reduces confidence rather than silently pretending demand was low.</w:t>
      </w:r>
    </w:p>
    <w:p>
      <w:pPr>
        <w:pStyle w:val="ListBullet"/>
      </w:pPr>
      <w:r>
        <w:t>Draft PO creation is idempotent/duplicate-safe.</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P2-06. Return the completion report for review/commit before the next prompt.</w:t>
      </w:r>
    </w:p>
    <w:p/>
    <w:p>
      <w:pPr>
        <w:pStyle w:val="Heading2"/>
      </w:pPr>
      <w:r>
        <w:t>P2-07: Budget-Based Complete-Regimen Calculator</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Backend + POS UX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Implement a safe PKR affordability calculator that maximizes complete regimen duration under a customer budget without altering therapy.</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Reuse the existing medicine unit/pack conversion engine.</w:t>
      </w:r>
    </w:p>
    <w:p>
      <w:pPr>
        <w:ind w:left="0" w:firstLine="0"/>
      </w:pPr>
      <w:r/>
      <w:r>
        <w:t>2. Implement deterministic maximum-complete-days calculation including minimum sale increments and pack rounding.</w:t>
      </w:r>
    </w:p>
    <w:p>
      <w:pPr>
        <w:ind w:left="0" w:firstLine="0"/>
      </w:pPr>
      <w:r/>
      <w:r>
        <w:t>3. Require/record pharmacist verification where policy requires it.</w:t>
      </w:r>
    </w:p>
    <w:p>
      <w:pPr>
        <w:ind w:left="0" w:firstLine="0"/>
      </w:pPr>
      <w:r/>
      <w:r>
        <w:t>4. Integrate as a POS-side helper that does not reserve stock until normal sale flow begins.</w:t>
      </w:r>
    </w:p>
    <w:p>
      <w:pPr>
        <w:ind w:left="0" w:firstLine="0"/>
      </w:pPr>
      <w:r/>
      <w:r>
        <w:t>5. Recalculate when current price/availability changes before checkout.</w:t>
      </w:r>
    </w:p>
    <w:p>
      <w:pPr>
        <w:ind w:left="0" w:firstLine="0"/>
      </w:pPr>
      <w:r/>
      <w:r>
        <w:t>6. Add clear safety messaging and audit only if the existing product requirements call for persistence.</w:t>
      </w:r>
    </w:p>
    <w:p>
      <w:pPr>
        <w:pStyle w:val="Heading3"/>
      </w:pPr>
      <w:r>
        <w:t>Critical architecture / safety rules</w:t>
      </w:r>
    </w:p>
    <w:p>
      <w:pPr>
        <w:pStyle w:val="ListBullet"/>
      </w:pPr>
      <w:r>
        <w:t>No diagnosis, dosing advice or automatic substitution.</w:t>
      </w:r>
    </w:p>
    <w:p>
      <w:pPr>
        <w:pStyle w:val="ListBullet"/>
      </w:pPr>
      <w:r>
        <w:t>No LLM.</w:t>
      </w:r>
    </w:p>
    <w:p>
      <w:pPr>
        <w:pStyle w:val="ListBullet"/>
      </w:pPr>
      <w:r>
        <w:t>Never present partial dosing as a budget solution.</w:t>
      </w:r>
    </w:p>
    <w:p>
      <w:pPr>
        <w:pStyle w:val="Heading3"/>
      </w:pPr>
      <w:r>
        <w:t>Required verification and acceptance</w:t>
      </w:r>
    </w:p>
    <w:p>
      <w:pPr>
        <w:pStyle w:val="ListBullet"/>
      </w:pPr>
      <w:r>
        <w:t>Exact-budget, below-one-day, pack-rounding and multi-medicine tests pass.</w:t>
      </w:r>
    </w:p>
    <w:p>
      <w:pPr>
        <w:pStyle w:val="ListBullet"/>
      </w:pPr>
      <w:r>
        <w:t>Money arithmetic uses Decimal/NUMERIC.</w:t>
      </w:r>
    </w:p>
    <w:p>
      <w:pPr>
        <w:pStyle w:val="ListBullet"/>
      </w:pPr>
      <w:r>
        <w:t>Existing checkout remains authoritative.</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P2-07. Return the completion report for review/commit before the next prompt.</w:t>
      </w:r>
    </w:p>
    <w:p/>
    <w:p>
      <w:pPr>
        <w:pStyle w:val="Heading2"/>
      </w:pPr>
      <w:r>
        <w:t>P2-08: Receipt QR and Return Lookup Hardening</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Backend + POS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Add privacy-preserving QR receipt lookup on top of the existing linked-return workflow.</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Inspect existing invoice public IDs and receipt rendering.</w:t>
      </w:r>
    </w:p>
    <w:p>
      <w:pPr>
        <w:ind w:left="0" w:firstLine="0"/>
      </w:pPr>
      <w:r/>
      <w:r>
        <w:t>2. Add an opaque random return lookup identifier only if current IDs are guessable/sequential.</w:t>
      </w:r>
    </w:p>
    <w:p>
      <w:pPr>
        <w:ind w:left="0" w:firstLine="0"/>
      </w:pPr>
      <w:r/>
      <w:r>
        <w:t>3. Render the QR without customer/medicine/payment PII in the payload.</w:t>
      </w:r>
    </w:p>
    <w:p>
      <w:pPr>
        <w:ind w:left="0" w:firstLine="0"/>
      </w:pPr>
      <w:r/>
      <w:r>
        <w:t>4. Implement authenticated, RBAC-protected lookup and fast scan UX.</w:t>
      </w:r>
    </w:p>
    <w:p>
      <w:pPr>
        <w:ind w:left="0" w:firstLine="0"/>
      </w:pPr>
      <w:r/>
      <w:r>
        <w:t>5. Reuse existing return eligibility, partial-return, approval, refund and stock-disposition logic.</w:t>
      </w:r>
    </w:p>
    <w:p>
      <w:pPr>
        <w:ind w:left="0" w:firstLine="0"/>
      </w:pPr>
      <w:r/>
      <w:r>
        <w:t>6. Ensure linkage to existing FBR return/debit-note path where the current module supports it.</w:t>
      </w:r>
    </w:p>
    <w:p>
      <w:pPr>
        <w:pStyle w:val="Heading3"/>
      </w:pPr>
      <w:r>
        <w:t>Critical architecture / safety rules</w:t>
      </w:r>
    </w:p>
    <w:p>
      <w:pPr>
        <w:pStyle w:val="ListBullet"/>
      </w:pPr>
      <w:r>
        <w:t>No anonymous invoice detail endpoint.</w:t>
      </w:r>
    </w:p>
    <w:p>
      <w:pPr>
        <w:pStyle w:val="ListBullet"/>
      </w:pPr>
      <w:r>
        <w:t>No destructive original-sale mutation.</w:t>
      </w:r>
    </w:p>
    <w:p>
      <w:pPr>
        <w:pStyle w:val="ListBullet"/>
      </w:pPr>
      <w:r>
        <w:t>No duplicate refund from repeated scan/retry.</w:t>
      </w:r>
    </w:p>
    <w:p>
      <w:pPr>
        <w:pStyle w:val="Heading3"/>
      </w:pPr>
      <w:r>
        <w:t>Required verification and acceptance</w:t>
      </w:r>
    </w:p>
    <w:p>
      <w:pPr>
        <w:pStyle w:val="ListBullet"/>
      </w:pPr>
      <w:r>
        <w:t>Repeated scan is harmless.</w:t>
      </w:r>
    </w:p>
    <w:p>
      <w:pPr>
        <w:pStyle w:val="ListBullet"/>
      </w:pPr>
      <w:r>
        <w:t>Unauthorized access is denied.</w:t>
      </w:r>
    </w:p>
    <w:p>
      <w:pPr>
        <w:pStyle w:val="ListBullet"/>
      </w:pPr>
      <w:r>
        <w:t>Partial-return arithmetic cannot exceed original eligible quantity.</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P2-08. Return the completion report for review/commit before the next prompt.</w:t>
      </w:r>
    </w:p>
    <w:p/>
    <w:p>
      <w:pPr>
        <w:pStyle w:val="Heading2"/>
      </w:pPr>
      <w:r>
        <w:t>P2-09: Owner AI Assistant - Backend, Tools and Provider Boundary</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AI / Backend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Create a read-only owner assistant that can only access whitelisted operational tools and sanitized data.</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Create/reuse an AIProvider interface and Gemini provider behind server-side configuration.</w:t>
      </w:r>
    </w:p>
    <w:p>
      <w:pPr>
        <w:ind w:left="0" w:firstLine="0"/>
      </w:pPr>
      <w:r/>
      <w:r>
        <w:t>2. Implement the approved read-only tools through existing domain/reporting services.</w:t>
      </w:r>
    </w:p>
    <w:p>
      <w:pPr>
        <w:ind w:left="0" w:firstLine="0"/>
      </w:pPr>
      <w:r/>
      <w:r>
        <w:t>3. Validate every tool argument and re-check RBAC at execution time.</w:t>
      </w:r>
    </w:p>
    <w:p>
      <w:pPr>
        <w:ind w:left="0" w:firstLine="0"/>
      </w:pPr>
      <w:r/>
      <w:r>
        <w:t>4. Add prompt/tool-call limits, timeouts, provider error handling and audit metadata.</w:t>
      </w:r>
    </w:p>
    <w:p>
      <w:pPr>
        <w:ind w:left="0" w:firstLine="0"/>
      </w:pPr>
      <w:r/>
      <w:r>
        <w:t>5. Sanitize outputs before sending to the provider; exclude customer-identifiable prescription/health data.</w:t>
      </w:r>
    </w:p>
    <w:p>
      <w:pPr>
        <w:ind w:left="0" w:firstLine="0"/>
      </w:pPr>
      <w:r/>
      <w:r>
        <w:t>6. Create provider-independent tests with mocked model responses.</w:t>
      </w:r>
    </w:p>
    <w:p>
      <w:pPr>
        <w:pStyle w:val="Heading3"/>
      </w:pPr>
      <w:r>
        <w:t>Critical architecture / safety rules</w:t>
      </w:r>
    </w:p>
    <w:p>
      <w:pPr>
        <w:pStyle w:val="ListBullet"/>
      </w:pPr>
      <w:r>
        <w:t>No arbitrary SQL.</w:t>
      </w:r>
    </w:p>
    <w:p>
      <w:pPr>
        <w:pStyle w:val="ListBullet"/>
      </w:pPr>
      <w:r>
        <w:t>No write tools.</w:t>
      </w:r>
    </w:p>
    <w:p>
      <w:pPr>
        <w:pStyle w:val="ListBullet"/>
      </w:pPr>
      <w:r>
        <w:t>No API key in frontend/logs/database.</w:t>
      </w:r>
    </w:p>
    <w:p>
      <w:pPr>
        <w:pStyle w:val="ListBullet"/>
      </w:pPr>
      <w:r>
        <w:t>No dependency from POS or checkout to AI availability.</w:t>
      </w:r>
    </w:p>
    <w:p>
      <w:pPr>
        <w:pStyle w:val="ListBullet"/>
      </w:pPr>
      <w:r>
        <w:t>Do not hard-code a deprecated Gemini model in business logic.</w:t>
      </w:r>
    </w:p>
    <w:p>
      <w:pPr>
        <w:pStyle w:val="Heading3"/>
      </w:pPr>
      <w:r>
        <w:t>Required verification and acceptance</w:t>
      </w:r>
    </w:p>
    <w:p>
      <w:pPr>
        <w:pStyle w:val="ListBullet"/>
      </w:pPr>
      <w:r>
        <w:t>Provider can be disabled without breaking the app.</w:t>
      </w:r>
    </w:p>
    <w:p>
      <w:pPr>
        <w:pStyle w:val="ListBullet"/>
      </w:pPr>
      <w:r>
        <w:t>Tool authorization tests pass.</w:t>
      </w:r>
    </w:p>
    <w:p>
      <w:pPr>
        <w:pStyle w:val="ListBullet"/>
      </w:pPr>
      <w:r>
        <w:t>Malformed/provider-failed responses fail closed without fabricated data.</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P2-09. Return the completion report for review/commit before the next prompt.</w:t>
      </w:r>
    </w:p>
    <w:p/>
    <w:p>
      <w:pPr>
        <w:pStyle w:val="Heading2"/>
      </w:pPr>
      <w:r>
        <w:t>P2-10: Owner AI Assistant - UX and Operational Explanations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Frontend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Build the owner-facing assistant experience with clear separation between deterministic business facts and AI-generated explanation.</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Add suggested questions tied to approved tools.</w:t>
      </w:r>
    </w:p>
    <w:p>
      <w:pPr>
        <w:ind w:left="0" w:firstLine="0"/>
      </w:pPr>
      <w:r/>
      <w:r>
        <w:t>2. Show date range/data basis and links to underlying reports where practical.</w:t>
      </w:r>
    </w:p>
    <w:p>
      <w:pPr>
        <w:ind w:left="0" w:firstLine="0"/>
      </w:pPr>
      <w:r/>
      <w:r>
        <w:t>3. Represent loading, timeout, unavailable and rate-limit states.</w:t>
      </w:r>
    </w:p>
    <w:p>
      <w:pPr>
        <w:ind w:left="0" w:firstLine="0"/>
      </w:pPr>
      <w:r/>
      <w:r>
        <w:t>4. Ensure no chat component is exposed to unauthorized roles.</w:t>
      </w:r>
    </w:p>
    <w:p>
      <w:pPr>
        <w:ind w:left="0" w:firstLine="0"/>
      </w:pPr>
      <w:r/>
      <w:r>
        <w:t>5. Keep deterministic KPI/tool values visually authoritative when displayed alongside generated explanation.</w:t>
      </w:r>
    </w:p>
    <w:p>
      <w:pPr>
        <w:pStyle w:val="Heading3"/>
      </w:pPr>
      <w:r>
        <w:t>Critical architecture / safety rules</w:t>
      </w:r>
    </w:p>
    <w:p>
      <w:pPr>
        <w:pStyle w:val="ListBullet"/>
      </w:pPr>
      <w:r>
        <w:t>No generic medical chatbot positioning.</w:t>
      </w:r>
    </w:p>
    <w:p>
      <w:pPr>
        <w:pStyle w:val="ListBullet"/>
      </w:pPr>
      <w:r>
        <w:t>No HTML/script execution from model output.</w:t>
      </w:r>
    </w:p>
    <w:p>
      <w:pPr>
        <w:pStyle w:val="ListBullet"/>
      </w:pPr>
      <w:r>
        <w:t>No hidden automatic actions from chat.</w:t>
      </w:r>
    </w:p>
    <w:p>
      <w:pPr>
        <w:pStyle w:val="Heading3"/>
      </w:pPr>
      <w:r>
        <w:t>Required verification and acceptance</w:t>
      </w:r>
    </w:p>
    <w:p>
      <w:pPr>
        <w:pStyle w:val="ListBullet"/>
      </w:pPr>
      <w:r>
        <w:t>Owner-only default access is enforced.</w:t>
      </w:r>
    </w:p>
    <w:p>
      <w:pPr>
        <w:pStyle w:val="ListBullet"/>
      </w:pPr>
      <w:r>
        <w:t>Provider outage is graceful.</w:t>
      </w:r>
    </w:p>
    <w:p>
      <w:pPr>
        <w:pStyle w:val="ListBullet"/>
      </w:pPr>
      <w:r>
        <w:t>Assistant answers reconcile with tool responses in test fixtures.</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P2-10. Return the completion report for review/commit before the next prompt.</w:t>
      </w:r>
    </w:p>
    <w:p/>
    <w:p>
      <w:pPr>
        <w:pStyle w:val="Heading2"/>
      </w:pPr>
      <w:r>
        <w:t>P2-11: Phase-2 Integration Hardening, Performance and Release Gate</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E5E7EB"/>
            <w:tcMar>
              <w:top w:w="60" w:type="dxa"/>
              <w:start w:w="70" w:type="dxa"/>
              <w:bottom w:w="60" w:type="dxa"/>
              <w:end w:w="70" w:type="dxa"/>
            </w:tcMar>
          </w:tcPr>
          <w:p>
            <w:r>
              <w:rPr>
                <w:b/>
                <w:sz w:val="17"/>
              </w:rPr>
              <w:t>Field</w:t>
            </w:r>
          </w:p>
        </w:tc>
        <w:tc>
          <w:tcPr>
            <w:tcW w:type="dxa" w:w="8928"/>
            <w:vAlign w:val="center"/>
            <w:shd w:fill="E5E7EB"/>
            <w:tcMar>
              <w:top w:w="60" w:type="dxa"/>
              <w:start w:w="70" w:type="dxa"/>
              <w:bottom w:w="60" w:type="dxa"/>
              <w:end w:w="70" w:type="dxa"/>
            </w:tcMar>
          </w:tcPr>
          <w:p>
            <w:r>
              <w:rPr>
                <w:b/>
                <w:sz w:val="17"/>
              </w:rPr>
              <w:t>Requirement</w:t>
            </w:r>
          </w:p>
        </w:tc>
      </w:tr>
      <w:tr>
        <w:tc>
          <w:tcPr>
            <w:tcW w:type="dxa" w:w="1872"/>
            <w:vAlign w:val="top"/>
            <w:tcMar>
              <w:top w:w="60" w:type="dxa"/>
              <w:start w:w="70" w:type="dxa"/>
              <w:bottom w:w="60" w:type="dxa"/>
              <w:end w:w="70" w:type="dxa"/>
            </w:tcMar>
          </w:tcPr>
          <w:p>
            <w:r>
              <w:rPr>
                <w:sz w:val="16"/>
              </w:rPr>
              <w:t>Owner role</w:t>
            </w:r>
          </w:p>
        </w:tc>
        <w:tc>
          <w:tcPr>
            <w:tcW w:type="dxa" w:w="8928"/>
            <w:vAlign w:val="top"/>
            <w:tcMar>
              <w:top w:w="60" w:type="dxa"/>
              <w:start w:w="70" w:type="dxa"/>
              <w:bottom w:w="60" w:type="dxa"/>
              <w:end w:w="70" w:type="dxa"/>
            </w:tcMar>
          </w:tcPr>
          <w:p>
            <w:r>
              <w:rPr>
                <w:sz w:val="16"/>
              </w:rPr>
              <w:t>Architect / QA / Security Engineer</w:t>
            </w:r>
          </w:p>
        </w:tc>
      </w:tr>
      <w:tr>
        <w:tc>
          <w:tcPr>
            <w:tcW w:type="dxa" w:w="1872"/>
            <w:vAlign w:val="top"/>
            <w:tcMar>
              <w:top w:w="60" w:type="dxa"/>
              <w:start w:w="70" w:type="dxa"/>
              <w:bottom w:w="60" w:type="dxa"/>
              <w:end w:w="70" w:type="dxa"/>
            </w:tcMar>
          </w:tcPr>
          <w:p>
            <w:r>
              <w:rPr>
                <w:sz w:val="16"/>
              </w:rPr>
              <w:t>Dependencies</w:t>
            </w:r>
          </w:p>
        </w:tc>
        <w:tc>
          <w:tcPr>
            <w:tcW w:type="dxa" w:w="8928"/>
            <w:vAlign w:val="top"/>
            <w:tcMar>
              <w:top w:w="60" w:type="dxa"/>
              <w:start w:w="70" w:type="dxa"/>
              <w:bottom w:w="60" w:type="dxa"/>
              <w:end w:w="70" w:type="dxa"/>
            </w:tcMar>
          </w:tcPr>
          <w:p>
            <w:r>
              <w:rPr>
                <w:sz w:val="16"/>
              </w:rPr>
              <w:t>All previous Phase-2 prompts in sequence plus completed Phase 1</w:t>
            </w:r>
          </w:p>
        </w:tc>
      </w:tr>
      <w:tr>
        <w:tc>
          <w:tcPr>
            <w:tcW w:type="dxa" w:w="1872"/>
            <w:vAlign w:val="top"/>
            <w:tcMar>
              <w:top w:w="60" w:type="dxa"/>
              <w:start w:w="70" w:type="dxa"/>
              <w:bottom w:w="60" w:type="dxa"/>
              <w:end w:w="70" w:type="dxa"/>
            </w:tcMar>
          </w:tcPr>
          <w:p>
            <w:r>
              <w:rPr>
                <w:sz w:val="16"/>
              </w:rPr>
              <w:t>Execution gate</w:t>
            </w:r>
          </w:p>
        </w:tc>
        <w:tc>
          <w:tcPr>
            <w:tcW w:type="dxa" w:w="8928"/>
            <w:vAlign w:val="top"/>
            <w:tcMar>
              <w:top w:w="60" w:type="dxa"/>
              <w:start w:w="70" w:type="dxa"/>
              <w:bottom w:w="60" w:type="dxa"/>
              <w:end w:w="70" w:type="dxa"/>
            </w:tcMar>
          </w:tcPr>
          <w:p>
            <w:r>
              <w:rPr>
                <w:sz w:val="16"/>
              </w:rPr>
              <w:t>Run only after dependencies are merged/verified. Stop after this prompt.</w:t>
            </w:r>
          </w:p>
        </w:tc>
      </w:tr>
      <w:tr>
        <w:tc>
          <w:tcPr>
            <w:tcW w:type="dxa" w:w="1872"/>
            <w:vAlign w:val="top"/>
            <w:tcMar>
              <w:top w:w="60" w:type="dxa"/>
              <w:start w:w="70" w:type="dxa"/>
              <w:bottom w:w="60" w:type="dxa"/>
              <w:end w:w="70" w:type="dxa"/>
            </w:tcMar>
          </w:tcPr>
          <w:p>
            <w:r>
              <w:rPr>
                <w:sz w:val="16"/>
              </w:rPr>
              <w:t>Objective</w:t>
            </w:r>
          </w:p>
        </w:tc>
        <w:tc>
          <w:tcPr>
            <w:tcW w:type="dxa" w:w="8928"/>
            <w:vAlign w:val="top"/>
            <w:tcMar>
              <w:top w:w="60" w:type="dxa"/>
              <w:start w:w="70" w:type="dxa"/>
              <w:bottom w:w="60" w:type="dxa"/>
              <w:end w:w="70" w:type="dxa"/>
            </w:tcMar>
          </w:tcPr>
          <w:p>
            <w:r>
              <w:rPr>
                <w:sz w:val="16"/>
              </w:rPr>
              <w:t>Prove that Phase 2 improves the product without degrading the reliable pharmacy core.</w:t>
            </w:r>
          </w:p>
        </w:tc>
      </w:tr>
    </w:tbl>
    <w:p>
      <w:pPr>
        <w:spacing w:after="20"/>
      </w:pPr>
    </w:p>
    <w:p>
      <w:pPr>
        <w:pStyle w:val="Heading3"/>
      </w:pPr>
      <w:r>
        <w:t>Inspect first</w:t>
      </w:r>
    </w:p>
    <w:p>
      <w:pPr>
        <w:pStyle w:val="ListBullet"/>
      </w:pPr>
      <w:r>
        <w:t>Read AGENTS.md, CLAUDE.md, latest CHANGELOG/release notes, architecture/data-model docs and previous prompt completion report.</w:t>
      </w:r>
    </w:p>
    <w:p>
      <w:pPr>
        <w:pStyle w:val="ListBullet"/>
      </w:pPr>
      <w:r>
        <w:t>Inspect current migrations/schema, services, controllers, DTOs, guards/policies, frontend routes/components, tests and Docker/runtime configuration relevant to this prompt.</w:t>
      </w:r>
    </w:p>
    <w:p>
      <w:pPr>
        <w:pStyle w:val="ListBullet"/>
      </w:pPr>
      <w:r>
        <w:t>Identify reusable code and conflicts before adding new structures. Existing repository conventions take priority over speculative names in this document.</w:t>
      </w:r>
    </w:p>
    <w:p>
      <w:pPr>
        <w:pStyle w:val="Heading3"/>
      </w:pPr>
      <w:r>
        <w:t>Implement</w:t>
      </w:r>
    </w:p>
    <w:p>
      <w:pPr>
        <w:ind w:left="0" w:firstLine="0"/>
      </w:pPr>
      <w:r/>
      <w:r>
        <w:t>1. Run full schema reset/migrations and all tests.</w:t>
      </w:r>
    </w:p>
    <w:p>
      <w:pPr>
        <w:ind w:left="0" w:firstLine="0"/>
      </w:pPr>
      <w:r/>
      <w:r>
        <w:t>2. Run RBAC regression across all new endpoints.</w:t>
      </w:r>
    </w:p>
    <w:p>
      <w:pPr>
        <w:ind w:left="0" w:firstLine="0"/>
      </w:pPr>
      <w:r/>
      <w:r>
        <w:t>3. Test internet loss while POS/returns/inventory continue to work.</w:t>
      </w:r>
    </w:p>
    <w:p>
      <w:pPr>
        <w:ind w:left="0" w:firstLine="0"/>
      </w:pPr>
      <w:r/>
      <w:r>
        <w:t>4. Test Redis/worker recovery and idempotent job replay.</w:t>
      </w:r>
    </w:p>
    <w:p>
      <w:pPr>
        <w:ind w:left="0" w:firstLine="0"/>
      </w:pPr>
      <w:r/>
      <w:r>
        <w:t>5. Benchmark critical Phase-2 list/report queries on representative pharmacy data volume.</w:t>
      </w:r>
    </w:p>
    <w:p>
      <w:pPr>
        <w:ind w:left="0" w:firstLine="0"/>
      </w:pPr>
      <w:r/>
      <w:r>
        <w:t>6. Verify backup/restore includes new durable data.</w:t>
      </w:r>
    </w:p>
    <w:p>
      <w:pPr>
        <w:ind w:left="0" w:firstLine="0"/>
      </w:pPr>
      <w:r/>
      <w:r>
        <w:t>7. Review logs for secrets/PII leakage.</w:t>
      </w:r>
    </w:p>
    <w:p>
      <w:pPr>
        <w:ind w:left="0" w:firstLine="0"/>
      </w:pPr>
      <w:r/>
      <w:r>
        <w:t>8. Run production build and Docker Compose smoke test.</w:t>
      </w:r>
    </w:p>
    <w:p>
      <w:pPr>
        <w:ind w:left="0" w:firstLine="0"/>
      </w:pPr>
      <w:r/>
      <w:r>
        <w:t>9. Update final architecture, data model, operations/runbook, release notes and known risks.</w:t>
      </w:r>
    </w:p>
    <w:p>
      <w:pPr>
        <w:pStyle w:val="Heading3"/>
      </w:pPr>
      <w:r>
        <w:t>Critical architecture / safety rules</w:t>
      </w:r>
    </w:p>
    <w:p>
      <w:pPr>
        <w:pStyle w:val="ListBullet"/>
      </w:pPr>
      <w:r>
        <w:t>Do not add new features during hardening.</w:t>
      </w:r>
    </w:p>
    <w:p>
      <w:pPr>
        <w:pStyle w:val="ListBullet"/>
      </w:pPr>
      <w:r>
        <w:t>Do not weaken authorization or database constraints for performance.</w:t>
      </w:r>
    </w:p>
    <w:p>
      <w:pPr>
        <w:pStyle w:val="ListBullet"/>
      </w:pPr>
      <w:r>
        <w:t>Any unresolved critical correctness/security/data-loss issue blocks release.</w:t>
      </w:r>
    </w:p>
    <w:p>
      <w:pPr>
        <w:pStyle w:val="Heading3"/>
      </w:pPr>
      <w:r>
        <w:t>Required verification and acceptance</w:t>
      </w:r>
    </w:p>
    <w:p>
      <w:pPr>
        <w:pStyle w:val="ListBullet"/>
      </w:pPr>
      <w:r>
        <w:t>Core POS regression passes.</w:t>
      </w:r>
    </w:p>
    <w:p>
      <w:pPr>
        <w:pStyle w:val="ListBullet"/>
      </w:pPr>
      <w:r>
        <w:t>All Phase-2 acceptance journeys pass.</w:t>
      </w:r>
    </w:p>
    <w:p>
      <w:pPr>
        <w:pStyle w:val="ListBullet"/>
      </w:pPr>
      <w:r>
        <w:t>Backup/restore evidence exists.</w:t>
      </w:r>
    </w:p>
    <w:p>
      <w:pPr>
        <w:pStyle w:val="ListBullet"/>
      </w:pPr>
      <w:r>
        <w:t>Final completion report lists actual commands/results and remaining non-critical risks.</w:t>
      </w:r>
    </w:p>
    <w:p>
      <w:pPr>
        <w:pStyle w:val="ListBullet"/>
      </w:pPr>
      <w:r>
        <w:t>Run all applicable type-check, lint, unit/integration tests and production build; record actual results.</w:t>
      </w:r>
    </w:p>
    <w:p>
      <w:pPr>
        <w:pStyle w:val="ListBullet"/>
      </w:pPr>
      <w:r>
        <w:t>Update repository governance/architecture documentation affected by this prompt.</w:t>
      </w:r>
    </w:p>
    <w:p>
      <w:pPr>
        <w:pStyle w:val="ListBullet"/>
      </w:pPr>
      <w:r>
        <w:t>Return a completion report including files changed, schema changes, permissions, tests run, known risks and confirmation that the next prompt was not implemented.</w:t>
      </w:r>
    </w:p>
    <w:p>
      <w:pPr>
        <w:pStyle w:val="Heading3"/>
      </w:pPr>
      <w:r>
        <w:t>Stop condition</w:t>
      </w:r>
    </w:p>
    <w:p>
      <w:r>
        <w:t>Do not proceed beyond P2-11. Return the completion report for review/commit before the next prompt.</w:t>
      </w:r>
    </w:p>
    <w:p>
      <w:pPr>
        <w:pStyle w:val="Heading1"/>
      </w:pPr>
      <w:r>
        <w:t>22. Master Instruction to Prepend to Every Codex / Claude Prompt</w:t>
      </w:r>
    </w:p>
    <w:p>
      <w:pPr>
        <w:pStyle w:val="CodeBlock"/>
      </w:pPr>
      <w:r>
        <w:rPr>
          <w:rFonts w:ascii="Consolas" w:hAnsi="Consolas"/>
        </w:rPr>
        <w:t>You are working on an already implemented commercial pharmacy management system.</w:t>
        <w:br/>
        <w:br/>
        <w:t>Your first responsibility is preservation of correctness. Inspect the repository before changing it.</w:t>
        <w:br/>
        <w:t>Do not redesign working Phase-1 architecture merely because you prefer another pattern.</w:t>
        <w:br/>
        <w:br/>
        <w:t>Non-negotiable rules:</w:t>
        <w:br/>
        <w:t>1. Reuse existing modules, database entities, services, DTOs, UI components and conventions.</w:t>
        <w:br/>
        <w:t>2. Implement only the bounded prompt supplied after this instruction.</w:t>
        <w:br/>
        <w:t>3. Backend authorization is authoritative; frontend visibility is not security.</w:t>
        <w:br/>
        <w:t>4. Use PostgreSQL transactions and constraints for business integrity.</w:t>
        <w:br/>
        <w:t>5. Financial values use Decimal/NUMERIC; inventory follows the existing base-unit conversion model.</w:t>
        <w:br/>
        <w:t>6. Historical sales, payments, inventory movements, purchase receipts and returns are never silently rewritten.</w:t>
        <w:br/>
        <w:t>7. Phase-2 decision support is deterministic first. AI may explain but cannot create the underlying number.</w:t>
        <w:br/>
        <w:t>8. AI is read-only, optional and must never block POS/checkout.</w:t>
        <w:br/>
        <w:t>9. Do not send customer-identifiable prescription/health data to a free-tier AI provider.</w:t>
        <w:br/>
        <w:t>10. External/provider calls have timeouts, failure handling, observability and no secrets in logs.</w:t>
        <w:br/>
        <w:t>11. New background jobs are idempotent and safe to retry.</w:t>
        <w:br/>
        <w:t>12. Every schema change has explicit PK/FK/constraints/index rationale and intentional delete behavior.</w:t>
        <w:br/>
        <w:t>13. Every new endpoint has input validation, permission checks, stable errors and tests.</w:t>
        <w:br/>
        <w:t>14. Run the repository's real verification commands. Never report tests that were not run.</w:t>
        <w:br/>
        <w:t>15. Update documentation and return a precise completion report.</w:t>
        <w:br/>
        <w:t>16. Stop when the bounded prompt is complete. Do not implement the next prompt.</w:t>
      </w:r>
    </w:p>
    <w:p>
      <w:pPr>
        <w:pStyle w:val="SmallNote"/>
      </w:pPr>
      <w:r>
        <w:t>Use this block unchanged as the common execution contract; append one P2-XX prompt beneath it for each development cycle.</w:t>
      </w:r>
    </w:p>
    <w:p>
      <w:pPr>
        <w:pStyle w:val="Heading1"/>
      </w:pPr>
      <w:r>
        <w:t>23. Phase-2 Release Acceptance Checklist</w:t>
      </w:r>
    </w:p>
    <w:p>
      <w:r>
        <w:rPr>
          <w:b/>
        </w:rPr>
        <w:t xml:space="preserve">☐ </w:t>
      </w:r>
      <w:r>
        <w:t>Shelf recommendations use real demand, remain explainable, respect storage/security constraints and require human approval.</w:t>
      </w:r>
    </w:p>
    <w:p>
      <w:r>
        <w:rPr>
          <w:b/>
        </w:rPr>
        <w:t xml:space="preserve">☐ </w:t>
      </w:r>
      <w:r>
        <w:t>Expiry dashboard correctly blocks expired stock from normal sale and calculates risk with a documented cost basis.</w:t>
      </w:r>
    </w:p>
    <w:p>
      <w:r>
        <w:rPr>
          <w:b/>
        </w:rPr>
        <w:t xml:space="preserve">☐ </w:t>
      </w:r>
      <w:r>
        <w:t>Supplier price comparisons reconcile to procurement records and normalize units correctly.</w:t>
      </w:r>
    </w:p>
    <w:p>
      <w:r>
        <w:rPr>
          <w:b/>
        </w:rPr>
        <w:t xml:space="preserve">☐ </w:t>
      </w:r>
      <w:r>
        <w:t>Reorder v2 accounts for lead time, safety stock, stockout confidence, MOQ/order multiples and near-expiry risk.</w:t>
      </w:r>
    </w:p>
    <w:p>
      <w:r>
        <w:rPr>
          <w:b/>
        </w:rPr>
        <w:t xml:space="preserve">☐ </w:t>
      </w:r>
      <w:r>
        <w:t>Budget calculator maximizes complete regimen duration only and never changes dosing/therapy.</w:t>
      </w:r>
    </w:p>
    <w:p>
      <w:r>
        <w:rPr>
          <w:b/>
        </w:rPr>
        <w:t xml:space="preserve">☐ </w:t>
      </w:r>
      <w:r>
        <w:t>QR receipts contain no private customer/medicine/payment data and require authenticated lookup.</w:t>
      </w:r>
    </w:p>
    <w:p>
      <w:r>
        <w:rPr>
          <w:b/>
        </w:rPr>
        <w:t xml:space="preserve">☐ </w:t>
      </w:r>
      <w:r>
        <w:t>Returns remain linked, quantity-safe, idempotent and audited.</w:t>
      </w:r>
    </w:p>
    <w:p>
      <w:r>
        <w:rPr>
          <w:b/>
        </w:rPr>
        <w:t xml:space="preserve">☐ </w:t>
      </w:r>
      <w:r>
        <w:t>Owner AI is read-only, provider-abstracted, sanitized, permission-checked and non-critical.</w:t>
      </w:r>
    </w:p>
    <w:p>
      <w:r>
        <w:rPr>
          <w:b/>
        </w:rPr>
        <w:t xml:space="preserve">☐ </w:t>
      </w:r>
      <w:r>
        <w:t>No AI/API secret appears in frontend bundles or logs.</w:t>
      </w:r>
    </w:p>
    <w:p>
      <w:r>
        <w:rPr>
          <w:b/>
        </w:rPr>
        <w:t xml:space="preserve">☐ </w:t>
      </w:r>
      <w:r>
        <w:t>POS, cashier, inventory, cash reconciliation and existing FBR-ready invoicing pass regression tests.</w:t>
      </w:r>
    </w:p>
    <w:p>
      <w:r>
        <w:rPr>
          <w:b/>
        </w:rPr>
        <w:t xml:space="preserve">☐ </w:t>
      </w:r>
      <w:r>
        <w:t>Core application remains usable during public internet/Gemini outage.</w:t>
      </w:r>
    </w:p>
    <w:p>
      <w:r>
        <w:rPr>
          <w:b/>
        </w:rPr>
        <w:t xml:space="preserve">☐ </w:t>
      </w:r>
      <w:r>
        <w:t>All new scheduled work is idempotent and observable.</w:t>
      </w:r>
    </w:p>
    <w:p>
      <w:r>
        <w:rPr>
          <w:b/>
        </w:rPr>
        <w:t xml:space="preserve">☐ </w:t>
      </w:r>
      <w:r>
        <w:t>Backup/restore includes all new durable Phase-2 records.</w:t>
      </w:r>
    </w:p>
    <w:p>
      <w:r>
        <w:rPr>
          <w:b/>
        </w:rPr>
        <w:t xml:space="preserve">☐ </w:t>
      </w:r>
      <w:r>
        <w:t>Production Docker Compose smoke test passes on representative low-cost server hardware.</w:t>
      </w:r>
    </w:p>
    <w:p>
      <w:r>
        <w:rPr>
          <w:b/>
        </w:rPr>
        <w:t xml:space="preserve">☐ </w:t>
      </w:r>
      <w:r>
        <w:t>No unresolved critical correctness, security or data-loss risk remains.</w:t>
      </w:r>
    </w:p>
    <w:p>
      <w:pPr>
        <w:pStyle w:val="Heading1"/>
      </w:pPr>
      <w:r>
        <w:t>24. Risk Register</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E5E7EB"/>
            <w:tcMar>
              <w:top w:w="60" w:type="dxa"/>
              <w:start w:w="70" w:type="dxa"/>
              <w:bottom w:w="60" w:type="dxa"/>
              <w:end w:w="70" w:type="dxa"/>
            </w:tcMar>
          </w:tcPr>
          <w:p>
            <w:r>
              <w:rPr>
                <w:b/>
                <w:sz w:val="17"/>
              </w:rPr>
              <w:t>Risk</w:t>
            </w:r>
          </w:p>
        </w:tc>
        <w:tc>
          <w:tcPr>
            <w:tcW w:type="dxa" w:w="1296"/>
            <w:vAlign w:val="center"/>
            <w:shd w:fill="E5E7EB"/>
            <w:tcMar>
              <w:top w:w="60" w:type="dxa"/>
              <w:start w:w="70" w:type="dxa"/>
              <w:bottom w:w="60" w:type="dxa"/>
              <w:end w:w="70" w:type="dxa"/>
            </w:tcMar>
          </w:tcPr>
          <w:p>
            <w:r>
              <w:rPr>
                <w:b/>
                <w:sz w:val="17"/>
              </w:rPr>
              <w:t>Severity</w:t>
            </w:r>
          </w:p>
        </w:tc>
        <w:tc>
          <w:tcPr>
            <w:tcW w:type="dxa" w:w="5904"/>
            <w:vAlign w:val="center"/>
            <w:shd w:fill="E5E7EB"/>
            <w:tcMar>
              <w:top w:w="60" w:type="dxa"/>
              <w:start w:w="70" w:type="dxa"/>
              <w:bottom w:w="60" w:type="dxa"/>
              <w:end w:w="70" w:type="dxa"/>
            </w:tcMar>
          </w:tcPr>
          <w:p>
            <w:r>
              <w:rPr>
                <w:b/>
                <w:sz w:val="17"/>
              </w:rPr>
              <w:t>Control</w:t>
            </w:r>
          </w:p>
        </w:tc>
      </w:tr>
      <w:tr>
        <w:tc>
          <w:tcPr>
            <w:tcW w:type="dxa" w:w="3744"/>
            <w:vAlign w:val="top"/>
            <w:tcMar>
              <w:top w:w="60" w:type="dxa"/>
              <w:start w:w="70" w:type="dxa"/>
              <w:bottom w:w="60" w:type="dxa"/>
              <w:end w:w="70" w:type="dxa"/>
            </w:tcMar>
          </w:tcPr>
          <w:p>
            <w:r>
              <w:rPr>
                <w:sz w:val="16"/>
              </w:rPr>
              <w:t>Forecast appears precise but demand data is censored by stockouts</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Confidence score + stockout-day awareness; show reasoning inputs.</w:t>
            </w:r>
          </w:p>
        </w:tc>
      </w:tr>
      <w:tr>
        <w:tc>
          <w:tcPr>
            <w:tcW w:type="dxa" w:w="3744"/>
            <w:vAlign w:val="top"/>
            <w:tcMar>
              <w:top w:w="60" w:type="dxa"/>
              <w:start w:w="70" w:type="dxa"/>
              <w:bottom w:w="60" w:type="dxa"/>
              <w:end w:w="70" w:type="dxa"/>
            </w:tcMar>
          </w:tcPr>
          <w:p>
            <w:r>
              <w:rPr>
                <w:sz w:val="16"/>
              </w:rPr>
              <w:t>Shelf optimizer recommends unsafe storage location</w:t>
            </w:r>
          </w:p>
        </w:tc>
        <w:tc>
          <w:tcPr>
            <w:tcW w:type="dxa" w:w="1296"/>
            <w:vAlign w:val="top"/>
            <w:tcMar>
              <w:top w:w="60" w:type="dxa"/>
              <w:start w:w="70" w:type="dxa"/>
              <w:bottom w:w="60" w:type="dxa"/>
              <w:end w:w="70" w:type="dxa"/>
            </w:tcMar>
          </w:tcPr>
          <w:p>
            <w:r>
              <w:rPr>
                <w:sz w:val="16"/>
              </w:rPr>
              <w:t>Critical</w:t>
            </w:r>
          </w:p>
        </w:tc>
        <w:tc>
          <w:tcPr>
            <w:tcW w:type="dxa" w:w="5904"/>
            <w:vAlign w:val="top"/>
            <w:tcMar>
              <w:top w:w="60" w:type="dxa"/>
              <w:start w:w="70" w:type="dxa"/>
              <w:bottom w:w="60" w:type="dxa"/>
              <w:end w:w="70" w:type="dxa"/>
            </w:tcMar>
          </w:tcPr>
          <w:p>
            <w:r>
              <w:rPr>
                <w:sz w:val="16"/>
              </w:rPr>
              <w:t>Eligibility constraints enforced server-side before recommendation/application.</w:t>
            </w:r>
          </w:p>
        </w:tc>
      </w:tr>
      <w:tr>
        <w:tc>
          <w:tcPr>
            <w:tcW w:type="dxa" w:w="3744"/>
            <w:vAlign w:val="top"/>
            <w:tcMar>
              <w:top w:w="60" w:type="dxa"/>
              <w:start w:w="70" w:type="dxa"/>
              <w:bottom w:w="60" w:type="dxa"/>
              <w:end w:w="70" w:type="dxa"/>
            </w:tcMar>
          </w:tcPr>
          <w:p>
            <w:r>
              <w:rPr>
                <w:sz w:val="16"/>
              </w:rPr>
              <w:t>AI leaks identifiable health/customer data</w:t>
            </w:r>
          </w:p>
        </w:tc>
        <w:tc>
          <w:tcPr>
            <w:tcW w:type="dxa" w:w="1296"/>
            <w:vAlign w:val="top"/>
            <w:tcMar>
              <w:top w:w="60" w:type="dxa"/>
              <w:start w:w="70" w:type="dxa"/>
              <w:bottom w:w="60" w:type="dxa"/>
              <w:end w:w="70" w:type="dxa"/>
            </w:tcMar>
          </w:tcPr>
          <w:p>
            <w:r>
              <w:rPr>
                <w:sz w:val="16"/>
              </w:rPr>
              <w:t>Critical</w:t>
            </w:r>
          </w:p>
        </w:tc>
        <w:tc>
          <w:tcPr>
            <w:tcW w:type="dxa" w:w="5904"/>
            <w:vAlign w:val="top"/>
            <w:tcMar>
              <w:top w:w="60" w:type="dxa"/>
              <w:start w:w="70" w:type="dxa"/>
              <w:bottom w:w="60" w:type="dxa"/>
              <w:end w:w="70" w:type="dxa"/>
            </w:tcMar>
          </w:tcPr>
          <w:p>
            <w:r>
              <w:rPr>
                <w:sz w:val="16"/>
              </w:rPr>
              <w:t>Whitelisted aggregate tools; sanitization; free-tier restriction; logging review.</w:t>
            </w:r>
          </w:p>
        </w:tc>
      </w:tr>
      <w:tr>
        <w:tc>
          <w:tcPr>
            <w:tcW w:type="dxa" w:w="3744"/>
            <w:vAlign w:val="top"/>
            <w:tcMar>
              <w:top w:w="60" w:type="dxa"/>
              <w:start w:w="70" w:type="dxa"/>
              <w:bottom w:w="60" w:type="dxa"/>
              <w:end w:w="70" w:type="dxa"/>
            </w:tcMar>
          </w:tcPr>
          <w:p>
            <w:r>
              <w:rPr>
                <w:sz w:val="16"/>
              </w:rPr>
              <w:t>AI fabricates business number</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Deterministic tool result is authoritative; schema validation; fail closed.</w:t>
            </w:r>
          </w:p>
        </w:tc>
      </w:tr>
      <w:tr>
        <w:tc>
          <w:tcPr>
            <w:tcW w:type="dxa" w:w="3744"/>
            <w:vAlign w:val="top"/>
            <w:tcMar>
              <w:top w:w="60" w:type="dxa"/>
              <w:start w:w="70" w:type="dxa"/>
              <w:bottom w:w="60" w:type="dxa"/>
              <w:end w:w="70" w:type="dxa"/>
            </w:tcMar>
          </w:tcPr>
          <w:p>
            <w:r>
              <w:rPr>
                <w:sz w:val="16"/>
              </w:rPr>
              <w:t>Duplicate background jobs create duplicate suggestions/actions</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Idempotency keys/unique constraints/job locks/upsert.</w:t>
            </w:r>
          </w:p>
        </w:tc>
      </w:tr>
      <w:tr>
        <w:tc>
          <w:tcPr>
            <w:tcW w:type="dxa" w:w="3744"/>
            <w:vAlign w:val="top"/>
            <w:tcMar>
              <w:top w:w="60" w:type="dxa"/>
              <w:start w:w="70" w:type="dxa"/>
              <w:bottom w:w="60" w:type="dxa"/>
              <w:end w:w="70" w:type="dxa"/>
            </w:tcMar>
          </w:tcPr>
          <w:p>
            <w:r>
              <w:rPr>
                <w:sz w:val="16"/>
              </w:rPr>
              <w:t>Supplier price comparison mixes units</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Base-unit normalization and conversion tests.</w:t>
            </w:r>
          </w:p>
        </w:tc>
      </w:tr>
      <w:tr>
        <w:tc>
          <w:tcPr>
            <w:tcW w:type="dxa" w:w="3744"/>
            <w:vAlign w:val="top"/>
            <w:tcMar>
              <w:top w:w="60" w:type="dxa"/>
              <w:start w:w="70" w:type="dxa"/>
              <w:bottom w:w="60" w:type="dxa"/>
              <w:end w:w="70" w:type="dxa"/>
            </w:tcMar>
          </w:tcPr>
          <w:p>
            <w:r>
              <w:rPr>
                <w:sz w:val="16"/>
              </w:rPr>
              <w:t>Budget calculator underestimates due to pack rounding</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Minimum sale increment algorithm + boundary tests.</w:t>
            </w:r>
          </w:p>
        </w:tc>
      </w:tr>
      <w:tr>
        <w:tc>
          <w:tcPr>
            <w:tcW w:type="dxa" w:w="3744"/>
            <w:vAlign w:val="top"/>
            <w:tcMar>
              <w:top w:w="60" w:type="dxa"/>
              <w:start w:w="70" w:type="dxa"/>
              <w:bottom w:w="60" w:type="dxa"/>
              <w:end w:w="70" w:type="dxa"/>
            </w:tcMar>
          </w:tcPr>
          <w:p>
            <w:r>
              <w:rPr>
                <w:sz w:val="16"/>
              </w:rPr>
              <w:t>QR token exposes invoice/customer data</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Opaque random token; authenticated server-side resolution.</w:t>
            </w:r>
          </w:p>
        </w:tc>
      </w:tr>
      <w:tr>
        <w:tc>
          <w:tcPr>
            <w:tcW w:type="dxa" w:w="3744"/>
            <w:vAlign w:val="top"/>
            <w:tcMar>
              <w:top w:w="60" w:type="dxa"/>
              <w:start w:w="70" w:type="dxa"/>
              <w:bottom w:w="60" w:type="dxa"/>
              <w:end w:w="70" w:type="dxa"/>
            </w:tcMar>
          </w:tcPr>
          <w:p>
            <w:r>
              <w:rPr>
                <w:sz w:val="16"/>
              </w:rPr>
              <w:t>Phase-2 jobs slow POS server</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Worker queue, bounded concurrency, query indexes, performance budgets.</w:t>
            </w:r>
          </w:p>
        </w:tc>
      </w:tr>
      <w:tr>
        <w:tc>
          <w:tcPr>
            <w:tcW w:type="dxa" w:w="3744"/>
            <w:vAlign w:val="top"/>
            <w:tcMar>
              <w:top w:w="60" w:type="dxa"/>
              <w:start w:w="70" w:type="dxa"/>
              <w:bottom w:w="60" w:type="dxa"/>
              <w:end w:w="70" w:type="dxa"/>
            </w:tcMar>
          </w:tcPr>
          <w:p>
            <w:r>
              <w:rPr>
                <w:sz w:val="16"/>
              </w:rPr>
              <w:t>Developer agent redesigns existing core</w:t>
            </w:r>
          </w:p>
        </w:tc>
        <w:tc>
          <w:tcPr>
            <w:tcW w:type="dxa" w:w="1296"/>
            <w:vAlign w:val="top"/>
            <w:tcMar>
              <w:top w:w="60" w:type="dxa"/>
              <w:start w:w="70" w:type="dxa"/>
              <w:bottom w:w="60" w:type="dxa"/>
              <w:end w:w="70" w:type="dxa"/>
            </w:tcMar>
          </w:tcPr>
          <w:p>
            <w:r>
              <w:rPr>
                <w:sz w:val="16"/>
              </w:rPr>
              <w:t>High</w:t>
            </w:r>
          </w:p>
        </w:tc>
        <w:tc>
          <w:tcPr>
            <w:tcW w:type="dxa" w:w="5904"/>
            <w:vAlign w:val="top"/>
            <w:tcMar>
              <w:top w:w="60" w:type="dxa"/>
              <w:start w:w="70" w:type="dxa"/>
              <w:bottom w:w="60" w:type="dxa"/>
              <w:end w:w="70" w:type="dxa"/>
            </w:tcMar>
          </w:tcPr>
          <w:p>
            <w:r>
              <w:rPr>
                <w:sz w:val="16"/>
              </w:rPr>
              <w:t>Inspect-first gate, bounded prompts, stop conditions, regression suite.</w:t>
            </w:r>
          </w:p>
        </w:tc>
      </w:tr>
    </w:tbl>
    <w:p>
      <w:pPr>
        <w:spacing w:after="20"/>
      </w:pPr>
    </w:p>
    <w:p>
      <w:pPr>
        <w:pStyle w:val="Heading1"/>
      </w:pPr>
      <w:r>
        <w:t>25. Definition of Done for Each Prompt</w:t>
      </w:r>
    </w:p>
    <w:p>
      <w:pPr>
        <w:pStyle w:val="ListBullet"/>
      </w:pPr>
      <w:r>
        <w:t>Requested behavior is implemented and bounded to the prompt.</w:t>
      </w:r>
    </w:p>
    <w:p>
      <w:pPr>
        <w:pStyle w:val="ListBullet"/>
      </w:pPr>
      <w:r>
        <w:t>Database migration is clean, repeatable and documented where schema changed.</w:t>
      </w:r>
    </w:p>
    <w:p>
      <w:pPr>
        <w:pStyle w:val="ListBullet"/>
      </w:pPr>
      <w:r>
        <w:t>Authorization is server-enforced and tested.</w:t>
      </w:r>
    </w:p>
    <w:p>
      <w:pPr>
        <w:pStyle w:val="ListBullet"/>
      </w:pPr>
      <w:r>
        <w:t>Business calculations have deterministic unit tests.</w:t>
      </w:r>
    </w:p>
    <w:p>
      <w:pPr>
        <w:pStyle w:val="ListBullet"/>
      </w:pPr>
      <w:r>
        <w:t>Failure and concurrency paths have tests where applicable.</w:t>
      </w:r>
    </w:p>
    <w:p>
      <w:pPr>
        <w:pStyle w:val="ListBullet"/>
      </w:pPr>
      <w:r>
        <w:t>Frontend handles loading/empty/error/permission states.</w:t>
      </w:r>
    </w:p>
    <w:p>
      <w:pPr>
        <w:pStyle w:val="ListBullet"/>
      </w:pPr>
      <w:r>
        <w:t>No new secret/PII logging.</w:t>
      </w:r>
    </w:p>
    <w:p>
      <w:pPr>
        <w:pStyle w:val="ListBullet"/>
      </w:pPr>
      <w:r>
        <w:t>Existing core regression tests remain green.</w:t>
      </w:r>
    </w:p>
    <w:p>
      <w:pPr>
        <w:pStyle w:val="ListBullet"/>
      </w:pPr>
      <w:r>
        <w:t>Build passes.</w:t>
      </w:r>
    </w:p>
    <w:p>
      <w:pPr>
        <w:pStyle w:val="ListBullet"/>
      </w:pPr>
      <w:r>
        <w:t>Relevant documentation is updated.</w:t>
      </w:r>
    </w:p>
    <w:p>
      <w:pPr>
        <w:pStyle w:val="ListBullet"/>
      </w:pPr>
      <w:r>
        <w:t>Completion report is factual and includes commands/results.</w:t>
      </w:r>
    </w:p>
    <w:p>
      <w:pPr>
        <w:pStyle w:val="Heading1"/>
      </w:pPr>
      <w:r>
        <w:t>Appendix A - Suggested Domain Glossary</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E5E7EB"/>
            <w:tcMar>
              <w:top w:w="60" w:type="dxa"/>
              <w:start w:w="70" w:type="dxa"/>
              <w:bottom w:w="60" w:type="dxa"/>
              <w:end w:w="70" w:type="dxa"/>
            </w:tcMar>
          </w:tcPr>
          <w:p>
            <w:r>
              <w:rPr>
                <w:b/>
                <w:sz w:val="17"/>
              </w:rPr>
              <w:t>Term</w:t>
            </w:r>
          </w:p>
        </w:tc>
        <w:tc>
          <w:tcPr>
            <w:tcW w:type="dxa" w:w="7920"/>
            <w:vAlign w:val="center"/>
            <w:shd w:fill="E5E7EB"/>
            <w:tcMar>
              <w:top w:w="60" w:type="dxa"/>
              <w:start w:w="70" w:type="dxa"/>
              <w:bottom w:w="60" w:type="dxa"/>
              <w:end w:w="70" w:type="dxa"/>
            </w:tcMar>
          </w:tcPr>
          <w:p>
            <w:r>
              <w:rPr>
                <w:b/>
                <w:sz w:val="17"/>
              </w:rPr>
              <w:t>Meaning</w:t>
            </w:r>
          </w:p>
        </w:tc>
      </w:tr>
      <w:tr>
        <w:tc>
          <w:tcPr>
            <w:tcW w:type="dxa" w:w="2592"/>
            <w:vAlign w:val="top"/>
            <w:tcMar>
              <w:top w:w="60" w:type="dxa"/>
              <w:start w:w="70" w:type="dxa"/>
              <w:bottom w:w="60" w:type="dxa"/>
              <w:end w:w="70" w:type="dxa"/>
            </w:tcMar>
          </w:tcPr>
          <w:p>
            <w:r>
              <w:rPr>
                <w:sz w:val="16"/>
              </w:rPr>
              <w:t>Demand</w:t>
            </w:r>
          </w:p>
        </w:tc>
        <w:tc>
          <w:tcPr>
            <w:tcW w:type="dxa" w:w="7920"/>
            <w:vAlign w:val="top"/>
            <w:tcMar>
              <w:top w:w="60" w:type="dxa"/>
              <w:start w:w="70" w:type="dxa"/>
              <w:bottom w:w="60" w:type="dxa"/>
              <w:end w:w="70" w:type="dxa"/>
            </w:tcMar>
          </w:tcPr>
          <w:p>
            <w:r>
              <w:rPr>
                <w:sz w:val="16"/>
              </w:rPr>
              <w:t>Fulfilled customer sale quantity/pick activity; not merely net stock movement.</w:t>
            </w:r>
          </w:p>
        </w:tc>
      </w:tr>
      <w:tr>
        <w:tc>
          <w:tcPr>
            <w:tcW w:type="dxa" w:w="2592"/>
            <w:vAlign w:val="top"/>
            <w:tcMar>
              <w:top w:w="60" w:type="dxa"/>
              <w:start w:w="70" w:type="dxa"/>
              <w:bottom w:w="60" w:type="dxa"/>
              <w:end w:w="70" w:type="dxa"/>
            </w:tcMar>
          </w:tcPr>
          <w:p>
            <w:r>
              <w:rPr>
                <w:sz w:val="16"/>
              </w:rPr>
              <w:t>FEFO</w:t>
            </w:r>
          </w:p>
        </w:tc>
        <w:tc>
          <w:tcPr>
            <w:tcW w:type="dxa" w:w="7920"/>
            <w:vAlign w:val="top"/>
            <w:tcMar>
              <w:top w:w="60" w:type="dxa"/>
              <w:start w:w="70" w:type="dxa"/>
              <w:bottom w:w="60" w:type="dxa"/>
              <w:end w:w="70" w:type="dxa"/>
            </w:tcMar>
          </w:tcPr>
          <w:p>
            <w:r>
              <w:rPr>
                <w:sz w:val="16"/>
              </w:rPr>
              <w:t>First Expiry, First Out batch-selection principle.</w:t>
            </w:r>
          </w:p>
        </w:tc>
      </w:tr>
      <w:tr>
        <w:tc>
          <w:tcPr>
            <w:tcW w:type="dxa" w:w="2592"/>
            <w:vAlign w:val="top"/>
            <w:tcMar>
              <w:top w:w="60" w:type="dxa"/>
              <w:start w:w="70" w:type="dxa"/>
              <w:bottom w:w="60" w:type="dxa"/>
              <w:end w:w="70" w:type="dxa"/>
            </w:tcMar>
          </w:tcPr>
          <w:p>
            <w:r>
              <w:rPr>
                <w:sz w:val="16"/>
              </w:rPr>
              <w:t>Value at risk</w:t>
            </w:r>
          </w:p>
        </w:tc>
        <w:tc>
          <w:tcPr>
            <w:tcW w:type="dxa" w:w="7920"/>
            <w:vAlign w:val="top"/>
            <w:tcMar>
              <w:top w:w="60" w:type="dxa"/>
              <w:start w:w="70" w:type="dxa"/>
              <w:bottom w:w="60" w:type="dxa"/>
              <w:end w:w="70" w:type="dxa"/>
            </w:tcMar>
          </w:tcPr>
          <w:p>
            <w:r>
              <w:rPr>
                <w:sz w:val="16"/>
              </w:rPr>
              <w:t>Cost value of inventory in an expiry-risk bucket; cost basis must be stated.</w:t>
            </w:r>
          </w:p>
        </w:tc>
      </w:tr>
      <w:tr>
        <w:tc>
          <w:tcPr>
            <w:tcW w:type="dxa" w:w="2592"/>
            <w:vAlign w:val="top"/>
            <w:tcMar>
              <w:top w:w="60" w:type="dxa"/>
              <w:start w:w="70" w:type="dxa"/>
              <w:bottom w:w="60" w:type="dxa"/>
              <w:end w:w="70" w:type="dxa"/>
            </w:tcMar>
          </w:tcPr>
          <w:p>
            <w:r>
              <w:rPr>
                <w:sz w:val="16"/>
              </w:rPr>
              <w:t>Effective unit cost</w:t>
            </w:r>
          </w:p>
        </w:tc>
        <w:tc>
          <w:tcPr>
            <w:tcW w:type="dxa" w:w="7920"/>
            <w:vAlign w:val="top"/>
            <w:tcMar>
              <w:top w:w="60" w:type="dxa"/>
              <w:start w:w="70" w:type="dxa"/>
              <w:bottom w:w="60" w:type="dxa"/>
              <w:end w:w="70" w:type="dxa"/>
            </w:tcMar>
          </w:tcPr>
          <w:p>
            <w:r>
              <w:rPr>
                <w:sz w:val="16"/>
              </w:rPr>
              <w:t>Net procurement cost normalized to a comparable base unit, including captured discounts/eligible bonus units.</w:t>
            </w:r>
          </w:p>
        </w:tc>
      </w:tr>
      <w:tr>
        <w:tc>
          <w:tcPr>
            <w:tcW w:type="dxa" w:w="2592"/>
            <w:vAlign w:val="top"/>
            <w:tcMar>
              <w:top w:w="60" w:type="dxa"/>
              <w:start w:w="70" w:type="dxa"/>
              <w:bottom w:w="60" w:type="dxa"/>
              <w:end w:w="70" w:type="dxa"/>
            </w:tcMar>
          </w:tcPr>
          <w:p>
            <w:r>
              <w:rPr>
                <w:sz w:val="16"/>
              </w:rPr>
              <w:t>Lead time</w:t>
            </w:r>
          </w:p>
        </w:tc>
        <w:tc>
          <w:tcPr>
            <w:tcW w:type="dxa" w:w="7920"/>
            <w:vAlign w:val="top"/>
            <w:tcMar>
              <w:top w:w="60" w:type="dxa"/>
              <w:start w:w="70" w:type="dxa"/>
              <w:bottom w:w="60" w:type="dxa"/>
              <w:end w:w="70" w:type="dxa"/>
            </w:tcMar>
          </w:tcPr>
          <w:p>
            <w:r>
              <w:rPr>
                <w:sz w:val="16"/>
              </w:rPr>
              <w:t>Time from approved/order event to goods receipt under the existing purchase workflow.</w:t>
            </w:r>
          </w:p>
        </w:tc>
      </w:tr>
      <w:tr>
        <w:tc>
          <w:tcPr>
            <w:tcW w:type="dxa" w:w="2592"/>
            <w:vAlign w:val="top"/>
            <w:tcMar>
              <w:top w:w="60" w:type="dxa"/>
              <w:start w:w="70" w:type="dxa"/>
              <w:bottom w:w="60" w:type="dxa"/>
              <w:end w:w="70" w:type="dxa"/>
            </w:tcMar>
          </w:tcPr>
          <w:p>
            <w:r>
              <w:rPr>
                <w:sz w:val="16"/>
              </w:rPr>
              <w:t>Safety stock</w:t>
            </w:r>
          </w:p>
        </w:tc>
        <w:tc>
          <w:tcPr>
            <w:tcW w:type="dxa" w:w="7920"/>
            <w:vAlign w:val="top"/>
            <w:tcMar>
              <w:top w:w="60" w:type="dxa"/>
              <w:start w:w="70" w:type="dxa"/>
              <w:bottom w:w="60" w:type="dxa"/>
              <w:end w:w="70" w:type="dxa"/>
            </w:tcMar>
          </w:tcPr>
          <w:p>
            <w:r>
              <w:rPr>
                <w:sz w:val="16"/>
              </w:rPr>
              <w:t>Configured reserve quantity intended to absorb uncertainty.</w:t>
            </w:r>
          </w:p>
        </w:tc>
      </w:tr>
      <w:tr>
        <w:tc>
          <w:tcPr>
            <w:tcW w:type="dxa" w:w="2592"/>
            <w:vAlign w:val="top"/>
            <w:tcMar>
              <w:top w:w="60" w:type="dxa"/>
              <w:start w:w="70" w:type="dxa"/>
              <w:bottom w:w="60" w:type="dxa"/>
              <w:end w:w="70" w:type="dxa"/>
            </w:tcMar>
          </w:tcPr>
          <w:p>
            <w:r>
              <w:rPr>
                <w:sz w:val="16"/>
              </w:rPr>
              <w:t>Stockout day</w:t>
            </w:r>
          </w:p>
        </w:tc>
        <w:tc>
          <w:tcPr>
            <w:tcW w:type="dxa" w:w="7920"/>
            <w:vAlign w:val="top"/>
            <w:tcMar>
              <w:top w:w="60" w:type="dxa"/>
              <w:start w:w="70" w:type="dxa"/>
              <w:bottom w:w="60" w:type="dxa"/>
              <w:end w:w="70" w:type="dxa"/>
            </w:tcMar>
          </w:tcPr>
          <w:p>
            <w:r>
              <w:rPr>
                <w:sz w:val="16"/>
              </w:rPr>
              <w:t>A day/interval when no sellable stock was available, making observed sales a weak proxy for demand.</w:t>
            </w:r>
          </w:p>
        </w:tc>
      </w:tr>
      <w:tr>
        <w:tc>
          <w:tcPr>
            <w:tcW w:type="dxa" w:w="2592"/>
            <w:vAlign w:val="top"/>
            <w:tcMar>
              <w:top w:w="60" w:type="dxa"/>
              <w:start w:w="70" w:type="dxa"/>
              <w:bottom w:w="60" w:type="dxa"/>
              <w:end w:w="70" w:type="dxa"/>
            </w:tcMar>
          </w:tcPr>
          <w:p>
            <w:r>
              <w:rPr>
                <w:sz w:val="16"/>
              </w:rPr>
              <w:t>Complete regimen day</w:t>
            </w:r>
          </w:p>
        </w:tc>
        <w:tc>
          <w:tcPr>
            <w:tcW w:type="dxa" w:w="7920"/>
            <w:vAlign w:val="top"/>
            <w:tcMar>
              <w:top w:w="60" w:type="dxa"/>
              <w:start w:w="70" w:type="dxa"/>
              <w:bottom w:w="60" w:type="dxa"/>
              <w:end w:w="70" w:type="dxa"/>
            </w:tcMar>
          </w:tcPr>
          <w:p>
            <w:r>
              <w:rPr>
                <w:sz w:val="16"/>
              </w:rPr>
              <w:t>One full day of all medicines at the pharmacist-entered dosing; never a partial-dose compromise.</w:t>
            </w:r>
          </w:p>
        </w:tc>
      </w:tr>
      <w:tr>
        <w:tc>
          <w:tcPr>
            <w:tcW w:type="dxa" w:w="2592"/>
            <w:vAlign w:val="top"/>
            <w:tcMar>
              <w:top w:w="60" w:type="dxa"/>
              <w:start w:w="70" w:type="dxa"/>
              <w:bottom w:w="60" w:type="dxa"/>
              <w:end w:w="70" w:type="dxa"/>
            </w:tcMar>
          </w:tcPr>
          <w:p>
            <w:r>
              <w:rPr>
                <w:sz w:val="16"/>
              </w:rPr>
              <w:t>Opaque return token</w:t>
            </w:r>
          </w:p>
        </w:tc>
        <w:tc>
          <w:tcPr>
            <w:tcW w:type="dxa" w:w="7920"/>
            <w:vAlign w:val="top"/>
            <w:tcMar>
              <w:top w:w="60" w:type="dxa"/>
              <w:start w:w="70" w:type="dxa"/>
              <w:bottom w:w="60" w:type="dxa"/>
              <w:end w:w="70" w:type="dxa"/>
            </w:tcMar>
          </w:tcPr>
          <w:p>
            <w:r>
              <w:rPr>
                <w:sz w:val="16"/>
              </w:rPr>
              <w:t>Random identifier used only to resolve a receipt server-side; carries no private invoice detail.</w:t>
            </w:r>
          </w:p>
        </w:tc>
      </w:tr>
      <w:tr>
        <w:tc>
          <w:tcPr>
            <w:tcW w:type="dxa" w:w="2592"/>
            <w:vAlign w:val="top"/>
            <w:tcMar>
              <w:top w:w="60" w:type="dxa"/>
              <w:start w:w="70" w:type="dxa"/>
              <w:bottom w:w="60" w:type="dxa"/>
              <w:end w:w="70" w:type="dxa"/>
            </w:tcMar>
          </w:tcPr>
          <w:p>
            <w:r>
              <w:rPr>
                <w:sz w:val="16"/>
              </w:rPr>
              <w:t>AI tool</w:t>
            </w:r>
          </w:p>
        </w:tc>
        <w:tc>
          <w:tcPr>
            <w:tcW w:type="dxa" w:w="7920"/>
            <w:vAlign w:val="top"/>
            <w:tcMar>
              <w:top w:w="60" w:type="dxa"/>
              <w:start w:w="70" w:type="dxa"/>
              <w:bottom w:w="60" w:type="dxa"/>
              <w:end w:w="70" w:type="dxa"/>
            </w:tcMar>
          </w:tcPr>
          <w:p>
            <w:r>
              <w:rPr>
                <w:sz w:val="16"/>
              </w:rPr>
              <w:t>Whitelisted backend operation that returns authorized structured data to the assistant.</w:t>
            </w:r>
          </w:p>
        </w:tc>
      </w:tr>
    </w:tbl>
    <w:p>
      <w:pPr>
        <w:spacing w:after="20"/>
      </w:pPr>
    </w:p>
    <w:p>
      <w:pPr>
        <w:pStyle w:val="Heading1"/>
      </w:pPr>
      <w:r>
        <w:t>Appendix B - Current External References Used for Design Guardrails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E5E7EB"/>
            <w:tcMar>
              <w:top w:w="60" w:type="dxa"/>
              <w:start w:w="70" w:type="dxa"/>
              <w:bottom w:w="60" w:type="dxa"/>
              <w:end w:w="70" w:type="dxa"/>
            </w:tcMar>
          </w:tcPr>
          <w:p>
            <w:r>
              <w:rPr>
                <w:b/>
                <w:sz w:val="17"/>
              </w:rPr>
              <w:t>Reference</w:t>
            </w:r>
          </w:p>
        </w:tc>
        <w:tc>
          <w:tcPr>
            <w:tcW w:type="dxa" w:w="3744"/>
            <w:vAlign w:val="center"/>
            <w:shd w:fill="E5E7EB"/>
            <w:tcMar>
              <w:top w:w="60" w:type="dxa"/>
              <w:start w:w="70" w:type="dxa"/>
              <w:bottom w:w="60" w:type="dxa"/>
              <w:end w:w="70" w:type="dxa"/>
            </w:tcMar>
          </w:tcPr>
          <w:p>
            <w:r>
              <w:rPr>
                <w:b/>
                <w:sz w:val="17"/>
              </w:rPr>
              <w:t>URL</w:t>
            </w:r>
          </w:p>
        </w:tc>
        <w:tc>
          <w:tcPr>
            <w:tcW w:type="dxa" w:w="4320"/>
            <w:vAlign w:val="center"/>
            <w:shd w:fill="E5E7EB"/>
            <w:tcMar>
              <w:top w:w="60" w:type="dxa"/>
              <w:start w:w="70" w:type="dxa"/>
              <w:bottom w:w="60" w:type="dxa"/>
              <w:end w:w="70" w:type="dxa"/>
            </w:tcMar>
          </w:tcPr>
          <w:p>
            <w:r>
              <w:rPr>
                <w:b/>
                <w:sz w:val="17"/>
              </w:rPr>
              <w:t>Why it matters</w:t>
            </w:r>
          </w:p>
        </w:tc>
      </w:tr>
      <w:tr>
        <w:tc>
          <w:tcPr>
            <w:tcW w:type="dxa" w:w="2880"/>
            <w:vAlign w:val="top"/>
            <w:tcMar>
              <w:top w:w="60" w:type="dxa"/>
              <w:start w:w="70" w:type="dxa"/>
              <w:bottom w:w="60" w:type="dxa"/>
              <w:end w:w="70" w:type="dxa"/>
            </w:tcMar>
          </w:tcPr>
          <w:p>
            <w:r>
              <w:rPr>
                <w:sz w:val="16"/>
              </w:rPr>
              <w:t>Drug Regulatory Authority of Pakistan - Punjab Drug Sale Rules</w:t>
            </w:r>
          </w:p>
        </w:tc>
        <w:tc>
          <w:tcPr>
            <w:tcW w:type="dxa" w:w="3744"/>
            <w:vAlign w:val="top"/>
            <w:tcMar>
              <w:top w:w="60" w:type="dxa"/>
              <w:start w:w="70" w:type="dxa"/>
              <w:bottom w:w="60" w:type="dxa"/>
              <w:end w:w="70" w:type="dxa"/>
            </w:tcMar>
          </w:tcPr>
          <w:p>
            <w:r>
              <w:rPr>
                <w:sz w:val="16"/>
              </w:rPr>
              <w:t>https://www.dra.gov.pk/wp-content/uploads/2022/11/Punjab-Drug-Sale-Rules.pdf</w:t>
            </w:r>
          </w:p>
        </w:tc>
        <w:tc>
          <w:tcPr>
            <w:tcW w:type="dxa" w:w="4320"/>
            <w:vAlign w:val="top"/>
            <w:tcMar>
              <w:top w:w="60" w:type="dxa"/>
              <w:start w:w="70" w:type="dxa"/>
              <w:bottom w:w="60" w:type="dxa"/>
              <w:end w:w="70" w:type="dxa"/>
            </w:tcMar>
          </w:tcPr>
          <w:p>
            <w:r>
              <w:rPr>
                <w:sz w:val="16"/>
              </w:rPr>
              <w:t>Supports retaining purchase/sale records containing drug, batch, expiry and quantity information; specifies at least three-year preservation for required records in the cited Punjab rules.</w:t>
            </w:r>
          </w:p>
        </w:tc>
      </w:tr>
      <w:tr>
        <w:tc>
          <w:tcPr>
            <w:tcW w:type="dxa" w:w="2880"/>
            <w:vAlign w:val="top"/>
            <w:tcMar>
              <w:top w:w="60" w:type="dxa"/>
              <w:start w:w="70" w:type="dxa"/>
              <w:bottom w:w="60" w:type="dxa"/>
              <w:end w:w="70" w:type="dxa"/>
            </w:tcMar>
          </w:tcPr>
          <w:p>
            <w:r>
              <w:rPr>
                <w:sz w:val="16"/>
              </w:rPr>
              <w:t>Drug Regulatory Authority of Pakistan - Rules index</w:t>
            </w:r>
          </w:p>
        </w:tc>
        <w:tc>
          <w:tcPr>
            <w:tcW w:type="dxa" w:w="3744"/>
            <w:vAlign w:val="top"/>
            <w:tcMar>
              <w:top w:w="60" w:type="dxa"/>
              <w:start w:w="70" w:type="dxa"/>
              <w:bottom w:w="60" w:type="dxa"/>
              <w:end w:w="70" w:type="dxa"/>
            </w:tcMar>
          </w:tcPr>
          <w:p>
            <w:r>
              <w:rPr>
                <w:sz w:val="16"/>
              </w:rPr>
              <w:t>https://www.dra.gov.pk/about-us/legislation/rules/</w:t>
            </w:r>
          </w:p>
        </w:tc>
        <w:tc>
          <w:tcPr>
            <w:tcW w:type="dxa" w:w="4320"/>
            <w:vAlign w:val="top"/>
            <w:tcMar>
              <w:top w:w="60" w:type="dxa"/>
              <w:start w:w="70" w:type="dxa"/>
              <w:bottom w:w="60" w:type="dxa"/>
              <w:end w:w="70" w:type="dxa"/>
            </w:tcMar>
          </w:tcPr>
          <w:p>
            <w:r>
              <w:rPr>
                <w:sz w:val="16"/>
              </w:rPr>
              <w:t>Current DRAP legislation/rules index; useful because provincial drug-sale rules differ.</w:t>
            </w:r>
          </w:p>
        </w:tc>
      </w:tr>
      <w:tr>
        <w:tc>
          <w:tcPr>
            <w:tcW w:type="dxa" w:w="2880"/>
            <w:vAlign w:val="top"/>
            <w:tcMar>
              <w:top w:w="60" w:type="dxa"/>
              <w:start w:w="70" w:type="dxa"/>
              <w:bottom w:w="60" w:type="dxa"/>
              <w:end w:w="70" w:type="dxa"/>
            </w:tcMar>
          </w:tcPr>
          <w:p>
            <w:r>
              <w:rPr>
                <w:sz w:val="16"/>
              </w:rPr>
              <w:t>Federal Board of Revenue - Technical Documentation for Digital Invoicing API Integration</w:t>
            </w:r>
          </w:p>
        </w:tc>
        <w:tc>
          <w:tcPr>
            <w:tcW w:type="dxa" w:w="3744"/>
            <w:vAlign w:val="top"/>
            <w:tcMar>
              <w:top w:w="60" w:type="dxa"/>
              <w:start w:w="70" w:type="dxa"/>
              <w:bottom w:w="60" w:type="dxa"/>
              <w:end w:w="70" w:type="dxa"/>
            </w:tcMar>
          </w:tcPr>
          <w:p>
            <w:r>
              <w:rPr>
                <w:sz w:val="16"/>
              </w:rPr>
              <w:t>https://ipv6.fbr.gov.pk/technical-documentation-di/163085/173959</w:t>
            </w:r>
          </w:p>
        </w:tc>
        <w:tc>
          <w:tcPr>
            <w:tcW w:type="dxa" w:w="4320"/>
            <w:vAlign w:val="top"/>
            <w:tcMar>
              <w:top w:w="60" w:type="dxa"/>
              <w:start w:w="70" w:type="dxa"/>
              <w:bottom w:w="60" w:type="dxa"/>
              <w:end w:w="70" w:type="dxa"/>
            </w:tcMar>
          </w:tcPr>
          <w:p>
            <w:r>
              <w:rPr>
                <w:sz w:val="16"/>
              </w:rPr>
              <w:t>Current FBR technical-documentation landing page for Digital Invoicing integration.</w:t>
            </w:r>
          </w:p>
        </w:tc>
      </w:tr>
      <w:tr>
        <w:tc>
          <w:tcPr>
            <w:tcW w:type="dxa" w:w="2880"/>
            <w:vAlign w:val="top"/>
            <w:tcMar>
              <w:top w:w="60" w:type="dxa"/>
              <w:start w:w="70" w:type="dxa"/>
              <w:bottom w:w="60" w:type="dxa"/>
              <w:end w:w="70" w:type="dxa"/>
            </w:tcMar>
          </w:tcPr>
          <w:p>
            <w:r>
              <w:rPr>
                <w:sz w:val="16"/>
              </w:rPr>
              <w:t>FBR / PRAL - Technical Specification for DI API v1.12</w:t>
            </w:r>
          </w:p>
        </w:tc>
        <w:tc>
          <w:tcPr>
            <w:tcW w:type="dxa" w:w="3744"/>
            <w:vAlign w:val="top"/>
            <w:tcMar>
              <w:top w:w="60" w:type="dxa"/>
              <w:start w:w="70" w:type="dxa"/>
              <w:bottom w:w="60" w:type="dxa"/>
              <w:end w:w="70" w:type="dxa"/>
            </w:tcMar>
          </w:tcPr>
          <w:p>
            <w:r>
              <w:rPr>
                <w:sz w:val="16"/>
              </w:rPr>
              <w:t>https://download1.fbr.gov.pk/Docs/20257301172130815TechnicalDocumentationforDIAPIV1.12.pdf</w:t>
            </w:r>
          </w:p>
        </w:tc>
        <w:tc>
          <w:tcPr>
            <w:tcW w:type="dxa" w:w="4320"/>
            <w:vAlign w:val="top"/>
            <w:tcMar>
              <w:top w:w="60" w:type="dxa"/>
              <w:start w:w="70" w:type="dxa"/>
              <w:bottom w:w="60" w:type="dxa"/>
              <w:end w:w="70" w:type="dxa"/>
            </w:tcMar>
          </w:tcPr>
          <w:p>
            <w:r>
              <w:rPr>
                <w:sz w:val="16"/>
              </w:rPr>
              <w:t>Documents real-time digital-invoicing validation/posting API behavior. Existing FBR adapter should remain the integration boundary.</w:t>
            </w:r>
          </w:p>
        </w:tc>
      </w:tr>
      <w:tr>
        <w:tc>
          <w:tcPr>
            <w:tcW w:type="dxa" w:w="2880"/>
            <w:vAlign w:val="top"/>
            <w:tcMar>
              <w:top w:w="60" w:type="dxa"/>
              <w:start w:w="70" w:type="dxa"/>
              <w:bottom w:w="60" w:type="dxa"/>
              <w:end w:w="70" w:type="dxa"/>
            </w:tcMar>
          </w:tcPr>
          <w:p>
            <w:r>
              <w:rPr>
                <w:sz w:val="16"/>
              </w:rPr>
              <w:t>Google AI for Developers - Gemini Developer API pricing</w:t>
            </w:r>
          </w:p>
        </w:tc>
        <w:tc>
          <w:tcPr>
            <w:tcW w:type="dxa" w:w="3744"/>
            <w:vAlign w:val="top"/>
            <w:tcMar>
              <w:top w:w="60" w:type="dxa"/>
              <w:start w:w="70" w:type="dxa"/>
              <w:bottom w:w="60" w:type="dxa"/>
              <w:end w:w="70" w:type="dxa"/>
            </w:tcMar>
          </w:tcPr>
          <w:p>
            <w:r>
              <w:rPr>
                <w:sz w:val="16"/>
              </w:rPr>
              <w:t>https://ai.google.dev/gemini-api/docs/pricing</w:t>
            </w:r>
          </w:p>
        </w:tc>
        <w:tc>
          <w:tcPr>
            <w:tcW w:type="dxa" w:w="4320"/>
            <w:vAlign w:val="top"/>
            <w:tcMar>
              <w:top w:w="60" w:type="dxa"/>
              <w:start w:w="70" w:type="dxa"/>
              <w:bottom w:w="60" w:type="dxa"/>
              <w:end w:w="70" w:type="dxa"/>
            </w:tcMar>
          </w:tcPr>
          <w:p>
            <w:r>
              <w:rPr>
                <w:sz w:val="16"/>
              </w:rPr>
              <w:t>Lists model/free-tier availability and indicates free-tier data may be used to improve Google products; therefore use sanitized operational data and provider abstraction.</w:t>
            </w:r>
          </w:p>
        </w:tc>
      </w:tr>
    </w:tbl>
    <w:p>
      <w:pPr>
        <w:spacing w:after="20"/>
      </w:pPr>
    </w:p>
    <w:p>
      <w:pPr>
        <w:pStyle w:val="SmallNote"/>
      </w:pPr>
      <w:r>
        <w:t>Accessed/validated for this architecture: 20 August 2026.</w:t>
      </w:r>
    </w:p>
    <w:p>
      <w:pPr>
        <w:pStyle w:val="Heading1"/>
      </w:pPr>
      <w:r>
        <w:t>Appendix C - Recommended Implementation Order at a Glance</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E5E7EB"/>
            <w:tcMar>
              <w:top w:w="60" w:type="dxa"/>
              <w:start w:w="70" w:type="dxa"/>
              <w:bottom w:w="60" w:type="dxa"/>
              <w:end w:w="70" w:type="dxa"/>
            </w:tcMar>
          </w:tcPr>
          <w:p>
            <w:r>
              <w:rPr>
                <w:b/>
                <w:sz w:val="17"/>
              </w:rPr>
              <w:t>Order</w:t>
            </w:r>
          </w:p>
        </w:tc>
        <w:tc>
          <w:tcPr>
            <w:tcW w:type="dxa" w:w="6336"/>
            <w:vAlign w:val="center"/>
            <w:shd w:fill="E5E7EB"/>
            <w:tcMar>
              <w:top w:w="60" w:type="dxa"/>
              <w:start w:w="70" w:type="dxa"/>
              <w:bottom w:w="60" w:type="dxa"/>
              <w:end w:w="70" w:type="dxa"/>
            </w:tcMar>
          </w:tcPr>
          <w:p>
            <w:r>
              <w:rPr>
                <w:b/>
                <w:sz w:val="17"/>
              </w:rPr>
              <w:t>Prompt</w:t>
            </w:r>
          </w:p>
        </w:tc>
        <w:tc>
          <w:tcPr>
            <w:tcW w:type="dxa" w:w="3888"/>
            <w:vAlign w:val="center"/>
            <w:shd w:fill="E5E7EB"/>
            <w:tcMar>
              <w:top w:w="60" w:type="dxa"/>
              <w:start w:w="70" w:type="dxa"/>
              <w:bottom w:w="60" w:type="dxa"/>
              <w:end w:w="70" w:type="dxa"/>
            </w:tcMar>
          </w:tcPr>
          <w:p>
            <w:r>
              <w:rPr>
                <w:b/>
                <w:sz w:val="17"/>
              </w:rPr>
              <w:t>Why now</w:t>
            </w:r>
          </w:p>
        </w:tc>
      </w:tr>
      <w:tr>
        <w:tc>
          <w:tcPr>
            <w:tcW w:type="dxa" w:w="864"/>
            <w:vAlign w:val="top"/>
            <w:tcMar>
              <w:top w:w="60" w:type="dxa"/>
              <w:start w:w="70" w:type="dxa"/>
              <w:bottom w:w="60" w:type="dxa"/>
              <w:end w:w="70" w:type="dxa"/>
            </w:tcMar>
          </w:tcPr>
          <w:p>
            <w:r>
              <w:rPr>
                <w:sz w:val="16"/>
              </w:rPr>
              <w:t>1</w:t>
            </w:r>
          </w:p>
        </w:tc>
        <w:tc>
          <w:tcPr>
            <w:tcW w:type="dxa" w:w="6336"/>
            <w:vAlign w:val="top"/>
            <w:tcMar>
              <w:top w:w="60" w:type="dxa"/>
              <w:start w:w="70" w:type="dxa"/>
              <w:bottom w:w="60" w:type="dxa"/>
              <w:end w:w="70" w:type="dxa"/>
            </w:tcMar>
          </w:tcPr>
          <w:p>
            <w:r>
              <w:rPr>
                <w:sz w:val="16"/>
              </w:rPr>
              <w:t>P2-01 - Phase-2 Architecture Audit and Baseline Lock</w:t>
            </w:r>
          </w:p>
        </w:tc>
        <w:tc>
          <w:tcPr>
            <w:tcW w:type="dxa" w:w="3888"/>
            <w:vAlign w:val="top"/>
            <w:tcMar>
              <w:top w:w="60" w:type="dxa"/>
              <w:start w:w="70" w:type="dxa"/>
              <w:bottom w:w="60" w:type="dxa"/>
              <w:end w:w="70" w:type="dxa"/>
            </w:tcMar>
          </w:tcPr>
          <w:p>
            <w:r>
              <w:rPr>
                <w:sz w:val="16"/>
              </w:rPr>
              <w:t>Lock the existing system first.</w:t>
            </w:r>
          </w:p>
        </w:tc>
      </w:tr>
      <w:tr>
        <w:tc>
          <w:tcPr>
            <w:tcW w:type="dxa" w:w="864"/>
            <w:vAlign w:val="top"/>
            <w:tcMar>
              <w:top w:w="60" w:type="dxa"/>
              <w:start w:w="70" w:type="dxa"/>
              <w:bottom w:w="60" w:type="dxa"/>
              <w:end w:w="70" w:type="dxa"/>
            </w:tcMar>
          </w:tcPr>
          <w:p>
            <w:r>
              <w:rPr>
                <w:sz w:val="16"/>
              </w:rPr>
              <w:t>2</w:t>
            </w:r>
          </w:p>
        </w:tc>
        <w:tc>
          <w:tcPr>
            <w:tcW w:type="dxa" w:w="6336"/>
            <w:vAlign w:val="top"/>
            <w:tcMar>
              <w:top w:w="60" w:type="dxa"/>
              <w:start w:w="70" w:type="dxa"/>
              <w:bottom w:w="60" w:type="dxa"/>
              <w:end w:w="70" w:type="dxa"/>
            </w:tcMar>
          </w:tcPr>
          <w:p>
            <w:r>
              <w:rPr>
                <w:sz w:val="16"/>
              </w:rPr>
              <w:t>P2-02 - Storage Constraints and Shelf Intelligence Foundation</w:t>
            </w:r>
          </w:p>
        </w:tc>
        <w:tc>
          <w:tcPr>
            <w:tcW w:type="dxa" w:w="3888"/>
            <w:vAlign w:val="top"/>
            <w:tcMar>
              <w:top w:w="60" w:type="dxa"/>
              <w:start w:w="70" w:type="dxa"/>
              <w:bottom w:w="60" w:type="dxa"/>
              <w:end w:w="70" w:type="dxa"/>
            </w:tcMar>
          </w:tcPr>
          <w:p>
            <w:r>
              <w:rPr>
                <w:sz w:val="16"/>
              </w:rPr>
              <w:t>Creates prerequisite domain rules.</w:t>
            </w:r>
          </w:p>
        </w:tc>
      </w:tr>
      <w:tr>
        <w:tc>
          <w:tcPr>
            <w:tcW w:type="dxa" w:w="864"/>
            <w:vAlign w:val="top"/>
            <w:tcMar>
              <w:top w:w="60" w:type="dxa"/>
              <w:start w:w="70" w:type="dxa"/>
              <w:bottom w:w="60" w:type="dxa"/>
              <w:end w:w="70" w:type="dxa"/>
            </w:tcMar>
          </w:tcPr>
          <w:p>
            <w:r>
              <w:rPr>
                <w:sz w:val="16"/>
              </w:rPr>
              <w:t>3</w:t>
            </w:r>
          </w:p>
        </w:tc>
        <w:tc>
          <w:tcPr>
            <w:tcW w:type="dxa" w:w="6336"/>
            <w:vAlign w:val="top"/>
            <w:tcMar>
              <w:top w:w="60" w:type="dxa"/>
              <w:start w:w="70" w:type="dxa"/>
              <w:bottom w:w="60" w:type="dxa"/>
              <w:end w:w="70" w:type="dxa"/>
            </w:tcMar>
          </w:tcPr>
          <w:p>
            <w:r>
              <w:rPr>
                <w:sz w:val="16"/>
              </w:rPr>
              <w:t>P2-03 - Shelf Optimization Engine and Review UI</w:t>
            </w:r>
          </w:p>
        </w:tc>
        <w:tc>
          <w:tcPr>
            <w:tcW w:type="dxa" w:w="3888"/>
            <w:vAlign w:val="top"/>
            <w:tcMar>
              <w:top w:w="60" w:type="dxa"/>
              <w:start w:w="70" w:type="dxa"/>
              <w:bottom w:w="60" w:type="dxa"/>
              <w:end w:w="70" w:type="dxa"/>
            </w:tcMar>
          </w:tcPr>
          <w:p>
            <w:r>
              <w:rPr>
                <w:sz w:val="16"/>
              </w:rPr>
              <w:t>Builds feature on validated dependencies.</w:t>
            </w:r>
          </w:p>
        </w:tc>
      </w:tr>
      <w:tr>
        <w:tc>
          <w:tcPr>
            <w:tcW w:type="dxa" w:w="864"/>
            <w:vAlign w:val="top"/>
            <w:tcMar>
              <w:top w:w="60" w:type="dxa"/>
              <w:start w:w="70" w:type="dxa"/>
              <w:bottom w:w="60" w:type="dxa"/>
              <w:end w:w="70" w:type="dxa"/>
            </w:tcMar>
          </w:tcPr>
          <w:p>
            <w:r>
              <w:rPr>
                <w:sz w:val="16"/>
              </w:rPr>
              <w:t>4</w:t>
            </w:r>
          </w:p>
        </w:tc>
        <w:tc>
          <w:tcPr>
            <w:tcW w:type="dxa" w:w="6336"/>
            <w:vAlign w:val="top"/>
            <w:tcMar>
              <w:top w:w="60" w:type="dxa"/>
              <w:start w:w="70" w:type="dxa"/>
              <w:bottom w:w="60" w:type="dxa"/>
              <w:end w:w="70" w:type="dxa"/>
            </w:tcMar>
          </w:tcPr>
          <w:p>
            <w:r>
              <w:rPr>
                <w:sz w:val="16"/>
              </w:rPr>
              <w:t>P2-04 - Expiry Risk and Loss-Prevention Work Queue</w:t>
            </w:r>
          </w:p>
        </w:tc>
        <w:tc>
          <w:tcPr>
            <w:tcW w:type="dxa" w:w="3888"/>
            <w:vAlign w:val="top"/>
            <w:tcMar>
              <w:top w:w="60" w:type="dxa"/>
              <w:start w:w="70" w:type="dxa"/>
              <w:bottom w:w="60" w:type="dxa"/>
              <w:end w:w="70" w:type="dxa"/>
            </w:tcMar>
          </w:tcPr>
          <w:p>
            <w:r>
              <w:rPr>
                <w:sz w:val="16"/>
              </w:rPr>
              <w:t>Builds feature on validated dependencies.</w:t>
            </w:r>
          </w:p>
        </w:tc>
      </w:tr>
      <w:tr>
        <w:tc>
          <w:tcPr>
            <w:tcW w:type="dxa" w:w="864"/>
            <w:vAlign w:val="top"/>
            <w:tcMar>
              <w:top w:w="60" w:type="dxa"/>
              <w:start w:w="70" w:type="dxa"/>
              <w:bottom w:w="60" w:type="dxa"/>
              <w:end w:w="70" w:type="dxa"/>
            </w:tcMar>
          </w:tcPr>
          <w:p>
            <w:r>
              <w:rPr>
                <w:sz w:val="16"/>
              </w:rPr>
              <w:t>5</w:t>
            </w:r>
          </w:p>
        </w:tc>
        <w:tc>
          <w:tcPr>
            <w:tcW w:type="dxa" w:w="6336"/>
            <w:vAlign w:val="top"/>
            <w:tcMar>
              <w:top w:w="60" w:type="dxa"/>
              <w:start w:w="70" w:type="dxa"/>
              <w:bottom w:w="60" w:type="dxa"/>
              <w:end w:w="70" w:type="dxa"/>
            </w:tcMar>
          </w:tcPr>
          <w:p>
            <w:r>
              <w:rPr>
                <w:sz w:val="16"/>
              </w:rPr>
              <w:t>P2-05 - Supplier Price History and Comparison</w:t>
            </w:r>
          </w:p>
        </w:tc>
        <w:tc>
          <w:tcPr>
            <w:tcW w:type="dxa" w:w="3888"/>
            <w:vAlign w:val="top"/>
            <w:tcMar>
              <w:top w:w="60" w:type="dxa"/>
              <w:start w:w="70" w:type="dxa"/>
              <w:bottom w:w="60" w:type="dxa"/>
              <w:end w:w="70" w:type="dxa"/>
            </w:tcMar>
          </w:tcPr>
          <w:p>
            <w:r>
              <w:rPr>
                <w:sz w:val="16"/>
              </w:rPr>
              <w:t>Builds feature on validated dependencies.</w:t>
            </w:r>
          </w:p>
        </w:tc>
      </w:tr>
      <w:tr>
        <w:tc>
          <w:tcPr>
            <w:tcW w:type="dxa" w:w="864"/>
            <w:vAlign w:val="top"/>
            <w:tcMar>
              <w:top w:w="60" w:type="dxa"/>
              <w:start w:w="70" w:type="dxa"/>
              <w:bottom w:w="60" w:type="dxa"/>
              <w:end w:w="70" w:type="dxa"/>
            </w:tcMar>
          </w:tcPr>
          <w:p>
            <w:r>
              <w:rPr>
                <w:sz w:val="16"/>
              </w:rPr>
              <w:t>6</w:t>
            </w:r>
          </w:p>
        </w:tc>
        <w:tc>
          <w:tcPr>
            <w:tcW w:type="dxa" w:w="6336"/>
            <w:vAlign w:val="top"/>
            <w:tcMar>
              <w:top w:w="60" w:type="dxa"/>
              <w:start w:w="70" w:type="dxa"/>
              <w:bottom w:w="60" w:type="dxa"/>
              <w:end w:w="70" w:type="dxa"/>
            </w:tcMar>
          </w:tcPr>
          <w:p>
            <w:r>
              <w:rPr>
                <w:sz w:val="16"/>
              </w:rPr>
              <w:t>P2-06 - Reorder and Purchase Forecasting v2</w:t>
            </w:r>
          </w:p>
        </w:tc>
        <w:tc>
          <w:tcPr>
            <w:tcW w:type="dxa" w:w="3888"/>
            <w:vAlign w:val="top"/>
            <w:tcMar>
              <w:top w:w="60" w:type="dxa"/>
              <w:start w:w="70" w:type="dxa"/>
              <w:bottom w:w="60" w:type="dxa"/>
              <w:end w:w="70" w:type="dxa"/>
            </w:tcMar>
          </w:tcPr>
          <w:p>
            <w:r>
              <w:rPr>
                <w:sz w:val="16"/>
              </w:rPr>
              <w:t>Builds feature on validated dependencies.</w:t>
            </w:r>
          </w:p>
        </w:tc>
      </w:tr>
      <w:tr>
        <w:tc>
          <w:tcPr>
            <w:tcW w:type="dxa" w:w="864"/>
            <w:vAlign w:val="top"/>
            <w:tcMar>
              <w:top w:w="60" w:type="dxa"/>
              <w:start w:w="70" w:type="dxa"/>
              <w:bottom w:w="60" w:type="dxa"/>
              <w:end w:w="70" w:type="dxa"/>
            </w:tcMar>
          </w:tcPr>
          <w:p>
            <w:r>
              <w:rPr>
                <w:sz w:val="16"/>
              </w:rPr>
              <w:t>7</w:t>
            </w:r>
          </w:p>
        </w:tc>
        <w:tc>
          <w:tcPr>
            <w:tcW w:type="dxa" w:w="6336"/>
            <w:vAlign w:val="top"/>
            <w:tcMar>
              <w:top w:w="60" w:type="dxa"/>
              <w:start w:w="70" w:type="dxa"/>
              <w:bottom w:w="60" w:type="dxa"/>
              <w:end w:w="70" w:type="dxa"/>
            </w:tcMar>
          </w:tcPr>
          <w:p>
            <w:r>
              <w:rPr>
                <w:sz w:val="16"/>
              </w:rPr>
              <w:t>P2-07 - Budget-Based Complete-Regimen Calculator</w:t>
            </w:r>
          </w:p>
        </w:tc>
        <w:tc>
          <w:tcPr>
            <w:tcW w:type="dxa" w:w="3888"/>
            <w:vAlign w:val="top"/>
            <w:tcMar>
              <w:top w:w="60" w:type="dxa"/>
              <w:start w:w="70" w:type="dxa"/>
              <w:bottom w:w="60" w:type="dxa"/>
              <w:end w:w="70" w:type="dxa"/>
            </w:tcMar>
          </w:tcPr>
          <w:p>
            <w:r>
              <w:rPr>
                <w:sz w:val="16"/>
              </w:rPr>
              <w:t>Builds feature on validated dependencies.</w:t>
            </w:r>
          </w:p>
        </w:tc>
      </w:tr>
      <w:tr>
        <w:tc>
          <w:tcPr>
            <w:tcW w:type="dxa" w:w="864"/>
            <w:vAlign w:val="top"/>
            <w:tcMar>
              <w:top w:w="60" w:type="dxa"/>
              <w:start w:w="70" w:type="dxa"/>
              <w:bottom w:w="60" w:type="dxa"/>
              <w:end w:w="70" w:type="dxa"/>
            </w:tcMar>
          </w:tcPr>
          <w:p>
            <w:r>
              <w:rPr>
                <w:sz w:val="16"/>
              </w:rPr>
              <w:t>8</w:t>
            </w:r>
          </w:p>
        </w:tc>
        <w:tc>
          <w:tcPr>
            <w:tcW w:type="dxa" w:w="6336"/>
            <w:vAlign w:val="top"/>
            <w:tcMar>
              <w:top w:w="60" w:type="dxa"/>
              <w:start w:w="70" w:type="dxa"/>
              <w:bottom w:w="60" w:type="dxa"/>
              <w:end w:w="70" w:type="dxa"/>
            </w:tcMar>
          </w:tcPr>
          <w:p>
            <w:r>
              <w:rPr>
                <w:sz w:val="16"/>
              </w:rPr>
              <w:t>P2-08 - Receipt QR and Return Lookup Hardening</w:t>
            </w:r>
          </w:p>
        </w:tc>
        <w:tc>
          <w:tcPr>
            <w:tcW w:type="dxa" w:w="3888"/>
            <w:vAlign w:val="top"/>
            <w:tcMar>
              <w:top w:w="60" w:type="dxa"/>
              <w:start w:w="70" w:type="dxa"/>
              <w:bottom w:w="60" w:type="dxa"/>
              <w:end w:w="70" w:type="dxa"/>
            </w:tcMar>
          </w:tcPr>
          <w:p>
            <w:r>
              <w:rPr>
                <w:sz w:val="16"/>
              </w:rPr>
              <w:t>Builds feature on validated dependencies.</w:t>
            </w:r>
          </w:p>
        </w:tc>
      </w:tr>
      <w:tr>
        <w:tc>
          <w:tcPr>
            <w:tcW w:type="dxa" w:w="864"/>
            <w:vAlign w:val="top"/>
            <w:tcMar>
              <w:top w:w="60" w:type="dxa"/>
              <w:start w:w="70" w:type="dxa"/>
              <w:bottom w:w="60" w:type="dxa"/>
              <w:end w:w="70" w:type="dxa"/>
            </w:tcMar>
          </w:tcPr>
          <w:p>
            <w:r>
              <w:rPr>
                <w:sz w:val="16"/>
              </w:rPr>
              <w:t>9</w:t>
            </w:r>
          </w:p>
        </w:tc>
        <w:tc>
          <w:tcPr>
            <w:tcW w:type="dxa" w:w="6336"/>
            <w:vAlign w:val="top"/>
            <w:tcMar>
              <w:top w:w="60" w:type="dxa"/>
              <w:start w:w="70" w:type="dxa"/>
              <w:bottom w:w="60" w:type="dxa"/>
              <w:end w:w="70" w:type="dxa"/>
            </w:tcMar>
          </w:tcPr>
          <w:p>
            <w:r>
              <w:rPr>
                <w:sz w:val="16"/>
              </w:rPr>
              <w:t>P2-09 - Owner AI Assistant - Backend, Tools and Provider Boundary</w:t>
            </w:r>
          </w:p>
        </w:tc>
        <w:tc>
          <w:tcPr>
            <w:tcW w:type="dxa" w:w="3888"/>
            <w:vAlign w:val="top"/>
            <w:tcMar>
              <w:top w:w="60" w:type="dxa"/>
              <w:start w:w="70" w:type="dxa"/>
              <w:bottom w:w="60" w:type="dxa"/>
              <w:end w:w="70" w:type="dxa"/>
            </w:tcMar>
          </w:tcPr>
          <w:p>
            <w:r>
              <w:rPr>
                <w:sz w:val="16"/>
              </w:rPr>
              <w:t>Adds optional AI only after deterministic intelligence exists.</w:t>
            </w:r>
          </w:p>
        </w:tc>
      </w:tr>
      <w:tr>
        <w:tc>
          <w:tcPr>
            <w:tcW w:type="dxa" w:w="864"/>
            <w:vAlign w:val="top"/>
            <w:tcMar>
              <w:top w:w="60" w:type="dxa"/>
              <w:start w:w="70" w:type="dxa"/>
              <w:bottom w:w="60" w:type="dxa"/>
              <w:end w:w="70" w:type="dxa"/>
            </w:tcMar>
          </w:tcPr>
          <w:p>
            <w:r>
              <w:rPr>
                <w:sz w:val="16"/>
              </w:rPr>
              <w:t>10</w:t>
            </w:r>
          </w:p>
        </w:tc>
        <w:tc>
          <w:tcPr>
            <w:tcW w:type="dxa" w:w="6336"/>
            <w:vAlign w:val="top"/>
            <w:tcMar>
              <w:top w:w="60" w:type="dxa"/>
              <w:start w:w="70" w:type="dxa"/>
              <w:bottom w:w="60" w:type="dxa"/>
              <w:end w:w="70" w:type="dxa"/>
            </w:tcMar>
          </w:tcPr>
          <w:p>
            <w:r>
              <w:rPr>
                <w:sz w:val="16"/>
              </w:rPr>
              <w:t>P2-10 - Owner AI Assistant - UX and Operational Explanations</w:t>
            </w:r>
          </w:p>
        </w:tc>
        <w:tc>
          <w:tcPr>
            <w:tcW w:type="dxa" w:w="3888"/>
            <w:vAlign w:val="top"/>
            <w:tcMar>
              <w:top w:w="60" w:type="dxa"/>
              <w:start w:w="70" w:type="dxa"/>
              <w:bottom w:w="60" w:type="dxa"/>
              <w:end w:w="70" w:type="dxa"/>
            </w:tcMar>
          </w:tcPr>
          <w:p>
            <w:r>
              <w:rPr>
                <w:sz w:val="16"/>
              </w:rPr>
              <w:t>Adds optional AI only after deterministic intelligence exists.</w:t>
            </w:r>
          </w:p>
        </w:tc>
      </w:tr>
      <w:tr>
        <w:tc>
          <w:tcPr>
            <w:tcW w:type="dxa" w:w="864"/>
            <w:vAlign w:val="top"/>
            <w:tcMar>
              <w:top w:w="60" w:type="dxa"/>
              <w:start w:w="70" w:type="dxa"/>
              <w:bottom w:w="60" w:type="dxa"/>
              <w:end w:w="70" w:type="dxa"/>
            </w:tcMar>
          </w:tcPr>
          <w:p>
            <w:r>
              <w:rPr>
                <w:sz w:val="16"/>
              </w:rPr>
              <w:t>11</w:t>
            </w:r>
          </w:p>
        </w:tc>
        <w:tc>
          <w:tcPr>
            <w:tcW w:type="dxa" w:w="6336"/>
            <w:vAlign w:val="top"/>
            <w:tcMar>
              <w:top w:w="60" w:type="dxa"/>
              <w:start w:w="70" w:type="dxa"/>
              <w:bottom w:w="60" w:type="dxa"/>
              <w:end w:w="70" w:type="dxa"/>
            </w:tcMar>
          </w:tcPr>
          <w:p>
            <w:r>
              <w:rPr>
                <w:sz w:val="16"/>
              </w:rPr>
              <w:t>P2-11 - Phase-2 Integration Hardening, Performance and Release Gate</w:t>
            </w:r>
          </w:p>
        </w:tc>
        <w:tc>
          <w:tcPr>
            <w:tcW w:type="dxa" w:w="3888"/>
            <w:vAlign w:val="top"/>
            <w:tcMar>
              <w:top w:w="60" w:type="dxa"/>
              <w:start w:w="70" w:type="dxa"/>
              <w:bottom w:w="60" w:type="dxa"/>
              <w:end w:w="70" w:type="dxa"/>
            </w:tcMar>
          </w:tcPr>
          <w:p>
            <w:r>
              <w:rPr>
                <w:sz w:val="16"/>
              </w:rPr>
              <w:t>Release hardening and proof.</w:t>
            </w:r>
          </w:p>
        </w:tc>
      </w:tr>
    </w:tbl>
    <w:p>
      <w:pPr>
        <w:spacing w:after="20"/>
      </w:pPr>
    </w:p>
    <w:p>
      <w:pPr>
        <w:pStyle w:val="Heading1"/>
      </w:pPr>
      <w:r>
        <w:t>Final Architecture Decision</w:t>
      </w:r>
    </w:p>
    <w:p>
      <w:r>
        <w:t>Phase 2 should make the product smarter without making it more fragile. The winning design is not 'AI everywhere'. It is a dependable pharmacy core that collects trustworthy operational data, converts that data into explainable deterministic recommendations, and then uses AI only as a controlled natural-language layer for the owner. This keeps the system commercially useful on low-cost hardware, safer for pharmacy operations, and easier to support.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Implementation Architecture &amp; Codex/Claude Prompt Book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5"/>
      </w:rPr>
      <w:t>PHARMACYOS | PHASE 2 - OPERATIONAL INTELLIGENCE &amp; OWNER ASSISTANCE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1F293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144"/>
    </w:pPr>
    <w:rPr>
      <w:rFonts w:ascii="Consolas" w:hAnsi="Consolas"/>
      <w:sz w:val="17"/>
    </w:rPr>
  </w:style>
  <w:style w:type="paragraph" w:customStyle="1" w:styleId="SmallNote">
    <w:name w:val="Small Note"/>
    <w:pPr>
      <w:spacing w:after="60"/>
    </w:pPr>
    <w:rPr>
      <w:rFonts w:ascii="Aptos" w:hAnsi="Aptos"/>
      <w:i/>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