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2 Test Plan</w:t>
        <w:br/>
        <w:t>and Feature Audit</w:t>
      </w:r>
    </w:p>
    <w:p>
      <w:pPr>
        <w:pStyle w:val="Subtitle"/>
      </w:pPr>
      <w:r>
        <w:rPr>
          <w:color w:val="2E74B5"/>
          <w:sz w:val="32"/>
        </w:rPr>
        <w:t>Operational Intelligence &amp; Owner Assistance</w:t>
      </w:r>
    </w:p>
    <w:tbl>
      <w:tblPr>
        <w:tblStyle w:val="TableGrid"/>
        <w:tblW w:type="dxa" w:w="9360"/>
        <w:jc w:val="left"/>
        <w:tblLayout w:type="fixed"/>
        <w:tblLook w:firstColumn="1" w:firstRow="1" w:lastColumn="0" w:lastRow="0" w:noHBand="0" w:noVBand="1" w:val="04A0"/>
      </w:tblPr>
      <w:tblGrid>
        <w:gridCol w:w="4680"/>
        <w:gridCol w:w="4680"/>
      </w:tblGrid>
      <w:tr>
        <w:tc>
          <w:tcPr>
            <w:tcW w:type="dxa" w:w="2200"/>
            <w:shd w:fill="E8EEF5"/>
            <w:vAlign w:val="center"/>
            <w:tcMar>
              <w:top w:w="80" w:type="dxa"/>
              <w:start w:w="120" w:type="dxa"/>
              <w:bottom w:w="80" w:type="dxa"/>
              <w:end w:w="120" w:type="dxa"/>
            </w:tcMar>
          </w:tcPr>
          <w:p>
            <w:r>
              <w:rPr>
                <w:b/>
                <w:color w:val="1F4D78"/>
              </w:rPr>
              <w:t>Audit field</w:t>
            </w:r>
          </w:p>
        </w:tc>
        <w:tc>
          <w:tcPr>
            <w:tcW w:type="dxa" w:w="7160"/>
            <w:shd w:fill="E8EEF5"/>
            <w:vAlign w:val="center"/>
            <w:tcMar>
              <w:top w:w="80" w:type="dxa"/>
              <w:start w:w="120" w:type="dxa"/>
              <w:bottom w:w="80" w:type="dxa"/>
              <w:end w:w="120" w:type="dxa"/>
            </w:tcMar>
          </w:tcPr>
          <w:p>
            <w:r>
              <w:rPr>
                <w:b/>
                <w:color w:val="1F4D78"/>
              </w:rPr>
              <w:t>Recorded value</w:t>
            </w:r>
          </w:p>
        </w:tc>
      </w:tr>
      <w:tr>
        <w:trPr>
          <w:cantSplit/>
        </w:trPr>
        <w:tc>
          <w:tcPr>
            <w:tcW w:type="dxa" w:w="2200"/>
            <w:vAlign w:val="top"/>
            <w:tcMar>
              <w:top w:w="80" w:type="dxa"/>
              <w:start w:w="120" w:type="dxa"/>
              <w:bottom w:w="80" w:type="dxa"/>
              <w:end w:w="120" w:type="dxa"/>
            </w:tcMar>
          </w:tcPr>
          <w:p>
            <w:r>
              <w:t>Repository</w:t>
            </w:r>
          </w:p>
        </w:tc>
        <w:tc>
          <w:tcPr>
            <w:tcW w:type="dxa" w:w="7160"/>
            <w:vAlign w:val="top"/>
            <w:tcMar>
              <w:top w:w="80" w:type="dxa"/>
              <w:start w:w="120" w:type="dxa"/>
              <w:bottom w:w="80" w:type="dxa"/>
              <w:end w:w="120" w:type="dxa"/>
            </w:tcMar>
          </w:tcPr>
          <w:p>
            <w:r>
              <w:t>C:\Users\mtaha\Desktop\Projects\PharmacyOS</w:t>
            </w:r>
          </w:p>
        </w:tc>
      </w:tr>
      <w:tr>
        <w:trPr>
          <w:cantSplit/>
        </w:trPr>
        <w:tc>
          <w:tcPr>
            <w:tcW w:type="dxa" w:w="2200"/>
            <w:vAlign w:val="top"/>
            <w:tcMar>
              <w:top w:w="80" w:type="dxa"/>
              <w:start w:w="120" w:type="dxa"/>
              <w:bottom w:w="80" w:type="dxa"/>
              <w:end w:w="120" w:type="dxa"/>
            </w:tcMar>
          </w:tcPr>
          <w:p>
            <w:r>
              <w:t>Requirements source</w:t>
            </w:r>
          </w:p>
        </w:tc>
        <w:tc>
          <w:tcPr>
            <w:tcW w:type="dxa" w:w="7160"/>
            <w:vAlign w:val="top"/>
            <w:tcMar>
              <w:top w:w="80" w:type="dxa"/>
              <w:start w:w="120" w:type="dxa"/>
              <w:bottom w:w="80" w:type="dxa"/>
              <w:end w:w="120" w:type="dxa"/>
            </w:tcMar>
          </w:tcPr>
          <w:p>
            <w:r>
              <w:t>PharmacyOS Phase 2 Architecture and Implementation Prompts</w:t>
            </w:r>
          </w:p>
        </w:tc>
      </w:tr>
      <w:tr>
        <w:trPr>
          <w:cantSplit/>
        </w:trPr>
        <w:tc>
          <w:tcPr>
            <w:tcW w:type="dxa" w:w="2200"/>
            <w:vAlign w:val="top"/>
            <w:tcMar>
              <w:top w:w="80" w:type="dxa"/>
              <w:start w:w="120" w:type="dxa"/>
              <w:bottom w:w="80" w:type="dxa"/>
              <w:end w:w="120" w:type="dxa"/>
            </w:tcMar>
          </w:tcPr>
          <w:p>
            <w:r>
              <w:t>Audit date</w:t>
            </w:r>
          </w:p>
        </w:tc>
        <w:tc>
          <w:tcPr>
            <w:tcW w:type="dxa" w:w="7160"/>
            <w:vAlign w:val="top"/>
            <w:tcMar>
              <w:top w:w="80" w:type="dxa"/>
              <w:start w:w="120" w:type="dxa"/>
              <w:bottom w:w="80" w:type="dxa"/>
              <w:end w:w="120" w:type="dxa"/>
            </w:tcMar>
          </w:tcPr>
          <w:p>
            <w:r>
              <w:t>2026-08-20</w:t>
            </w:r>
          </w:p>
        </w:tc>
      </w:tr>
      <w:tr>
        <w:trPr>
          <w:cantSplit/>
        </w:trPr>
        <w:tc>
          <w:tcPr>
            <w:tcW w:type="dxa" w:w="2200"/>
            <w:vAlign w:val="top"/>
            <w:tcMar>
              <w:top w:w="80" w:type="dxa"/>
              <w:start w:w="120" w:type="dxa"/>
              <w:bottom w:w="80" w:type="dxa"/>
              <w:end w:w="120" w:type="dxa"/>
            </w:tcMar>
          </w:tcPr>
          <w:p>
            <w:r>
              <w:t>Verification policy</w:t>
            </w:r>
          </w:p>
        </w:tc>
        <w:tc>
          <w:tcPr>
            <w:tcW w:type="dxa" w:w="7160"/>
            <w:vAlign w:val="top"/>
            <w:tcMar>
              <w:top w:w="80" w:type="dxa"/>
              <w:start w:w="120" w:type="dxa"/>
              <w:bottom w:w="80" w:type="dxa"/>
              <w:end w:w="120" w:type="dxa"/>
            </w:tcMar>
          </w:tcPr>
          <w:p>
            <w:r>
              <w:t>Lightweight only: lint, strict TypeScript, production build, disposable PostgreSQL migration smoke</w:t>
            </w:r>
          </w:p>
        </w:tc>
      </w:tr>
      <w:tr>
        <w:trPr>
          <w:cantSplit/>
        </w:trPr>
        <w:tc>
          <w:tcPr>
            <w:tcW w:type="dxa" w:w="2200"/>
            <w:vAlign w:val="top"/>
            <w:tcMar>
              <w:top w:w="80" w:type="dxa"/>
              <w:start w:w="120" w:type="dxa"/>
              <w:bottom w:w="80" w:type="dxa"/>
              <w:end w:w="120" w:type="dxa"/>
            </w:tcMar>
          </w:tcPr>
          <w:p>
            <w:r>
              <w:t>Release decision</w:t>
            </w:r>
          </w:p>
        </w:tc>
        <w:tc>
          <w:tcPr>
            <w:tcW w:type="dxa" w:w="7160"/>
            <w:vAlign w:val="top"/>
            <w:tcMar>
              <w:top w:w="80" w:type="dxa"/>
              <w:start w:w="120" w:type="dxa"/>
              <w:bottom w:w="80" w:type="dxa"/>
              <w:end w:w="120" w:type="dxa"/>
            </w:tcMar>
          </w:tcPr>
          <w:p>
            <w:r>
              <w:t>NOT RELEASE-READY — coding foundation is substantial; listed P0 proof and integration gaps remain</w:t>
            </w:r>
          </w:p>
        </w:tc>
      </w:tr>
    </w:tbl>
    <w:p>
      <w:pPr>
        <w:spacing w:after="0"/>
      </w:pPr>
    </w:p>
    <w:p>
      <w:pPr>
        <w:pStyle w:val="Heading1"/>
      </w:pPr>
      <w:r>
        <w:t>Executive verdict</w:t>
      </w:r>
    </w:p>
    <w:p>
      <w:r>
        <w:rPr>
          <w:b/>
        </w:rPr>
        <w:t xml:space="preserve">Outcome: </w:t>
      </w:r>
      <w:r>
        <w:t>The Phase 2 backend foundation, durable jobs, core deterministic calculations, RBAC permissions, and operational UI surfaces are implemented. The repository is now materially ahead of its earlier foundation state, but it is not honest to label the complete commercial feature set finished until missing UI links, external adapters, and representative-data verification are completed.</w:t>
      </w:r>
    </w:p>
    <w:p>
      <w:pPr>
        <w:numPr>
          <w:ilvl w:val="0"/>
          <w:numId w:val="10"/>
        </w:numPr>
      </w:pPr>
      <w:r>
        <w:rPr>
          <w:b/>
        </w:rPr>
        <w:t>Verified now:</w:t>
      </w:r>
      <w:r>
        <w:t xml:space="preserve"> zero-warning lint; strict TypeScript across all workspaces; production build; PostgreSQL 18 migration chain on a disposable database.</w:t>
      </w:r>
    </w:p>
    <w:p>
      <w:pPr>
        <w:numPr>
          <w:ilvl w:val="0"/>
          <w:numId w:val="10"/>
        </w:numPr>
      </w:pPr>
      <w:r>
        <w:rPr>
          <w:b/>
        </w:rPr>
        <w:t>Deliberately not run now:</w:t>
      </w:r>
      <w:r>
        <w:t xml:space="preserve"> full unit/integration/E2E/concurrency/security/performance suites, per the request to prioritize implementation first.</w:t>
      </w:r>
    </w:p>
    <w:p>
      <w:pPr>
        <w:numPr>
          <w:ilvl w:val="0"/>
          <w:numId w:val="10"/>
        </w:numPr>
      </w:pPr>
      <w:r>
        <w:rPr>
          <w:b/>
        </w:rPr>
        <w:t>Release blockers:</w:t>
      </w:r>
      <w:r>
        <w:t xml:space="preserve"> real FBR return adapter, complete return/procurement operator UI, backup/restore evidence, hardware QR validation, and P0 regression/concurrency proof.</w:t>
      </w:r>
    </w:p>
    <w:p>
      <w:r>
        <w:br w:type="page"/>
      </w:r>
    </w:p>
    <w:p>
      <w:pPr>
        <w:pStyle w:val="Heading1"/>
      </w:pPr>
      <w:r>
        <w:t>1. Verification actually performed</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200"/>
            <w:shd w:fill="E8EEF5"/>
            <w:vAlign w:val="center"/>
            <w:tcMar>
              <w:top w:w="80" w:type="dxa"/>
              <w:start w:w="120" w:type="dxa"/>
              <w:bottom w:w="80" w:type="dxa"/>
              <w:end w:w="120" w:type="dxa"/>
            </w:tcMar>
          </w:tcPr>
          <w:p>
            <w:r>
              <w:rPr>
                <w:b/>
                <w:color w:val="1F4D78"/>
              </w:rPr>
              <w:t>Gate</w:t>
            </w:r>
          </w:p>
        </w:tc>
        <w:tc>
          <w:tcPr>
            <w:tcW w:type="dxa" w:w="1350"/>
            <w:shd w:fill="E8EEF5"/>
            <w:vAlign w:val="center"/>
            <w:tcMar>
              <w:top w:w="80" w:type="dxa"/>
              <w:start w:w="120" w:type="dxa"/>
              <w:bottom w:w="80" w:type="dxa"/>
              <w:end w:w="120" w:type="dxa"/>
            </w:tcMar>
          </w:tcPr>
          <w:p>
            <w:r>
              <w:rPr>
                <w:b/>
                <w:color w:val="1F4D78"/>
              </w:rPr>
              <w:t>Result</w:t>
            </w:r>
          </w:p>
        </w:tc>
        <w:tc>
          <w:tcPr>
            <w:tcW w:type="dxa" w:w="5810"/>
            <w:shd w:fill="E8EEF5"/>
            <w:vAlign w:val="center"/>
            <w:tcMar>
              <w:top w:w="80" w:type="dxa"/>
              <w:start w:w="120" w:type="dxa"/>
              <w:bottom w:w="80" w:type="dxa"/>
              <w:end w:w="120" w:type="dxa"/>
            </w:tcMar>
          </w:tcPr>
          <w:p>
            <w:r>
              <w:rPr>
                <w:b/>
                <w:color w:val="1F4D78"/>
              </w:rPr>
              <w:t>Evidence / boundary</w:t>
            </w:r>
          </w:p>
        </w:tc>
      </w:tr>
      <w:tr>
        <w:trPr>
          <w:cantSplit/>
        </w:trPr>
        <w:tc>
          <w:tcPr>
            <w:tcW w:type="dxa" w:w="2200"/>
            <w:vAlign w:val="top"/>
            <w:tcMar>
              <w:top w:w="80" w:type="dxa"/>
              <w:start w:w="120" w:type="dxa"/>
              <w:bottom w:w="80" w:type="dxa"/>
              <w:end w:w="120" w:type="dxa"/>
            </w:tcMar>
          </w:tcPr>
          <w:p>
            <w:r>
              <w:t>ESLint</w:t>
            </w:r>
          </w:p>
        </w:tc>
        <w:tc>
          <w:tcPr>
            <w:tcW w:type="dxa" w:w="1350"/>
            <w:vAlign w:val="top"/>
            <w:shd w:fill="DDEFE8"/>
            <w:tcMar>
              <w:top w:w="80" w:type="dxa"/>
              <w:start w:w="120" w:type="dxa"/>
              <w:bottom w:w="80" w:type="dxa"/>
              <w:end w:w="120" w:type="dxa"/>
            </w:tcMar>
          </w:tcPr>
          <w:p>
            <w:r>
              <w:rPr>
                <w:b/>
              </w:rPr>
              <w:t>Pass</w:t>
            </w:r>
          </w:p>
        </w:tc>
        <w:tc>
          <w:tcPr>
            <w:tcW w:type="dxa" w:w="5810"/>
            <w:vAlign w:val="top"/>
            <w:tcMar>
              <w:top w:w="80" w:type="dxa"/>
              <w:start w:w="120" w:type="dxa"/>
              <w:bottom w:w="80" w:type="dxa"/>
              <w:end w:w="120" w:type="dxa"/>
            </w:tcMar>
          </w:tcPr>
          <w:p>
            <w:r>
              <w:t>npm run lint completed with zero warnings and zero errors.</w:t>
            </w:r>
          </w:p>
        </w:tc>
      </w:tr>
      <w:tr>
        <w:trPr>
          <w:cantSplit/>
        </w:trPr>
        <w:tc>
          <w:tcPr>
            <w:tcW w:type="dxa" w:w="2200"/>
            <w:vAlign w:val="top"/>
            <w:tcMar>
              <w:top w:w="80" w:type="dxa"/>
              <w:start w:w="120" w:type="dxa"/>
              <w:bottom w:w="80" w:type="dxa"/>
              <w:end w:w="120" w:type="dxa"/>
            </w:tcMar>
          </w:tcPr>
          <w:p>
            <w:r>
              <w:t>Strict TypeScript</w:t>
            </w:r>
          </w:p>
        </w:tc>
        <w:tc>
          <w:tcPr>
            <w:tcW w:type="dxa" w:w="1350"/>
            <w:vAlign w:val="top"/>
            <w:shd w:fill="DDEFE8"/>
            <w:tcMar>
              <w:top w:w="80" w:type="dxa"/>
              <w:start w:w="120" w:type="dxa"/>
              <w:bottom w:w="80" w:type="dxa"/>
              <w:end w:w="120" w:type="dxa"/>
            </w:tcMar>
          </w:tcPr>
          <w:p>
            <w:r>
              <w:rPr>
                <w:b/>
              </w:rPr>
              <w:t>Pass</w:t>
            </w:r>
          </w:p>
        </w:tc>
        <w:tc>
          <w:tcPr>
            <w:tcW w:type="dxa" w:w="5810"/>
            <w:vAlign w:val="top"/>
            <w:tcMar>
              <w:top w:w="80" w:type="dxa"/>
              <w:start w:w="120" w:type="dxa"/>
              <w:bottom w:w="80" w:type="dxa"/>
              <w:end w:w="120" w:type="dxa"/>
            </w:tcMar>
          </w:tcPr>
          <w:p>
            <w:r>
              <w:t>npm run typecheck passed for API, web, worker, config, database, and shared workspaces.</w:t>
            </w:r>
          </w:p>
        </w:tc>
      </w:tr>
      <w:tr>
        <w:trPr>
          <w:cantSplit/>
        </w:trPr>
        <w:tc>
          <w:tcPr>
            <w:tcW w:type="dxa" w:w="2200"/>
            <w:vAlign w:val="top"/>
            <w:tcMar>
              <w:top w:w="80" w:type="dxa"/>
              <w:start w:w="120" w:type="dxa"/>
              <w:bottom w:w="80" w:type="dxa"/>
              <w:end w:w="120" w:type="dxa"/>
            </w:tcMar>
          </w:tcPr>
          <w:p>
            <w:r>
              <w:t>Production build</w:t>
            </w:r>
          </w:p>
        </w:tc>
        <w:tc>
          <w:tcPr>
            <w:tcW w:type="dxa" w:w="1350"/>
            <w:vAlign w:val="top"/>
            <w:shd w:fill="DDEFE8"/>
            <w:tcMar>
              <w:top w:w="80" w:type="dxa"/>
              <w:start w:w="120" w:type="dxa"/>
              <w:bottom w:w="80" w:type="dxa"/>
              <w:end w:w="120" w:type="dxa"/>
            </w:tcMar>
          </w:tcPr>
          <w:p>
            <w:r>
              <w:rPr>
                <w:b/>
              </w:rPr>
              <w:t>Pass</w:t>
            </w:r>
          </w:p>
        </w:tc>
        <w:tc>
          <w:tcPr>
            <w:tcW w:type="dxa" w:w="5810"/>
            <w:vAlign w:val="top"/>
            <w:tcMar>
              <w:top w:w="80" w:type="dxa"/>
              <w:start w:w="120" w:type="dxa"/>
              <w:bottom w:w="80" w:type="dxa"/>
              <w:end w:w="120" w:type="dxa"/>
            </w:tcMar>
          </w:tcPr>
          <w:p>
            <w:r>
              <w:t>npm run build completed; Vite produced the production web bundle and all Node packages compiled.</w:t>
            </w:r>
          </w:p>
        </w:tc>
      </w:tr>
      <w:tr>
        <w:trPr>
          <w:cantSplit/>
        </w:trPr>
        <w:tc>
          <w:tcPr>
            <w:tcW w:type="dxa" w:w="2200"/>
            <w:vAlign w:val="top"/>
            <w:tcMar>
              <w:top w:w="80" w:type="dxa"/>
              <w:start w:w="120" w:type="dxa"/>
              <w:bottom w:w="80" w:type="dxa"/>
              <w:end w:w="120" w:type="dxa"/>
            </w:tcMar>
          </w:tcPr>
          <w:p>
            <w:r>
              <w:t>Database migration smoke</w:t>
            </w:r>
          </w:p>
        </w:tc>
        <w:tc>
          <w:tcPr>
            <w:tcW w:type="dxa" w:w="1350"/>
            <w:vAlign w:val="top"/>
            <w:shd w:fill="DDEFE8"/>
            <w:tcMar>
              <w:top w:w="80" w:type="dxa"/>
              <w:start w:w="120" w:type="dxa"/>
              <w:bottom w:w="80" w:type="dxa"/>
              <w:end w:w="120" w:type="dxa"/>
            </w:tcMar>
          </w:tcPr>
          <w:p>
            <w:r>
              <w:rPr>
                <w:b/>
              </w:rPr>
              <w:t>Pass</w:t>
            </w:r>
          </w:p>
        </w:tc>
        <w:tc>
          <w:tcPr>
            <w:tcW w:type="dxa" w:w="5810"/>
            <w:vAlign w:val="top"/>
            <w:tcMar>
              <w:top w:w="80" w:type="dxa"/>
              <w:start w:w="120" w:type="dxa"/>
              <w:bottom w:w="80" w:type="dxa"/>
              <w:end w:w="120" w:type="dxa"/>
            </w:tcMar>
          </w:tcPr>
          <w:p>
            <w:r>
              <w:t>Migrations 001–005 applied to disposable `postgres:18-alpine`; schema query returned 54 public tables.</w:t>
            </w:r>
          </w:p>
        </w:tc>
      </w:tr>
      <w:tr>
        <w:trPr>
          <w:cantSplit/>
        </w:trPr>
        <w:tc>
          <w:tcPr>
            <w:tcW w:type="dxa" w:w="2200"/>
            <w:vAlign w:val="top"/>
            <w:tcMar>
              <w:top w:w="80" w:type="dxa"/>
              <w:start w:w="120" w:type="dxa"/>
              <w:bottom w:w="80" w:type="dxa"/>
              <w:end w:w="120" w:type="dxa"/>
            </w:tcMar>
          </w:tcPr>
          <w:p>
            <w:r>
              <w:t>Full automated tests</w:t>
            </w:r>
          </w:p>
        </w:tc>
        <w:tc>
          <w:tcPr>
            <w:tcW w:type="dxa" w:w="1350"/>
            <w:vAlign w:val="top"/>
            <w:shd w:fill="FFF0CC"/>
            <w:tcMar>
              <w:top w:w="80" w:type="dxa"/>
              <w:start w:w="120" w:type="dxa"/>
              <w:bottom w:w="80" w:type="dxa"/>
              <w:end w:w="120" w:type="dxa"/>
            </w:tcMar>
          </w:tcPr>
          <w:p>
            <w:r>
              <w:rPr>
                <w:b/>
              </w:rPr>
              <w:t>Pending</w:t>
            </w:r>
          </w:p>
        </w:tc>
        <w:tc>
          <w:tcPr>
            <w:tcW w:type="dxa" w:w="5810"/>
            <w:vAlign w:val="top"/>
            <w:tcMar>
              <w:top w:w="80" w:type="dxa"/>
              <w:start w:w="120" w:type="dxa"/>
              <w:bottom w:w="80" w:type="dxa"/>
              <w:end w:w="120" w:type="dxa"/>
            </w:tcMar>
          </w:tcPr>
          <w:p>
            <w:r>
              <w:t>Not run in this implementation-first pass.</w:t>
            </w:r>
          </w:p>
        </w:tc>
      </w:tr>
      <w:tr>
        <w:trPr>
          <w:cantSplit/>
        </w:trPr>
        <w:tc>
          <w:tcPr>
            <w:tcW w:type="dxa" w:w="2200"/>
            <w:vAlign w:val="top"/>
            <w:tcMar>
              <w:top w:w="80" w:type="dxa"/>
              <w:start w:w="120" w:type="dxa"/>
              <w:bottom w:w="80" w:type="dxa"/>
              <w:end w:w="120" w:type="dxa"/>
            </w:tcMar>
          </w:tcPr>
          <w:p>
            <w:r>
              <w:t>Docker Compose application smoke</w:t>
            </w:r>
          </w:p>
        </w:tc>
        <w:tc>
          <w:tcPr>
            <w:tcW w:type="dxa" w:w="1350"/>
            <w:vAlign w:val="top"/>
            <w:shd w:fill="FFF0CC"/>
            <w:tcMar>
              <w:top w:w="80" w:type="dxa"/>
              <w:start w:w="120" w:type="dxa"/>
              <w:bottom w:w="80" w:type="dxa"/>
              <w:end w:w="120" w:type="dxa"/>
            </w:tcMar>
          </w:tcPr>
          <w:p>
            <w:r>
              <w:rPr>
                <w:b/>
              </w:rPr>
              <w:t>Pending</w:t>
            </w:r>
          </w:p>
        </w:tc>
        <w:tc>
          <w:tcPr>
            <w:tcW w:type="dxa" w:w="5810"/>
            <w:vAlign w:val="top"/>
            <w:tcMar>
              <w:top w:w="80" w:type="dxa"/>
              <w:start w:w="120" w:type="dxa"/>
              <w:bottom w:w="80" w:type="dxa"/>
              <w:end w:w="120" w:type="dxa"/>
            </w:tcMar>
          </w:tcPr>
          <w:p>
            <w:r>
              <w:t>Requires configured project secrets, seeded branch/users, and deliberate application test data.</w:t>
            </w:r>
          </w:p>
        </w:tc>
      </w:tr>
    </w:tbl>
    <w:p>
      <w:pPr>
        <w:spacing w:after="0"/>
      </w:pPr>
    </w:p>
    <w:p>
      <w:r>
        <w:br w:type="page"/>
      </w:r>
    </w:p>
    <w:p>
      <w:pPr>
        <w:pStyle w:val="Heading1"/>
      </w:pPr>
      <w:r>
        <w:t>2. Feature implementation audit</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1450"/>
            <w:shd w:fill="E8EEF5"/>
            <w:vAlign w:val="center"/>
            <w:tcMar>
              <w:top w:w="80" w:type="dxa"/>
              <w:start w:w="120" w:type="dxa"/>
              <w:bottom w:w="80" w:type="dxa"/>
              <w:end w:w="120" w:type="dxa"/>
            </w:tcMar>
          </w:tcPr>
          <w:p>
            <w:r>
              <w:rPr>
                <w:b/>
                <w:color w:val="1F4D78"/>
              </w:rPr>
              <w:t>Feature</w:t>
            </w:r>
          </w:p>
        </w:tc>
        <w:tc>
          <w:tcPr>
            <w:tcW w:type="dxa" w:w="1450"/>
            <w:shd w:fill="E8EEF5"/>
            <w:vAlign w:val="center"/>
            <w:tcMar>
              <w:top w:w="80" w:type="dxa"/>
              <w:start w:w="120" w:type="dxa"/>
              <w:bottom w:w="80" w:type="dxa"/>
              <w:end w:w="120" w:type="dxa"/>
            </w:tcMar>
          </w:tcPr>
          <w:p>
            <w:r>
              <w:rPr>
                <w:b/>
                <w:color w:val="1F4D78"/>
              </w:rPr>
              <w:t>Status</w:t>
            </w:r>
          </w:p>
        </w:tc>
        <w:tc>
          <w:tcPr>
            <w:tcW w:type="dxa" w:w="3250"/>
            <w:shd w:fill="E8EEF5"/>
            <w:vAlign w:val="center"/>
            <w:tcMar>
              <w:top w:w="80" w:type="dxa"/>
              <w:start w:w="120" w:type="dxa"/>
              <w:bottom w:w="80" w:type="dxa"/>
              <w:end w:w="120" w:type="dxa"/>
            </w:tcMar>
          </w:tcPr>
          <w:p>
            <w:r>
              <w:rPr>
                <w:b/>
                <w:color w:val="1F4D78"/>
              </w:rPr>
              <w:t>Implemented now</w:t>
            </w:r>
          </w:p>
        </w:tc>
        <w:tc>
          <w:tcPr>
            <w:tcW w:type="dxa" w:w="3210"/>
            <w:shd w:fill="E8EEF5"/>
            <w:vAlign w:val="center"/>
            <w:tcMar>
              <w:top w:w="80" w:type="dxa"/>
              <w:start w:w="120" w:type="dxa"/>
              <w:bottom w:w="80" w:type="dxa"/>
              <w:end w:w="120" w:type="dxa"/>
            </w:tcMar>
          </w:tcPr>
          <w:p>
            <w:r>
              <w:rPr>
                <w:b/>
                <w:color w:val="1F4D78"/>
              </w:rPr>
              <w:t>Remaining gap / proof</w:t>
            </w:r>
          </w:p>
        </w:tc>
      </w:tr>
      <w:tr>
        <w:trPr>
          <w:cantSplit/>
        </w:trPr>
        <w:tc>
          <w:tcPr>
            <w:tcW w:type="dxa" w:w="1450"/>
            <w:vAlign w:val="top"/>
            <w:tcMar>
              <w:top w:w="80" w:type="dxa"/>
              <w:start w:w="120" w:type="dxa"/>
              <w:bottom w:w="80" w:type="dxa"/>
              <w:end w:w="120" w:type="dxa"/>
            </w:tcMar>
          </w:tcPr>
          <w:p>
            <w:r>
              <w:t>Shelf optimization</w:t>
            </w:r>
          </w:p>
        </w:tc>
        <w:tc>
          <w:tcPr>
            <w:tcW w:type="dxa" w:w="1450"/>
            <w:vAlign w:val="top"/>
            <w:shd w:fill="DDEFE8"/>
            <w:tcMar>
              <w:top w:w="80" w:type="dxa"/>
              <w:start w:w="120" w:type="dxa"/>
              <w:bottom w:w="80" w:type="dxa"/>
              <w:end w:w="120" w:type="dxa"/>
            </w:tcMar>
          </w:tcPr>
          <w:p>
            <w:r>
              <w:rPr>
                <w:b/>
              </w:rPr>
              <w:t>Built / unproven</w:t>
            </w:r>
          </w:p>
        </w:tc>
        <w:tc>
          <w:tcPr>
            <w:tcW w:type="dxa" w:w="3250"/>
            <w:vAlign w:val="top"/>
            <w:tcMar>
              <w:top w:w="80" w:type="dxa"/>
              <w:start w:w="120" w:type="dxa"/>
              <w:bottom w:w="80" w:type="dxa"/>
              <w:end w:w="120" w:type="dxa"/>
            </w:tcMar>
          </w:tcPr>
          <w:p>
            <w:r>
              <w:t>Storage/security metadata; deterministic weekly scoring; saved reasons; one pending recommendation invariant; RBAC list/review/apply; inventory UI.</w:t>
            </w:r>
          </w:p>
        </w:tc>
        <w:tc>
          <w:tcPr>
            <w:tcW w:type="dxa" w:w="3210"/>
            <w:vAlign w:val="top"/>
            <w:tcMar>
              <w:top w:w="80" w:type="dxa"/>
              <w:start w:w="120" w:type="dxa"/>
              <w:bottom w:w="80" w:type="dxa"/>
              <w:end w:w="120" w:type="dxa"/>
            </w:tcMar>
          </w:tcPr>
          <w:p>
            <w:r>
              <w:t>Run representative demand scoring, storage mismatch, inactive-target, and concurrent review tests.</w:t>
            </w:r>
          </w:p>
        </w:tc>
      </w:tr>
      <w:tr>
        <w:trPr>
          <w:cantSplit/>
        </w:trPr>
        <w:tc>
          <w:tcPr>
            <w:tcW w:type="dxa" w:w="1450"/>
            <w:vAlign w:val="top"/>
            <w:tcMar>
              <w:top w:w="80" w:type="dxa"/>
              <w:start w:w="120" w:type="dxa"/>
              <w:bottom w:w="80" w:type="dxa"/>
              <w:end w:w="120" w:type="dxa"/>
            </w:tcMar>
          </w:tcPr>
          <w:p>
            <w:r>
              <w:t>Expiry-loss prevention</w:t>
            </w:r>
          </w:p>
        </w:tc>
        <w:tc>
          <w:tcPr>
            <w:tcW w:type="dxa" w:w="1450"/>
            <w:vAlign w:val="top"/>
            <w:shd w:fill="FFF0CC"/>
            <w:tcMar>
              <w:top w:w="80" w:type="dxa"/>
              <w:start w:w="120" w:type="dxa"/>
              <w:bottom w:w="80" w:type="dxa"/>
              <w:end w:w="120" w:type="dxa"/>
            </w:tcMar>
          </w:tcPr>
          <w:p>
            <w:r>
              <w:rPr>
                <w:b/>
              </w:rPr>
              <w:t>Partial</w:t>
            </w:r>
          </w:p>
        </w:tc>
        <w:tc>
          <w:tcPr>
            <w:tcW w:type="dxa" w:w="3250"/>
            <w:vAlign w:val="top"/>
            <w:tcMar>
              <w:top w:w="80" w:type="dxa"/>
              <w:start w:w="120" w:type="dxa"/>
              <w:bottom w:w="80" w:type="dxa"/>
              <w:end w:w="120" w:type="dxa"/>
            </w:tcMar>
          </w:tcPr>
          <w:p>
            <w:r>
              <w:t>Configurable policy fields; timezone-aware risk queries; acquisition-cost value at risk; idempotent work items; quarantine/action API; worker refresh; attention UI.</w:t>
            </w:r>
          </w:p>
        </w:tc>
        <w:tc>
          <w:tcPr>
            <w:tcW w:type="dxa" w:w="3210"/>
            <w:vAlign w:val="top"/>
            <w:tcMar>
              <w:top w:w="80" w:type="dxa"/>
              <w:start w:w="120" w:type="dxa"/>
              <w:bottom w:w="80" w:type="dxa"/>
              <w:end w:w="120" w:type="dxa"/>
            </w:tcMar>
          </w:tcPr>
          <w:p>
            <w:r>
              <w:t>UI currently displays the queue but does not expose every action/assignment control. Validate Asia/Karachi date boundaries.</w:t>
            </w:r>
          </w:p>
        </w:tc>
      </w:tr>
      <w:tr>
        <w:trPr>
          <w:cantSplit/>
        </w:trPr>
        <w:tc>
          <w:tcPr>
            <w:tcW w:type="dxa" w:w="1450"/>
            <w:vAlign w:val="top"/>
            <w:tcMar>
              <w:top w:w="80" w:type="dxa"/>
              <w:start w:w="120" w:type="dxa"/>
              <w:bottom w:w="80" w:type="dxa"/>
              <w:end w:w="120" w:type="dxa"/>
            </w:tcMar>
          </w:tcPr>
          <w:p>
            <w:r>
              <w:t>Supplier price intelligence</w:t>
            </w:r>
          </w:p>
        </w:tc>
        <w:tc>
          <w:tcPr>
            <w:tcW w:type="dxa" w:w="1450"/>
            <w:vAlign w:val="top"/>
            <w:shd w:fill="FFF0CC"/>
            <w:tcMar>
              <w:top w:w="80" w:type="dxa"/>
              <w:start w:w="120" w:type="dxa"/>
              <w:bottom w:w="80" w:type="dxa"/>
              <w:end w:w="120" w:type="dxa"/>
            </w:tcMar>
          </w:tcPr>
          <w:p>
            <w:r>
              <w:rPr>
                <w:b/>
              </w:rPr>
              <w:t>Partial</w:t>
            </w:r>
          </w:p>
        </w:tc>
        <w:tc>
          <w:tcPr>
            <w:tcW w:type="dxa" w:w="3250"/>
            <w:vAlign w:val="top"/>
            <w:tcMar>
              <w:top w:w="80" w:type="dxa"/>
              <w:start w:w="120" w:type="dxa"/>
              <w:bottom w:w="80" w:type="dxa"/>
              <w:end w:w="120" w:type="dxa"/>
            </w:tcMar>
          </w:tcPr>
          <w:p>
            <w:r>
              <w:t>Historical paid-cost derivation; discount/bonus/base-unit normalization; current quotes; audited quote entry API; comparison API.</w:t>
            </w:r>
          </w:p>
        </w:tc>
        <w:tc>
          <w:tcPr>
            <w:tcW w:type="dxa" w:w="3210"/>
            <w:vAlign w:val="top"/>
            <w:tcMar>
              <w:top w:w="80" w:type="dxa"/>
              <w:start w:w="120" w:type="dxa"/>
              <w:bottom w:w="80" w:type="dxa"/>
              <w:end w:w="120" w:type="dxa"/>
            </w:tcMar>
          </w:tcPr>
          <w:p>
            <w:r>
              <w:t>Dedicated quote-entry and product comparison screens are not built. Reconcile against real goods-receipt samples.</w:t>
            </w:r>
          </w:p>
        </w:tc>
      </w:tr>
      <w:tr>
        <w:trPr>
          <w:cantSplit/>
        </w:trPr>
        <w:tc>
          <w:tcPr>
            <w:tcW w:type="dxa" w:w="1450"/>
            <w:vAlign w:val="top"/>
            <w:tcMar>
              <w:top w:w="80" w:type="dxa"/>
              <w:start w:w="120" w:type="dxa"/>
              <w:bottom w:w="80" w:type="dxa"/>
              <w:end w:w="120" w:type="dxa"/>
            </w:tcMar>
          </w:tcPr>
          <w:p>
            <w:r>
              <w:t>Reorder / forecasting v2</w:t>
            </w:r>
          </w:p>
        </w:tc>
        <w:tc>
          <w:tcPr>
            <w:tcW w:type="dxa" w:w="1450"/>
            <w:vAlign w:val="top"/>
            <w:shd w:fill="DDEFE8"/>
            <w:tcMar>
              <w:top w:w="80" w:type="dxa"/>
              <w:start w:w="120" w:type="dxa"/>
              <w:bottom w:w="80" w:type="dxa"/>
              <w:end w:w="120" w:type="dxa"/>
            </w:tcMar>
          </w:tcPr>
          <w:p>
            <w:r>
              <w:rPr>
                <w:b/>
              </w:rPr>
              <w:t>Built / unproven</w:t>
            </w:r>
          </w:p>
        </w:tc>
        <w:tc>
          <w:tcPr>
            <w:tcW w:type="dxa" w:w="3250"/>
            <w:vAlign w:val="top"/>
            <w:tcMar>
              <w:top w:w="80" w:type="dxa"/>
              <w:start w:w="120" w:type="dxa"/>
              <w:bottom w:w="80" w:type="dxa"/>
              <w:end w:w="120" w:type="dxa"/>
            </w:tcMar>
          </w:tcPr>
          <w:p>
            <w:r>
              <w:t>Demand windows; stockout confidence; observed/fallback lead time; safety/coverage/MOQ/multiple math; expiry flag; idempotent daily generation; review; duplicate-safe draft PO API; queue UI.</w:t>
            </w:r>
          </w:p>
        </w:tc>
        <w:tc>
          <w:tcPr>
            <w:tcW w:type="dxa" w:w="3210"/>
            <w:vAlign w:val="top"/>
            <w:tcMar>
              <w:top w:w="80" w:type="dxa"/>
              <w:start w:w="120" w:type="dxa"/>
              <w:bottom w:w="80" w:type="dxa"/>
              <w:end w:w="120" w:type="dxa"/>
            </w:tcMar>
          </w:tcPr>
          <w:p>
            <w:r>
              <w:t>Draft-PO supplier/quantity selection UI is not built. Run deterministic math and retry/concurrency cases.</w:t>
            </w:r>
          </w:p>
        </w:tc>
      </w:tr>
      <w:tr>
        <w:trPr>
          <w:cantSplit/>
        </w:trPr>
        <w:tc>
          <w:tcPr>
            <w:tcW w:type="dxa" w:w="1450"/>
            <w:vAlign w:val="top"/>
            <w:tcMar>
              <w:top w:w="80" w:type="dxa"/>
              <w:start w:w="120" w:type="dxa"/>
              <w:bottom w:w="80" w:type="dxa"/>
              <w:end w:w="120" w:type="dxa"/>
            </w:tcMar>
          </w:tcPr>
          <w:p>
            <w:r>
              <w:t>Budget regimen calculator</w:t>
            </w:r>
          </w:p>
        </w:tc>
        <w:tc>
          <w:tcPr>
            <w:tcW w:type="dxa" w:w="1450"/>
            <w:vAlign w:val="top"/>
            <w:shd w:fill="FFF0CC"/>
            <w:tcMar>
              <w:top w:w="80" w:type="dxa"/>
              <w:start w:w="120" w:type="dxa"/>
              <w:bottom w:w="80" w:type="dxa"/>
              <w:end w:w="120" w:type="dxa"/>
            </w:tcMar>
          </w:tcPr>
          <w:p>
            <w:r>
              <w:rPr>
                <w:b/>
              </w:rPr>
              <w:t>Partial</w:t>
            </w:r>
          </w:p>
        </w:tc>
        <w:tc>
          <w:tcPr>
            <w:tcW w:type="dxa" w:w="3250"/>
            <w:vAlign w:val="top"/>
            <w:tcMar>
              <w:top w:w="80" w:type="dxa"/>
              <w:start w:w="120" w:type="dxa"/>
              <w:bottom w:w="80" w:type="dxa"/>
              <w:end w:w="120" w:type="dxa"/>
            </w:tcMar>
          </w:tcPr>
          <w:p>
            <w:r>
              <w:t>Exact integer/decimal calculation; complete-day maximization; pack/minimum increments; current price versions; optional audit; POS-cart UI; safety copy.</w:t>
            </w:r>
          </w:p>
        </w:tc>
        <w:tc>
          <w:tcPr>
            <w:tcW w:type="dxa" w:w="3210"/>
            <w:vAlign w:val="top"/>
            <w:tcMar>
              <w:top w:w="80" w:type="dxa"/>
              <w:start w:w="120" w:type="dxa"/>
              <w:bottom w:w="80" w:type="dxa"/>
              <w:end w:w="120" w:type="dxa"/>
            </w:tcMar>
          </w:tcPr>
          <w:p>
            <w:r>
              <w:t>Pharmacist verification workflow UI and checkout price-change acknowledgement are not wired end-to-end.</w:t>
            </w:r>
          </w:p>
        </w:tc>
      </w:tr>
      <w:tr>
        <w:trPr>
          <w:cantSplit/>
        </w:trPr>
        <w:tc>
          <w:tcPr>
            <w:tcW w:type="dxa" w:w="1450"/>
            <w:vAlign w:val="top"/>
            <w:tcMar>
              <w:top w:w="80" w:type="dxa"/>
              <w:start w:w="120" w:type="dxa"/>
              <w:bottom w:w="80" w:type="dxa"/>
              <w:end w:w="120" w:type="dxa"/>
            </w:tcMar>
          </w:tcPr>
          <w:p>
            <w:r>
              <w:t>QR-assisted returns</w:t>
            </w:r>
          </w:p>
        </w:tc>
        <w:tc>
          <w:tcPr>
            <w:tcW w:type="dxa" w:w="1450"/>
            <w:vAlign w:val="top"/>
            <w:shd w:fill="DDEFE8"/>
            <w:tcMar>
              <w:top w:w="80" w:type="dxa"/>
              <w:start w:w="120" w:type="dxa"/>
              <w:bottom w:w="80" w:type="dxa"/>
              <w:end w:w="120" w:type="dxa"/>
            </w:tcMar>
          </w:tcPr>
          <w:p>
            <w:r>
              <w:rPr>
                <w:b/>
              </w:rPr>
              <w:t>Built / unproven</w:t>
            </w:r>
          </w:p>
        </w:tc>
        <w:tc>
          <w:tcPr>
            <w:tcW w:type="dxa" w:w="3250"/>
            <w:vAlign w:val="top"/>
            <w:tcMar>
              <w:top w:w="80" w:type="dxa"/>
              <w:start w:w="120" w:type="dxa"/>
              <w:bottom w:w="80" w:type="dxa"/>
              <w:end w:w="120" w:type="dxa"/>
            </w:tcMar>
          </w:tcPr>
          <w:p>
            <w:r>
              <w:t>Opaque UUID token; authenticated lookup; printable token-only QR; item selection and disposition UI; request/approval/cash refund; remaining-quantity trigger; stock ledger; retry-safe operations; FBR return outbox.</w:t>
            </w:r>
          </w:p>
        </w:tc>
        <w:tc>
          <w:tcPr>
            <w:tcW w:type="dxa" w:w="3210"/>
            <w:vAlign w:val="top"/>
            <w:tcMar>
              <w:top w:w="80" w:type="dxa"/>
              <w:start w:w="120" w:type="dxa"/>
              <w:bottom w:w="80" w:type="dxa"/>
              <w:end w:w="120" w:type="dxa"/>
            </w:tcMar>
          </w:tcPr>
          <w:p>
            <w:r>
              <w:t>Printer/scanner hardware and concurrent partial returns are not yet validated. Non-cash refund UI and real FBR credit-note adapter remain.</w:t>
            </w:r>
          </w:p>
        </w:tc>
      </w:tr>
      <w:tr>
        <w:trPr>
          <w:cantSplit/>
        </w:trPr>
        <w:tc>
          <w:tcPr>
            <w:tcW w:type="dxa" w:w="1450"/>
            <w:vAlign w:val="top"/>
            <w:tcMar>
              <w:top w:w="80" w:type="dxa"/>
              <w:start w:w="120" w:type="dxa"/>
              <w:bottom w:w="80" w:type="dxa"/>
              <w:end w:w="120" w:type="dxa"/>
            </w:tcMar>
          </w:tcPr>
          <w:p>
            <w:r>
              <w:t>Owner AI assistant</w:t>
            </w:r>
          </w:p>
        </w:tc>
        <w:tc>
          <w:tcPr>
            <w:tcW w:type="dxa" w:w="1450"/>
            <w:vAlign w:val="top"/>
            <w:shd w:fill="DDEFE8"/>
            <w:tcMar>
              <w:top w:w="80" w:type="dxa"/>
              <w:start w:w="120" w:type="dxa"/>
              <w:bottom w:w="80" w:type="dxa"/>
              <w:end w:w="120" w:type="dxa"/>
            </w:tcMar>
          </w:tcPr>
          <w:p>
            <w:r>
              <w:rPr>
                <w:b/>
              </w:rPr>
              <w:t>Built / provider unproven</w:t>
            </w:r>
          </w:p>
        </w:tc>
        <w:tc>
          <w:tcPr>
            <w:tcW w:type="dxa" w:w="3250"/>
            <w:vAlign w:val="top"/>
            <w:tcMar>
              <w:top w:w="80" w:type="dxa"/>
              <w:start w:w="120" w:type="dxa"/>
              <w:bottom w:w="80" w:type="dxa"/>
              <w:end w:w="120" w:type="dxa"/>
            </w:tcMar>
          </w:tcPr>
          <w:p>
            <w:r>
              <w:t>Provider boundary; environment-configured model; nine whitelisted read-only tools; runtime RBAC; aggregate/sanitized facts; durable audit; database-backed rate limit; timeout/fail-closed behavior; owner UI.</w:t>
            </w:r>
          </w:p>
        </w:tc>
        <w:tc>
          <w:tcPr>
            <w:tcW w:type="dxa" w:w="3210"/>
            <w:vAlign w:val="top"/>
            <w:tcMar>
              <w:top w:w="80" w:type="dxa"/>
              <w:start w:w="120" w:type="dxa"/>
              <w:bottom w:w="80" w:type="dxa"/>
              <w:end w:w="120" w:type="dxa"/>
            </w:tcMar>
          </w:tcPr>
          <w:p>
            <w:r>
              <w:t>No Gemini key/model was configured or called. Mock/provider failure, authorization, and numeric-reconciliation tests remain.</w:t>
            </w:r>
          </w:p>
        </w:tc>
      </w:tr>
      <w:tr>
        <w:trPr>
          <w:cantSplit/>
        </w:trPr>
        <w:tc>
          <w:tcPr>
            <w:tcW w:type="dxa" w:w="1450"/>
            <w:vAlign w:val="top"/>
            <w:tcMar>
              <w:top w:w="80" w:type="dxa"/>
              <w:start w:w="120" w:type="dxa"/>
              <w:bottom w:w="80" w:type="dxa"/>
              <w:end w:w="120" w:type="dxa"/>
            </w:tcMar>
          </w:tcPr>
          <w:p>
            <w:r>
              <w:t>Background scheduling</w:t>
            </w:r>
          </w:p>
        </w:tc>
        <w:tc>
          <w:tcPr>
            <w:tcW w:type="dxa" w:w="1450"/>
            <w:vAlign w:val="top"/>
            <w:shd w:fill="DDEFE8"/>
            <w:tcMar>
              <w:top w:w="80" w:type="dxa"/>
              <w:start w:w="120" w:type="dxa"/>
              <w:bottom w:w="80" w:type="dxa"/>
              <w:end w:w="120" w:type="dxa"/>
            </w:tcMar>
          </w:tcPr>
          <w:p>
            <w:r>
              <w:rPr>
                <w:b/>
              </w:rPr>
              <w:t>Built / unproven</w:t>
            </w:r>
          </w:p>
        </w:tc>
        <w:tc>
          <w:tcPr>
            <w:tcW w:type="dxa" w:w="3250"/>
            <w:vAlign w:val="top"/>
            <w:tcMar>
              <w:top w:w="80" w:type="dxa"/>
              <w:start w:w="120" w:type="dxa"/>
              <w:bottom w:w="80" w:type="dxa"/>
              <w:end w:w="120" w:type="dxa"/>
            </w:tcMar>
          </w:tcPr>
          <w:p>
            <w:r>
              <w:t>Existing outbox reused; daily availability/expiry/reorder and weekly shelf jobs; dedupe keys; retry tracking; persisted run status/duration/error.</w:t>
            </w:r>
          </w:p>
        </w:tc>
        <w:tc>
          <w:tcPr>
            <w:tcW w:type="dxa" w:w="3210"/>
            <w:vAlign w:val="top"/>
            <w:tcMar>
              <w:top w:w="80" w:type="dxa"/>
              <w:start w:w="120" w:type="dxa"/>
              <w:bottom w:w="80" w:type="dxa"/>
              <w:end w:w="120" w:type="dxa"/>
            </w:tcMar>
          </w:tcPr>
          <w:p>
            <w:r>
              <w:t>Run worker replay, crash recovery, multi-worker lock, and resource-contention tests.</w:t>
            </w:r>
          </w:p>
        </w:tc>
      </w:tr>
    </w:tbl>
    <w:p>
      <w:pPr>
        <w:spacing w:after="0"/>
      </w:pPr>
    </w:p>
    <w:p>
      <w:pPr>
        <w:pStyle w:val="Heading1"/>
      </w:pPr>
      <w:r>
        <w:t>3. Phase 1 dependency conflicts and features not built</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100"/>
            <w:shd w:fill="E8EEF5"/>
            <w:vAlign w:val="center"/>
            <w:tcMar>
              <w:top w:w="80" w:type="dxa"/>
              <w:start w:w="120" w:type="dxa"/>
              <w:bottom w:w="80" w:type="dxa"/>
              <w:end w:w="120" w:type="dxa"/>
            </w:tcMar>
          </w:tcPr>
          <w:p>
            <w:r>
              <w:rPr>
                <w:b/>
                <w:color w:val="1F4D78"/>
              </w:rPr>
              <w:t>Gap</w:t>
            </w:r>
          </w:p>
        </w:tc>
        <w:tc>
          <w:tcPr>
            <w:tcW w:type="dxa" w:w="3500"/>
            <w:shd w:fill="E8EEF5"/>
            <w:vAlign w:val="center"/>
            <w:tcMar>
              <w:top w:w="80" w:type="dxa"/>
              <w:start w:w="120" w:type="dxa"/>
              <w:bottom w:w="80" w:type="dxa"/>
              <w:end w:w="120" w:type="dxa"/>
            </w:tcMar>
          </w:tcPr>
          <w:p>
            <w:r>
              <w:rPr>
                <w:b/>
                <w:color w:val="1F4D78"/>
              </w:rPr>
              <w:t>Impact</w:t>
            </w:r>
          </w:p>
        </w:tc>
        <w:tc>
          <w:tcPr>
            <w:tcW w:type="dxa" w:w="3760"/>
            <w:shd w:fill="E8EEF5"/>
            <w:vAlign w:val="center"/>
            <w:tcMar>
              <w:top w:w="80" w:type="dxa"/>
              <w:start w:w="120" w:type="dxa"/>
              <w:bottom w:w="80" w:type="dxa"/>
              <w:end w:w="120" w:type="dxa"/>
            </w:tcMar>
          </w:tcPr>
          <w:p>
            <w:r>
              <w:rPr>
                <w:b/>
                <w:color w:val="1F4D78"/>
              </w:rPr>
              <w:t>Required completion</w:t>
            </w:r>
          </w:p>
        </w:tc>
      </w:tr>
      <w:tr>
        <w:trPr>
          <w:cantSplit/>
        </w:trPr>
        <w:tc>
          <w:tcPr>
            <w:tcW w:type="dxa" w:w="2100"/>
            <w:vAlign w:val="top"/>
            <w:tcMar>
              <w:top w:w="80" w:type="dxa"/>
              <w:start w:w="120" w:type="dxa"/>
              <w:bottom w:w="80" w:type="dxa"/>
              <w:end w:w="120" w:type="dxa"/>
            </w:tcMar>
          </w:tcPr>
          <w:p>
            <w:r>
              <w:t>Cash-session release proof</w:t>
            </w:r>
          </w:p>
        </w:tc>
        <w:tc>
          <w:tcPr>
            <w:tcW w:type="dxa" w:w="3500"/>
            <w:vAlign w:val="top"/>
            <w:tcMar>
              <w:top w:w="80" w:type="dxa"/>
              <w:start w:w="120" w:type="dxa"/>
              <w:bottom w:w="80" w:type="dxa"/>
              <w:end w:w="120" w:type="dxa"/>
            </w:tcMar>
          </w:tcPr>
          <w:p>
            <w:r>
              <w:t>Open, movements, reconciliation, closing, and independent variance approval are implemented in API and UI.</w:t>
            </w:r>
          </w:p>
        </w:tc>
        <w:tc>
          <w:tcPr>
            <w:tcW w:type="dxa" w:w="3760"/>
            <w:vAlign w:val="top"/>
            <w:tcMar>
              <w:top w:w="80" w:type="dxa"/>
              <w:start w:w="120" w:type="dxa"/>
              <w:bottom w:w="80" w:type="dxa"/>
              <w:end w:w="120" w:type="dxa"/>
            </w:tcMar>
          </w:tcPr>
          <w:p>
            <w:r>
              <w:t>Run retry, wrong-terminal, concurrent close, refund, and threshold-boundary integration cases before pilot.</w:t>
            </w:r>
          </w:p>
        </w:tc>
      </w:tr>
      <w:tr>
        <w:trPr>
          <w:cantSplit/>
        </w:trPr>
        <w:tc>
          <w:tcPr>
            <w:tcW w:type="dxa" w:w="2100"/>
            <w:vAlign w:val="top"/>
            <w:tcMar>
              <w:top w:w="80" w:type="dxa"/>
              <w:start w:w="120" w:type="dxa"/>
              <w:bottom w:w="80" w:type="dxa"/>
              <w:end w:w="120" w:type="dxa"/>
            </w:tcMar>
          </w:tcPr>
          <w:p>
            <w:r>
              <w:t>Goods receipt operator UI</w:t>
            </w:r>
          </w:p>
        </w:tc>
        <w:tc>
          <w:tcPr>
            <w:tcW w:type="dxa" w:w="3500"/>
            <w:vAlign w:val="top"/>
            <w:tcMar>
              <w:top w:w="80" w:type="dxa"/>
              <w:start w:w="120" w:type="dxa"/>
              <w:bottom w:w="80" w:type="dxa"/>
              <w:end w:w="120" w:type="dxa"/>
            </w:tcMar>
          </w:tcPr>
          <w:p>
            <w:r>
              <w:t>Duplicate-safe partial/full goods receipt, acquisition-lot batch creation, bonus/base conversion, and stock ledger are implemented in the API.</w:t>
            </w:r>
          </w:p>
        </w:tc>
        <w:tc>
          <w:tcPr>
            <w:tcW w:type="dxa" w:w="3760"/>
            <w:vAlign w:val="top"/>
            <w:tcMar>
              <w:top w:w="80" w:type="dxa"/>
              <w:start w:w="120" w:type="dxa"/>
              <w:bottom w:w="80" w:type="dxa"/>
              <w:end w:w="120" w:type="dxa"/>
            </w:tcMar>
          </w:tcPr>
          <w:p>
            <w:r>
              <w:t>Build guided PO/receipt screens and reconcile representative supplier invoices through the UI.</w:t>
            </w:r>
          </w:p>
        </w:tc>
      </w:tr>
      <w:tr>
        <w:trPr>
          <w:cantSplit/>
        </w:trPr>
        <w:tc>
          <w:tcPr>
            <w:tcW w:type="dxa" w:w="2100"/>
            <w:vAlign w:val="top"/>
            <w:tcMar>
              <w:top w:w="80" w:type="dxa"/>
              <w:start w:w="120" w:type="dxa"/>
              <w:bottom w:w="80" w:type="dxa"/>
              <w:end w:w="120" w:type="dxa"/>
            </w:tcMar>
          </w:tcPr>
          <w:p>
            <w:r>
              <w:t>Receipt printer/scanner validation</w:t>
            </w:r>
          </w:p>
        </w:tc>
        <w:tc>
          <w:tcPr>
            <w:tcW w:type="dxa" w:w="3500"/>
            <w:vAlign w:val="top"/>
            <w:tcMar>
              <w:top w:w="80" w:type="dxa"/>
              <w:start w:w="120" w:type="dxa"/>
              <w:bottom w:w="80" w:type="dxa"/>
              <w:end w:w="120" w:type="dxa"/>
            </w:tcMar>
          </w:tcPr>
          <w:p>
            <w:r>
              <w:t>An 80 mm print template renders a medium-error-correction QR containing only the opaque return token.</w:t>
            </w:r>
          </w:p>
        </w:tc>
        <w:tc>
          <w:tcPr>
            <w:tcW w:type="dxa" w:w="3760"/>
            <w:vAlign w:val="top"/>
            <w:tcMar>
              <w:top w:w="80" w:type="dxa"/>
              <w:start w:w="120" w:type="dxa"/>
              <w:bottom w:w="80" w:type="dxa"/>
              <w:end w:w="120" w:type="dxa"/>
            </w:tcMar>
          </w:tcPr>
          <w:p>
            <w:r>
              <w:t>Validate supported printers, paper widths, degraded prints, scanner/camera input, and token-only decoding.</w:t>
            </w:r>
          </w:p>
        </w:tc>
      </w:tr>
      <w:tr>
        <w:trPr>
          <w:cantSplit/>
        </w:trPr>
        <w:tc>
          <w:tcPr>
            <w:tcW w:type="dxa" w:w="2100"/>
            <w:vAlign w:val="top"/>
            <w:tcMar>
              <w:top w:w="80" w:type="dxa"/>
              <w:start w:w="120" w:type="dxa"/>
              <w:bottom w:w="80" w:type="dxa"/>
              <w:end w:w="120" w:type="dxa"/>
            </w:tcMar>
          </w:tcPr>
          <w:p>
            <w:r>
              <w:t>Real FBR adapters</w:t>
            </w:r>
          </w:p>
        </w:tc>
        <w:tc>
          <w:tcPr>
            <w:tcW w:type="dxa" w:w="3500"/>
            <w:vAlign w:val="top"/>
            <w:tcMar>
              <w:top w:w="80" w:type="dxa"/>
              <w:start w:w="120" w:type="dxa"/>
              <w:bottom w:w="80" w:type="dxa"/>
              <w:end w:w="120" w:type="dxa"/>
            </w:tcMar>
          </w:tcPr>
          <w:p>
            <w:r>
              <w:t>Sandbox/disabled boundaries exist; production submission and return/credit-note behavior is not certified.</w:t>
            </w:r>
          </w:p>
        </w:tc>
        <w:tc>
          <w:tcPr>
            <w:tcW w:type="dxa" w:w="3760"/>
            <w:vAlign w:val="top"/>
            <w:tcMar>
              <w:top w:w="80" w:type="dxa"/>
              <w:start w:w="120" w:type="dxa"/>
              <w:bottom w:w="80" w:type="dxa"/>
              <w:end w:w="120" w:type="dxa"/>
            </w:tcMar>
          </w:tcPr>
          <w:p>
            <w:r>
              <w:t>Implement selected adapter, sandbox/certification tests, retry classification, and reconciliation.</w:t>
            </w:r>
          </w:p>
        </w:tc>
      </w:tr>
      <w:tr>
        <w:trPr>
          <w:cantSplit/>
        </w:trPr>
        <w:tc>
          <w:tcPr>
            <w:tcW w:type="dxa" w:w="2100"/>
            <w:vAlign w:val="top"/>
            <w:tcMar>
              <w:top w:w="80" w:type="dxa"/>
              <w:start w:w="120" w:type="dxa"/>
              <w:bottom w:w="80" w:type="dxa"/>
              <w:end w:w="120" w:type="dxa"/>
            </w:tcMar>
          </w:tcPr>
          <w:p>
            <w:r>
              <w:t>Backup automation and restore drill</w:t>
            </w:r>
          </w:p>
        </w:tc>
        <w:tc>
          <w:tcPr>
            <w:tcW w:type="dxa" w:w="3500"/>
            <w:vAlign w:val="top"/>
            <w:tcMar>
              <w:top w:w="80" w:type="dxa"/>
              <w:start w:w="120" w:type="dxa"/>
              <w:bottom w:w="80" w:type="dxa"/>
              <w:end w:w="120" w:type="dxa"/>
            </w:tcMar>
          </w:tcPr>
          <w:p>
            <w:r>
              <w:t>Schema records backup runs, but no scheduled encrypted backup/restore implementation or evidence exists.</w:t>
            </w:r>
          </w:p>
        </w:tc>
        <w:tc>
          <w:tcPr>
            <w:tcW w:type="dxa" w:w="3760"/>
            <w:vAlign w:val="top"/>
            <w:tcMar>
              <w:top w:w="80" w:type="dxa"/>
              <w:start w:w="120" w:type="dxa"/>
              <w:bottom w:w="80" w:type="dxa"/>
              <w:end w:w="120" w:type="dxa"/>
            </w:tcMar>
          </w:tcPr>
          <w:p>
            <w:r>
              <w:t>Add deployment-specific encrypted backup job, retention, monitoring, and restore proof.</w:t>
            </w:r>
          </w:p>
        </w:tc>
      </w:tr>
      <w:tr>
        <w:trPr>
          <w:cantSplit/>
        </w:trPr>
        <w:tc>
          <w:tcPr>
            <w:tcW w:type="dxa" w:w="2100"/>
            <w:vAlign w:val="top"/>
            <w:tcMar>
              <w:top w:w="80" w:type="dxa"/>
              <w:start w:w="120" w:type="dxa"/>
              <w:bottom w:w="80" w:type="dxa"/>
              <w:end w:w="120" w:type="dxa"/>
            </w:tcMar>
          </w:tcPr>
          <w:p>
            <w:r>
              <w:t>Return UI completion proof</w:t>
            </w:r>
          </w:p>
        </w:tc>
        <w:tc>
          <w:tcPr>
            <w:tcW w:type="dxa" w:w="3500"/>
            <w:vAlign w:val="top"/>
            <w:tcMar>
              <w:top w:w="80" w:type="dxa"/>
              <w:start w:w="120" w:type="dxa"/>
              <w:bottom w:w="80" w:type="dxa"/>
              <w:end w:w="120" w:type="dxa"/>
            </w:tcMar>
          </w:tcPr>
          <w:p>
            <w:r>
              <w:t>Lookup, selectable quantities, reason/disposition, approval, cash refund, and error states are implemented.</w:t>
            </w:r>
          </w:p>
        </w:tc>
        <w:tc>
          <w:tcPr>
            <w:tcW w:type="dxa" w:w="3760"/>
            <w:vAlign w:val="top"/>
            <w:tcMar>
              <w:top w:w="80" w:type="dxa"/>
              <w:start w:w="120" w:type="dxa"/>
              <w:bottom w:w="80" w:type="dxa"/>
              <w:end w:w="120" w:type="dxa"/>
            </w:tcMar>
          </w:tcPr>
          <w:p>
            <w:r>
              <w:t>Add non-cash tender controls, explicit role-handoff queue, refund receipt, and database-backed retry/concurrency proof.</w:t>
            </w:r>
          </w:p>
        </w:tc>
      </w:tr>
      <w:tr>
        <w:trPr>
          <w:cantSplit/>
        </w:trPr>
        <w:tc>
          <w:tcPr>
            <w:tcW w:type="dxa" w:w="2100"/>
            <w:vAlign w:val="top"/>
            <w:tcMar>
              <w:top w:w="80" w:type="dxa"/>
              <w:start w:w="120" w:type="dxa"/>
              <w:bottom w:w="80" w:type="dxa"/>
              <w:end w:w="120" w:type="dxa"/>
            </w:tcMar>
          </w:tcPr>
          <w:p>
            <w:r>
              <w:t>Complete procurement UI</w:t>
            </w:r>
          </w:p>
        </w:tc>
        <w:tc>
          <w:tcPr>
            <w:tcW w:type="dxa" w:w="3500"/>
            <w:vAlign w:val="top"/>
            <w:tcMar>
              <w:top w:w="80" w:type="dxa"/>
              <w:start w:w="120" w:type="dxa"/>
              <w:bottom w:w="80" w:type="dxa"/>
              <w:end w:w="120" w:type="dxa"/>
            </w:tcMar>
          </w:tcPr>
          <w:p>
            <w:r>
              <w:t>Backend supports quotes, comparison, review, and draft creation; current UI focuses on attention/review.</w:t>
            </w:r>
          </w:p>
        </w:tc>
        <w:tc>
          <w:tcPr>
            <w:tcW w:type="dxa" w:w="3760"/>
            <w:vAlign w:val="top"/>
            <w:tcMar>
              <w:top w:w="80" w:type="dxa"/>
              <w:start w:w="120" w:type="dxa"/>
              <w:bottom w:w="80" w:type="dxa"/>
              <w:end w:w="120" w:type="dxa"/>
            </w:tcMar>
          </w:tcPr>
          <w:p>
            <w:r>
              <w:t>Add supplier comparison/quote entry and draft PO editing/approval screens.</w:t>
            </w:r>
          </w:p>
        </w:tc>
      </w:tr>
      <w:tr>
        <w:trPr>
          <w:cantSplit/>
        </w:trPr>
        <w:tc>
          <w:tcPr>
            <w:tcW w:type="dxa" w:w="2100"/>
            <w:vAlign w:val="top"/>
            <w:tcMar>
              <w:top w:w="80" w:type="dxa"/>
              <w:start w:w="120" w:type="dxa"/>
              <w:bottom w:w="80" w:type="dxa"/>
              <w:end w:w="120" w:type="dxa"/>
            </w:tcMar>
          </w:tcPr>
          <w:p>
            <w:r>
              <w:t>Production observability</w:t>
            </w:r>
          </w:p>
        </w:tc>
        <w:tc>
          <w:tcPr>
            <w:tcW w:type="dxa" w:w="3500"/>
            <w:vAlign w:val="top"/>
            <w:tcMar>
              <w:top w:w="80" w:type="dxa"/>
              <w:start w:w="120" w:type="dxa"/>
              <w:bottom w:w="80" w:type="dxa"/>
              <w:end w:w="120" w:type="dxa"/>
            </w:tcMar>
          </w:tcPr>
          <w:p>
            <w:r>
              <w:t>Job runs and audit metadata exist, but metrics export/alerts and centralized support views are incomplete.</w:t>
            </w:r>
          </w:p>
        </w:tc>
        <w:tc>
          <w:tcPr>
            <w:tcW w:type="dxa" w:w="3760"/>
            <w:vAlign w:val="top"/>
            <w:tcMar>
              <w:top w:w="80" w:type="dxa"/>
              <w:start w:w="120" w:type="dxa"/>
              <w:bottom w:w="80" w:type="dxa"/>
              <w:end w:w="120" w:type="dxa"/>
            </w:tcMar>
          </w:tcPr>
          <w:p>
            <w:r>
              <w:t>Add metric endpoint/export, alert thresholds, structured correlation IDs, and log redaction review.</w:t>
            </w:r>
          </w:p>
        </w:tc>
      </w:tr>
    </w:tbl>
    <w:p>
      <w:pPr>
        <w:spacing w:after="0"/>
      </w:pPr>
    </w:p>
    <w:p>
      <w:r>
        <w:br w:type="page"/>
      </w:r>
    </w:p>
    <w:p>
      <w:pPr>
        <w:pStyle w:val="Heading1"/>
      </w:pPr>
      <w:r>
        <w:t>4. Required test plan</w:t>
      </w:r>
    </w:p>
    <w:p>
      <w:pPr>
        <w:keepNext/>
      </w:pPr>
      <w:r>
        <w:t>Execution order is risk-based. Do not start broad UI polish until P0 data-integrity and authorization cases pass.</w:t>
      </w:r>
    </w:p>
    <w:p>
      <w:pPr>
        <w:pStyle w:val="Heading2"/>
      </w:pPr>
      <w:r>
        <w:t>4.1 P0 — release-blocking correctness and security</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1500"/>
            <w:shd w:fill="E8EEF5"/>
            <w:vAlign w:val="center"/>
            <w:tcMar>
              <w:top w:w="80" w:type="dxa"/>
              <w:start w:w="120" w:type="dxa"/>
              <w:bottom w:w="80" w:type="dxa"/>
              <w:end w:w="120" w:type="dxa"/>
            </w:tcMar>
          </w:tcPr>
          <w:p>
            <w:r>
              <w:rPr>
                <w:b/>
                <w:color w:val="1F4D78"/>
              </w:rPr>
              <w:t>Area</w:t>
            </w:r>
          </w:p>
        </w:tc>
        <w:tc>
          <w:tcPr>
            <w:tcW w:type="dxa" w:w="4300"/>
            <w:shd w:fill="E8EEF5"/>
            <w:vAlign w:val="center"/>
            <w:tcMar>
              <w:top w:w="80" w:type="dxa"/>
              <w:start w:w="120" w:type="dxa"/>
              <w:bottom w:w="80" w:type="dxa"/>
              <w:end w:w="120" w:type="dxa"/>
            </w:tcMar>
          </w:tcPr>
          <w:p>
            <w:r>
              <w:rPr>
                <w:b/>
                <w:color w:val="1F4D78"/>
              </w:rPr>
              <w:t>Test</w:t>
            </w:r>
          </w:p>
        </w:tc>
        <w:tc>
          <w:tcPr>
            <w:tcW w:type="dxa" w:w="3560"/>
            <w:shd w:fill="E8EEF5"/>
            <w:vAlign w:val="center"/>
            <w:tcMar>
              <w:top w:w="80" w:type="dxa"/>
              <w:start w:w="120" w:type="dxa"/>
              <w:bottom w:w="80" w:type="dxa"/>
              <w:end w:w="120" w:type="dxa"/>
            </w:tcMar>
          </w:tcPr>
          <w:p>
            <w:r>
              <w:rPr>
                <w:b/>
                <w:color w:val="1F4D78"/>
              </w:rPr>
              <w:t>Pass condition</w:t>
            </w:r>
          </w:p>
        </w:tc>
      </w:tr>
      <w:tr>
        <w:trPr>
          <w:cantSplit/>
        </w:trPr>
        <w:tc>
          <w:tcPr>
            <w:tcW w:type="dxa" w:w="1500"/>
            <w:vAlign w:val="top"/>
            <w:tcMar>
              <w:top w:w="80" w:type="dxa"/>
              <w:start w:w="120" w:type="dxa"/>
              <w:bottom w:w="80" w:type="dxa"/>
              <w:end w:w="120" w:type="dxa"/>
            </w:tcMar>
          </w:tcPr>
          <w:p>
            <w:r>
              <w:t>Migrations</w:t>
            </w:r>
          </w:p>
        </w:tc>
        <w:tc>
          <w:tcPr>
            <w:tcW w:type="dxa" w:w="4300"/>
            <w:vAlign w:val="top"/>
            <w:tcMar>
              <w:top w:w="80" w:type="dxa"/>
              <w:start w:w="120" w:type="dxa"/>
              <w:bottom w:w="80" w:type="dxa"/>
              <w:end w:w="120" w:type="dxa"/>
            </w:tcMar>
          </w:tcPr>
          <w:p>
            <w:r>
              <w:t>Reset empty PostgreSQL; apply 001–005 twice through the migration runner; verify checksums and expected failure on edited applied migration.</w:t>
            </w:r>
          </w:p>
        </w:tc>
        <w:tc>
          <w:tcPr>
            <w:tcW w:type="dxa" w:w="3560"/>
            <w:vAlign w:val="top"/>
            <w:tcMar>
              <w:top w:w="80" w:type="dxa"/>
              <w:start w:w="120" w:type="dxa"/>
              <w:bottom w:w="80" w:type="dxa"/>
              <w:end w:w="120" w:type="dxa"/>
            </w:tcMar>
          </w:tcPr>
          <w:p>
            <w:r>
              <w:t>Clean forward migration; second runner pass is a no-op; all constraints/indexes exist.</w:t>
            </w:r>
          </w:p>
        </w:tc>
      </w:tr>
      <w:tr>
        <w:trPr>
          <w:cantSplit/>
        </w:trPr>
        <w:tc>
          <w:tcPr>
            <w:tcW w:type="dxa" w:w="1500"/>
            <w:vAlign w:val="top"/>
            <w:tcMar>
              <w:top w:w="80" w:type="dxa"/>
              <w:start w:w="120" w:type="dxa"/>
              <w:bottom w:w="80" w:type="dxa"/>
              <w:end w:w="120" w:type="dxa"/>
            </w:tcMar>
          </w:tcPr>
          <w:p>
            <w:r>
              <w:t>POS regression</w:t>
            </w:r>
          </w:p>
        </w:tc>
        <w:tc>
          <w:tcPr>
            <w:tcW w:type="dxa" w:w="4300"/>
            <w:vAlign w:val="top"/>
            <w:tcMar>
              <w:top w:w="80" w:type="dxa"/>
              <w:start w:w="120" w:type="dxa"/>
              <w:bottom w:w="80" w:type="dxa"/>
              <w:end w:w="120" w:type="dxa"/>
            </w:tcMar>
          </w:tcPr>
          <w:p>
            <w:r>
              <w:t>Finalize paid sale with multi-batch FEFO reservation, exact payment, retry same client request, and changed-stock race.</w:t>
            </w:r>
          </w:p>
        </w:tc>
        <w:tc>
          <w:tcPr>
            <w:tcW w:type="dxa" w:w="3560"/>
            <w:vAlign w:val="top"/>
            <w:tcMar>
              <w:top w:w="80" w:type="dxa"/>
              <w:start w:w="120" w:type="dxa"/>
              <w:bottom w:w="80" w:type="dxa"/>
              <w:end w:w="120" w:type="dxa"/>
            </w:tcMar>
          </w:tcPr>
          <w:p>
            <w:r>
              <w:t>One sale/invoice/token; correct batch quantities/ledger; retry returns same result.</w:t>
            </w:r>
          </w:p>
        </w:tc>
      </w:tr>
      <w:tr>
        <w:trPr>
          <w:cantSplit/>
        </w:trPr>
        <w:tc>
          <w:tcPr>
            <w:tcW w:type="dxa" w:w="1500"/>
            <w:vAlign w:val="top"/>
            <w:tcMar>
              <w:top w:w="80" w:type="dxa"/>
              <w:start w:w="120" w:type="dxa"/>
              <w:bottom w:w="80" w:type="dxa"/>
              <w:end w:w="120" w:type="dxa"/>
            </w:tcMar>
          </w:tcPr>
          <w:p>
            <w:r>
              <w:t>Return concurrency</w:t>
            </w:r>
          </w:p>
        </w:tc>
        <w:tc>
          <w:tcPr>
            <w:tcW w:type="dxa" w:w="4300"/>
            <w:vAlign w:val="top"/>
            <w:tcMar>
              <w:top w:w="80" w:type="dxa"/>
              <w:start w:w="120" w:type="dxa"/>
              <w:bottom w:w="80" w:type="dxa"/>
              <w:end w:w="120" w:type="dxa"/>
            </w:tcMar>
          </w:tcPr>
          <w:p>
            <w:r>
              <w:t>Two sessions request the final eligible quantity at the same time; repeat scan, approval, and refund.</w:t>
            </w:r>
          </w:p>
        </w:tc>
        <w:tc>
          <w:tcPr>
            <w:tcW w:type="dxa" w:w="3560"/>
            <w:vAlign w:val="top"/>
            <w:tcMar>
              <w:top w:w="80" w:type="dxa"/>
              <w:start w:w="120" w:type="dxa"/>
              <w:bottom w:w="80" w:type="dxa"/>
              <w:end w:w="120" w:type="dxa"/>
            </w:tcMar>
          </w:tcPr>
          <w:p>
            <w:r>
              <w:t>Database trigger prevents over-return; one refund; original sale lines unchanged.</w:t>
            </w:r>
          </w:p>
        </w:tc>
      </w:tr>
      <w:tr>
        <w:trPr>
          <w:cantSplit/>
        </w:trPr>
        <w:tc>
          <w:tcPr>
            <w:tcW w:type="dxa" w:w="1500"/>
            <w:vAlign w:val="top"/>
            <w:tcMar>
              <w:top w:w="80" w:type="dxa"/>
              <w:start w:w="120" w:type="dxa"/>
              <w:bottom w:w="80" w:type="dxa"/>
              <w:end w:w="120" w:type="dxa"/>
            </w:tcMar>
          </w:tcPr>
          <w:p>
            <w:r>
              <w:t>Shelf safety</w:t>
            </w:r>
          </w:p>
        </w:tc>
        <w:tc>
          <w:tcPr>
            <w:tcW w:type="dxa" w:w="4300"/>
            <w:vAlign w:val="top"/>
            <w:tcMar>
              <w:top w:w="80" w:type="dxa"/>
              <w:start w:w="120" w:type="dxa"/>
              <w:bottom w:w="80" w:type="dxa"/>
              <w:end w:w="120" w:type="dxa"/>
            </w:tcMar>
          </w:tcPr>
          <w:p>
            <w:r>
              <w:t>Cold and secured medicines against ambient/unsecured/inactive targets; target deactivated after generation.</w:t>
            </w:r>
          </w:p>
        </w:tc>
        <w:tc>
          <w:tcPr>
            <w:tcW w:type="dxa" w:w="3560"/>
            <w:vAlign w:val="top"/>
            <w:tcMar>
              <w:top w:w="80" w:type="dxa"/>
              <w:start w:w="120" w:type="dxa"/>
              <w:bottom w:w="80" w:type="dxa"/>
              <w:end w:w="120" w:type="dxa"/>
            </w:tcMar>
          </w:tcPr>
          <w:p>
            <w:r>
              <w:t>Unsafe target never generated/applied; stale review fails atomically.</w:t>
            </w:r>
          </w:p>
        </w:tc>
      </w:tr>
      <w:tr>
        <w:trPr>
          <w:cantSplit/>
        </w:trPr>
        <w:tc>
          <w:tcPr>
            <w:tcW w:type="dxa" w:w="1500"/>
            <w:vAlign w:val="top"/>
            <w:tcMar>
              <w:top w:w="80" w:type="dxa"/>
              <w:start w:w="120" w:type="dxa"/>
              <w:bottom w:w="80" w:type="dxa"/>
              <w:end w:w="120" w:type="dxa"/>
            </w:tcMar>
          </w:tcPr>
          <w:p>
            <w:r>
              <w:t>Expiry boundary</w:t>
            </w:r>
          </w:p>
        </w:tc>
        <w:tc>
          <w:tcPr>
            <w:tcW w:type="dxa" w:w="4300"/>
            <w:vAlign w:val="top"/>
            <w:tcMar>
              <w:top w:w="80" w:type="dxa"/>
              <w:start w:w="120" w:type="dxa"/>
              <w:bottom w:w="80" w:type="dxa"/>
              <w:end w:w="120" w:type="dxa"/>
            </w:tcMar>
          </w:tcPr>
          <w:p>
            <w:r>
              <w:t>Expiry yesterday/today/+30/+31/+60/+61/+90 in branch timezone, including server UTC boundary.</w:t>
            </w:r>
          </w:p>
        </w:tc>
        <w:tc>
          <w:tcPr>
            <w:tcW w:type="dxa" w:w="3560"/>
            <w:vAlign w:val="top"/>
            <w:tcMar>
              <w:top w:w="80" w:type="dxa"/>
              <w:start w:w="120" w:type="dxa"/>
              <w:bottom w:w="80" w:type="dxa"/>
              <w:end w:w="120" w:type="dxa"/>
            </w:tcMar>
          </w:tcPr>
          <w:p>
            <w:r>
              <w:t>Buckets are exact; expired stock is unsellable; value uses acquisition cost.</w:t>
            </w:r>
          </w:p>
        </w:tc>
      </w:tr>
      <w:tr>
        <w:trPr>
          <w:cantSplit/>
        </w:trPr>
        <w:tc>
          <w:tcPr>
            <w:tcW w:type="dxa" w:w="1500"/>
            <w:vAlign w:val="top"/>
            <w:tcMar>
              <w:top w:w="80" w:type="dxa"/>
              <w:start w:w="120" w:type="dxa"/>
              <w:bottom w:w="80" w:type="dxa"/>
              <w:end w:w="120" w:type="dxa"/>
            </w:tcMar>
          </w:tcPr>
          <w:p>
            <w:r>
              <w:t>Reorder math</w:t>
            </w:r>
          </w:p>
        </w:tc>
        <w:tc>
          <w:tcPr>
            <w:tcW w:type="dxa" w:w="4300"/>
            <w:vAlign w:val="top"/>
            <w:tcMar>
              <w:top w:w="80" w:type="dxa"/>
              <w:start w:w="120" w:type="dxa"/>
              <w:bottom w:w="80" w:type="dxa"/>
              <w:end w:w="120" w:type="dxa"/>
            </w:tcMar>
          </w:tcPr>
          <w:p>
            <w:r>
              <w:t>No history, heavy stockouts, missing lead time, MOQ, multiple rounding, near-expiry stock, repeated generation.</w:t>
            </w:r>
          </w:p>
        </w:tc>
        <w:tc>
          <w:tcPr>
            <w:tcW w:type="dxa" w:w="3560"/>
            <w:vAlign w:val="top"/>
            <w:tcMar>
              <w:top w:w="80" w:type="dxa"/>
              <w:start w:w="120" w:type="dxa"/>
              <w:bottom w:w="80" w:type="dxa"/>
              <w:end w:w="120" w:type="dxa"/>
            </w:tcMar>
          </w:tcPr>
          <w:p>
            <w:r>
              <w:t>Explainable quantity/confidence; one active suggestion; no automatic order.</w:t>
            </w:r>
          </w:p>
        </w:tc>
      </w:tr>
      <w:tr>
        <w:trPr>
          <w:cantSplit/>
        </w:trPr>
        <w:tc>
          <w:tcPr>
            <w:tcW w:type="dxa" w:w="1500"/>
            <w:vAlign w:val="top"/>
            <w:tcMar>
              <w:top w:w="80" w:type="dxa"/>
              <w:start w:w="120" w:type="dxa"/>
              <w:bottom w:w="80" w:type="dxa"/>
              <w:end w:w="120" w:type="dxa"/>
            </w:tcMar>
          </w:tcPr>
          <w:p>
            <w:r>
              <w:t>Budget safety</w:t>
            </w:r>
          </w:p>
        </w:tc>
        <w:tc>
          <w:tcPr>
            <w:tcW w:type="dxa" w:w="4300"/>
            <w:vAlign w:val="top"/>
            <w:tcMar>
              <w:top w:w="80" w:type="dxa"/>
              <w:start w:w="120" w:type="dxa"/>
              <w:bottom w:w="80" w:type="dxa"/>
              <w:end w:w="120" w:type="dxa"/>
            </w:tcMar>
          </w:tcPr>
          <w:p>
            <w:r>
              <w:t>Below one day, exact budget, pack rounding, fractional units, multiple medicines, price change before checkout.</w:t>
            </w:r>
          </w:p>
        </w:tc>
        <w:tc>
          <w:tcPr>
            <w:tcW w:type="dxa" w:w="3560"/>
            <w:vAlign w:val="top"/>
            <w:tcMar>
              <w:top w:w="80" w:type="dxa"/>
              <w:start w:w="120" w:type="dxa"/>
              <w:bottom w:w="80" w:type="dxa"/>
              <w:end w:w="120" w:type="dxa"/>
            </w:tcMar>
          </w:tcPr>
          <w:p>
            <w:r>
              <w:t>No partial-dose result; no float drift; stale calculation is rejected/recalculated.</w:t>
            </w:r>
          </w:p>
        </w:tc>
      </w:tr>
      <w:tr>
        <w:trPr>
          <w:cantSplit/>
        </w:trPr>
        <w:tc>
          <w:tcPr>
            <w:tcW w:type="dxa" w:w="1500"/>
            <w:vAlign w:val="top"/>
            <w:tcMar>
              <w:top w:w="80" w:type="dxa"/>
              <w:start w:w="120" w:type="dxa"/>
              <w:bottom w:w="80" w:type="dxa"/>
              <w:end w:w="120" w:type="dxa"/>
            </w:tcMar>
          </w:tcPr>
          <w:p>
            <w:r>
              <w:t>RBAC</w:t>
            </w:r>
          </w:p>
        </w:tc>
        <w:tc>
          <w:tcPr>
            <w:tcW w:type="dxa" w:w="4300"/>
            <w:vAlign w:val="top"/>
            <w:tcMar>
              <w:top w:w="80" w:type="dxa"/>
              <w:start w:w="120" w:type="dxa"/>
              <w:bottom w:w="80" w:type="dxa"/>
              <w:end w:w="120" w:type="dxa"/>
            </w:tcMar>
          </w:tcPr>
          <w:p>
            <w:r>
              <w:t>Allowed and denied identity for every new endpoint; system admin without business grants; owner AI tool re-check.</w:t>
            </w:r>
          </w:p>
        </w:tc>
        <w:tc>
          <w:tcPr>
            <w:tcW w:type="dxa" w:w="3560"/>
            <w:vAlign w:val="top"/>
            <w:tcMar>
              <w:top w:w="80" w:type="dxa"/>
              <w:start w:w="120" w:type="dxa"/>
              <w:bottom w:w="80" w:type="dxa"/>
              <w:end w:w="120" w:type="dxa"/>
            </w:tcMar>
          </w:tcPr>
          <w:p>
            <w:r>
              <w:t>Backend denies every unauthorized request regardless of UI visibility.</w:t>
            </w:r>
          </w:p>
        </w:tc>
      </w:tr>
      <w:tr>
        <w:trPr>
          <w:cantSplit/>
        </w:trPr>
        <w:tc>
          <w:tcPr>
            <w:tcW w:type="dxa" w:w="1500"/>
            <w:vAlign w:val="top"/>
            <w:tcMar>
              <w:top w:w="80" w:type="dxa"/>
              <w:start w:w="120" w:type="dxa"/>
              <w:bottom w:w="80" w:type="dxa"/>
              <w:end w:w="120" w:type="dxa"/>
            </w:tcMar>
          </w:tcPr>
          <w:p>
            <w:r>
              <w:t>AI isolation</w:t>
            </w:r>
          </w:p>
        </w:tc>
        <w:tc>
          <w:tcPr>
            <w:tcW w:type="dxa" w:w="4300"/>
            <w:vAlign w:val="top"/>
            <w:tcMar>
              <w:top w:w="80" w:type="dxa"/>
              <w:start w:w="120" w:type="dxa"/>
              <w:bottom w:w="80" w:type="dxa"/>
              <w:end w:w="120" w:type="dxa"/>
            </w:tcMar>
          </w:tcPr>
          <w:p>
            <w:r>
              <w:t>Disabled provider, no key, timeout, 429, malformed response, contradictory generated number, tool failure.</w:t>
            </w:r>
          </w:p>
        </w:tc>
        <w:tc>
          <w:tcPr>
            <w:tcW w:type="dxa" w:w="3560"/>
            <w:vAlign w:val="top"/>
            <w:tcMar>
              <w:top w:w="80" w:type="dxa"/>
              <w:start w:w="120" w:type="dxa"/>
              <w:bottom w:w="80" w:type="dxa"/>
              <w:end w:w="120" w:type="dxa"/>
            </w:tcMar>
          </w:tcPr>
          <w:p>
            <w:r>
              <w:t>POS/health remain available; facts stay authoritative; no fabrication or secret/PII leakage.</w:t>
            </w:r>
          </w:p>
        </w:tc>
      </w:tr>
    </w:tbl>
    <w:p>
      <w:pPr>
        <w:spacing w:after="0"/>
      </w:pPr>
    </w:p>
    <w:p>
      <w:pPr>
        <w:pStyle w:val="Heading2"/>
      </w:pPr>
      <w:r>
        <w:t>4.2 P1 — workflow and recovery</w:t>
      </w:r>
    </w:p>
    <w:p>
      <w:pPr>
        <w:numPr>
          <w:ilvl w:val="0"/>
          <w:numId w:val="10"/>
        </w:numPr>
      </w:pPr>
      <w:r>
        <w:t>Morning inventory journey: worker refresh → attention counts → expiry review → shelf review → reorder review.</w:t>
      </w:r>
    </w:p>
    <w:p>
      <w:pPr>
        <w:numPr>
          <w:ilvl w:val="0"/>
          <w:numId w:val="10"/>
        </w:numPr>
      </w:pPr>
      <w:r>
        <w:t>Reorder-to-draft journey: compare paid cost/current quote → choose supplier/quantity → retry draft creation → approve/order without overwriting a human-edited draft.</w:t>
      </w:r>
    </w:p>
    <w:p>
      <w:pPr>
        <w:numPr>
          <w:ilvl w:val="0"/>
          <w:numId w:val="10"/>
        </w:numPr>
      </w:pPr>
      <w:r>
        <w:t>Return journey: scan printed QR → lookup → partial request → approval → disposition → refund → FBR return boundary.</w:t>
      </w:r>
    </w:p>
    <w:p>
      <w:pPr>
        <w:numPr>
          <w:ilvl w:val="0"/>
          <w:numId w:val="10"/>
        </w:numPr>
      </w:pPr>
      <w:r>
        <w:t>Worker recovery: kill during each refresh, replay outbox job, run two workers, confirm deduplication and run audit.</w:t>
      </w:r>
    </w:p>
    <w:p>
      <w:pPr>
        <w:numPr>
          <w:ilvl w:val="0"/>
          <w:numId w:val="10"/>
        </w:numPr>
      </w:pPr>
      <w:r>
        <w:t>Internet/provider loss: disconnect WAN while POS, inventory, returns, and deterministic owner reports remain usable.</w:t>
      </w:r>
    </w:p>
    <w:p>
      <w:pPr>
        <w:numPr>
          <w:ilvl w:val="0"/>
          <w:numId w:val="10"/>
        </w:numPr>
      </w:pPr>
      <w:r>
        <w:t>Database/Redis outage behavior: bounded failure, stable errors, no partial state, successful recovery after dependency returns.</w:t>
      </w:r>
    </w:p>
    <w:p>
      <w:pPr>
        <w:pStyle w:val="Heading2"/>
      </w:pPr>
      <w:r>
        <w:t>4.3 P2 — performance, usability, and operations</w:t>
      </w:r>
    </w:p>
    <w:p>
      <w:pPr>
        <w:numPr>
          <w:ilvl w:val="0"/>
          <w:numId w:val="10"/>
        </w:numPr>
      </w:pPr>
      <w:r>
        <w:t>Benchmark catalog/POS, expiry queue, reorder queue, supplier history, shelf scoring, and owner tools on representative pharmacy volume.</w:t>
      </w:r>
    </w:p>
    <w:p>
      <w:pPr>
        <w:numPr>
          <w:ilvl w:val="0"/>
          <w:numId w:val="10"/>
        </w:numPr>
      </w:pPr>
      <w:r>
        <w:t>Keyboard-only and small-screen review for all new screens; verify focus, disabled, loading, empty, denied, timeout, and retry states.</w:t>
      </w:r>
    </w:p>
    <w:p>
      <w:pPr>
        <w:numPr>
          <w:ilvl w:val="0"/>
          <w:numId w:val="10"/>
        </w:numPr>
      </w:pPr>
      <w:r>
        <w:t>Receipt printer/scanner matrix: supported paper widths, QR error correction, low-quality print, repeated scan, and offline LAN lookup.</w:t>
      </w:r>
    </w:p>
    <w:p>
      <w:pPr>
        <w:numPr>
          <w:ilvl w:val="0"/>
          <w:numId w:val="10"/>
        </w:numPr>
      </w:pPr>
      <w:r>
        <w:t>Backup/restore: encrypted backup containing all new durable tables; restore to clean host; compare row counts/checksums and launch app.</w:t>
      </w:r>
    </w:p>
    <w:p>
      <w:pPr>
        <w:numPr>
          <w:ilvl w:val="0"/>
          <w:numId w:val="10"/>
        </w:numPr>
      </w:pPr>
      <w:r>
        <w:t>Log/security review: secrets, tokens, prescription/health data, customer identity, payment/FBR material, and model prompts never appear in logs.</w:t>
      </w:r>
    </w:p>
    <w:p>
      <w:pPr>
        <w:numPr>
          <w:ilvl w:val="0"/>
          <w:numId w:val="10"/>
        </w:numPr>
      </w:pPr>
      <w:r>
        <w:t>Retention proof: regulated history remains queryable for configured period; cleanup jobs cannot remove sales/returns/receipts/movements.</w:t>
      </w:r>
    </w:p>
    <w:p>
      <w:pPr>
        <w:pStyle w:val="Heading1"/>
      </w:pPr>
      <w:r>
        <w:t>5. Minimum representative test data</w:t>
      </w:r>
    </w:p>
    <w:tbl>
      <w:tblPr>
        <w:tblStyle w:val="TableGrid"/>
        <w:tblW w:type="dxa" w:w="9360"/>
        <w:jc w:val="left"/>
        <w:tblLayout w:type="fixed"/>
        <w:tblLook w:firstColumn="1" w:firstRow="1" w:lastColumn="0" w:lastRow="0" w:noHBand="0" w:noVBand="1" w:val="04A0"/>
      </w:tblPr>
      <w:tblGrid>
        <w:gridCol w:w="4680"/>
        <w:gridCol w:w="4680"/>
      </w:tblGrid>
      <w:tr>
        <w:tc>
          <w:tcPr>
            <w:tcW w:type="dxa" w:w="1800"/>
            <w:shd w:fill="E8EEF5"/>
            <w:vAlign w:val="center"/>
            <w:tcMar>
              <w:top w:w="80" w:type="dxa"/>
              <w:start w:w="120" w:type="dxa"/>
              <w:bottom w:w="80" w:type="dxa"/>
              <w:end w:w="120" w:type="dxa"/>
            </w:tcMar>
          </w:tcPr>
          <w:p>
            <w:r>
              <w:rPr>
                <w:b/>
                <w:color w:val="1F4D78"/>
              </w:rPr>
              <w:t>Dataset</w:t>
            </w:r>
          </w:p>
        </w:tc>
        <w:tc>
          <w:tcPr>
            <w:tcW w:type="dxa" w:w="7560"/>
            <w:shd w:fill="E8EEF5"/>
            <w:vAlign w:val="center"/>
            <w:tcMar>
              <w:top w:w="80" w:type="dxa"/>
              <w:start w:w="120" w:type="dxa"/>
              <w:bottom w:w="80" w:type="dxa"/>
              <w:end w:w="120" w:type="dxa"/>
            </w:tcMar>
          </w:tcPr>
          <w:p>
            <w:r>
              <w:rPr>
                <w:b/>
                <w:color w:val="1F4D78"/>
              </w:rPr>
              <w:t>Required content</w:t>
            </w:r>
          </w:p>
        </w:tc>
      </w:tr>
      <w:tr>
        <w:trPr>
          <w:cantSplit/>
        </w:trPr>
        <w:tc>
          <w:tcPr>
            <w:tcW w:type="dxa" w:w="1800"/>
            <w:vAlign w:val="top"/>
            <w:tcMar>
              <w:top w:w="80" w:type="dxa"/>
              <w:start w:w="120" w:type="dxa"/>
              <w:bottom w:w="80" w:type="dxa"/>
              <w:end w:w="120" w:type="dxa"/>
            </w:tcMar>
          </w:tcPr>
          <w:p>
            <w:r>
              <w:t>Branches/time</w:t>
            </w:r>
          </w:p>
        </w:tc>
        <w:tc>
          <w:tcPr>
            <w:tcW w:type="dxa" w:w="7560"/>
            <w:vAlign w:val="top"/>
            <w:tcMar>
              <w:top w:w="80" w:type="dxa"/>
              <w:start w:w="120" w:type="dxa"/>
              <w:bottom w:w="80" w:type="dxa"/>
              <w:end w:w="120" w:type="dxa"/>
            </w:tcMar>
          </w:tcPr>
          <w:p>
            <w:r>
              <w:t>At least 2 branches; Asia/Karachi boundary records around 00:00 local and UTC rollover.</w:t>
            </w:r>
          </w:p>
        </w:tc>
      </w:tr>
      <w:tr>
        <w:trPr>
          <w:cantSplit/>
        </w:trPr>
        <w:tc>
          <w:tcPr>
            <w:tcW w:type="dxa" w:w="1800"/>
            <w:vAlign w:val="top"/>
            <w:tcMar>
              <w:top w:w="80" w:type="dxa"/>
              <w:start w:w="120" w:type="dxa"/>
              <w:bottom w:w="80" w:type="dxa"/>
              <w:end w:w="120" w:type="dxa"/>
            </w:tcMar>
          </w:tcPr>
          <w:p>
            <w:r>
              <w:t>Catalog</w:t>
            </w:r>
          </w:p>
        </w:tc>
        <w:tc>
          <w:tcPr>
            <w:tcW w:type="dxa" w:w="7560"/>
            <w:vAlign w:val="top"/>
            <w:tcMar>
              <w:top w:w="80" w:type="dxa"/>
              <w:start w:w="120" w:type="dxa"/>
              <w:bottom w:w="80" w:type="dxa"/>
              <w:end w:w="120" w:type="dxa"/>
            </w:tcMar>
          </w:tcPr>
          <w:p>
            <w:r>
              <w:t>500+ medicines; ambient/cold/secured classes; box/strip/tablet conversions; inactive and new products.</w:t>
            </w:r>
          </w:p>
        </w:tc>
      </w:tr>
      <w:tr>
        <w:trPr>
          <w:cantSplit/>
        </w:trPr>
        <w:tc>
          <w:tcPr>
            <w:tcW w:type="dxa" w:w="1800"/>
            <w:vAlign w:val="top"/>
            <w:tcMar>
              <w:top w:w="80" w:type="dxa"/>
              <w:start w:w="120" w:type="dxa"/>
              <w:bottom w:w="80" w:type="dxa"/>
              <w:end w:w="120" w:type="dxa"/>
            </w:tcMar>
          </w:tcPr>
          <w:p>
            <w:r>
              <w:t>Inventory</w:t>
            </w:r>
          </w:p>
        </w:tc>
        <w:tc>
          <w:tcPr>
            <w:tcW w:type="dxa" w:w="7560"/>
            <w:vAlign w:val="top"/>
            <w:tcMar>
              <w:top w:w="80" w:type="dxa"/>
              <w:start w:w="120" w:type="dxa"/>
              <w:bottom w:w="80" w:type="dxa"/>
              <w:end w:w="120" w:type="dxa"/>
            </w:tcMar>
          </w:tcPr>
          <w:p>
            <w:r>
              <w:t>Multiple FEFO batches; zero/depleted; expired/today/30/31/60/61/90-day expiries; quarantined/secured stock.</w:t>
            </w:r>
          </w:p>
        </w:tc>
      </w:tr>
      <w:tr>
        <w:trPr>
          <w:cantSplit/>
        </w:trPr>
        <w:tc>
          <w:tcPr>
            <w:tcW w:type="dxa" w:w="1800"/>
            <w:vAlign w:val="top"/>
            <w:tcMar>
              <w:top w:w="80" w:type="dxa"/>
              <w:start w:w="120" w:type="dxa"/>
              <w:bottom w:w="80" w:type="dxa"/>
              <w:end w:w="120" w:type="dxa"/>
            </w:tcMar>
          </w:tcPr>
          <w:p>
            <w:r>
              <w:t>Sales</w:t>
            </w:r>
          </w:p>
        </w:tc>
        <w:tc>
          <w:tcPr>
            <w:tcW w:type="dxa" w:w="7560"/>
            <w:vAlign w:val="top"/>
            <w:tcMar>
              <w:top w:w="80" w:type="dxa"/>
              <w:start w:w="120" w:type="dxa"/>
              <w:bottom w:w="80" w:type="dxa"/>
              <w:end w:w="120" w:type="dxa"/>
            </w:tcMar>
          </w:tcPr>
          <w:p>
            <w:r>
              <w:t>90+ days; cancelled/voided; stockout intervals; multiple counters; partial/full returns; mixed tender.</w:t>
            </w:r>
          </w:p>
        </w:tc>
      </w:tr>
      <w:tr>
        <w:trPr>
          <w:cantSplit/>
        </w:trPr>
        <w:tc>
          <w:tcPr>
            <w:tcW w:type="dxa" w:w="1800"/>
            <w:vAlign w:val="top"/>
            <w:tcMar>
              <w:top w:w="80" w:type="dxa"/>
              <w:start w:w="120" w:type="dxa"/>
              <w:bottom w:w="80" w:type="dxa"/>
              <w:end w:w="120" w:type="dxa"/>
            </w:tcMar>
          </w:tcPr>
          <w:p>
            <w:r>
              <w:t>Procurement</w:t>
            </w:r>
          </w:p>
        </w:tc>
        <w:tc>
          <w:tcPr>
            <w:tcW w:type="dxa" w:w="7560"/>
            <w:vAlign w:val="top"/>
            <w:tcMar>
              <w:top w:w="80" w:type="dxa"/>
              <w:start w:w="120" w:type="dxa"/>
              <w:bottom w:w="80" w:type="dxa"/>
              <w:end w:w="120" w:type="dxa"/>
            </w:tcMar>
          </w:tcPr>
          <w:p>
            <w:r>
              <w:t>3+ suppliers/product; varied lead times; discounts; bonus units; quotes with validity; partial receipts.</w:t>
            </w:r>
          </w:p>
        </w:tc>
      </w:tr>
      <w:tr>
        <w:trPr>
          <w:cantSplit/>
        </w:trPr>
        <w:tc>
          <w:tcPr>
            <w:tcW w:type="dxa" w:w="1800"/>
            <w:vAlign w:val="top"/>
            <w:tcMar>
              <w:top w:w="80" w:type="dxa"/>
              <w:start w:w="120" w:type="dxa"/>
              <w:bottom w:w="80" w:type="dxa"/>
              <w:end w:w="120" w:type="dxa"/>
            </w:tcMar>
          </w:tcPr>
          <w:p>
            <w:r>
              <w:t>Users</w:t>
            </w:r>
          </w:p>
        </w:tc>
        <w:tc>
          <w:tcPr>
            <w:tcW w:type="dxa" w:w="7560"/>
            <w:vAlign w:val="top"/>
            <w:tcMar>
              <w:top w:w="80" w:type="dxa"/>
              <w:start w:w="120" w:type="dxa"/>
              <w:bottom w:w="80" w:type="dxa"/>
              <w:end w:w="120" w:type="dxa"/>
            </w:tcMar>
          </w:tcPr>
          <w:p>
            <w:r>
              <w:t>Every seeded role plus custom least-privilege roles; explicit denied cases for owner-only/business approvals.</w:t>
            </w:r>
          </w:p>
        </w:tc>
      </w:tr>
      <w:tr>
        <w:trPr>
          <w:cantSplit/>
        </w:trPr>
        <w:tc>
          <w:tcPr>
            <w:tcW w:type="dxa" w:w="1800"/>
            <w:vAlign w:val="top"/>
            <w:tcMar>
              <w:top w:w="80" w:type="dxa"/>
              <w:start w:w="120" w:type="dxa"/>
              <w:bottom w:w="80" w:type="dxa"/>
              <w:end w:w="120" w:type="dxa"/>
            </w:tcMar>
          </w:tcPr>
          <w:p>
            <w:r>
              <w:t>Failures</w:t>
            </w:r>
          </w:p>
        </w:tc>
        <w:tc>
          <w:tcPr>
            <w:tcW w:type="dxa" w:w="7560"/>
            <w:vAlign w:val="top"/>
            <w:tcMar>
              <w:top w:w="80" w:type="dxa"/>
              <w:start w:w="120" w:type="dxa"/>
              <w:bottom w:w="80" w:type="dxa"/>
              <w:end w:w="120" w:type="dxa"/>
            </w:tcMar>
          </w:tcPr>
          <w:p>
            <w:r>
              <w:t>Provider timeout/429/malformed; worker crash; duplicate outbox; database/Redis interruption; stale shelf/price state.</w:t>
            </w:r>
          </w:p>
        </w:tc>
      </w:tr>
    </w:tbl>
    <w:p>
      <w:pPr>
        <w:spacing w:after="0"/>
      </w:pPr>
    </w:p>
    <w:p>
      <w:r>
        <w:br w:type="page"/>
      </w:r>
    </w:p>
    <w:p>
      <w:pPr>
        <w:pStyle w:val="Heading1"/>
      </w:pPr>
      <w:r>
        <w:t>6. Suggested verification commands</w:t>
      </w:r>
    </w:p>
    <w:p>
      <w:pPr>
        <w:numPr>
          <w:ilvl w:val="0"/>
          <w:numId w:val="12"/>
        </w:numPr>
      </w:pPr>
      <w:r>
        <w:rPr>
          <w:rFonts w:ascii="Consolas" w:hAnsi="Consolas"/>
          <w:sz w:val="18"/>
        </w:rPr>
        <w:t>npm run format:check</w:t>
      </w:r>
    </w:p>
    <w:p>
      <w:pPr>
        <w:numPr>
          <w:ilvl w:val="0"/>
          <w:numId w:val="12"/>
        </w:numPr>
      </w:pPr>
      <w:r>
        <w:rPr>
          <w:rFonts w:ascii="Consolas" w:hAnsi="Consolas"/>
          <w:sz w:val="18"/>
        </w:rPr>
        <w:t>npm run lint</w:t>
      </w:r>
    </w:p>
    <w:p>
      <w:pPr>
        <w:numPr>
          <w:ilvl w:val="0"/>
          <w:numId w:val="12"/>
        </w:numPr>
      </w:pPr>
      <w:r>
        <w:rPr>
          <w:rFonts w:ascii="Consolas" w:hAnsi="Consolas"/>
          <w:sz w:val="18"/>
        </w:rPr>
        <w:t>npm run typecheck</w:t>
      </w:r>
    </w:p>
    <w:p>
      <w:pPr>
        <w:numPr>
          <w:ilvl w:val="0"/>
          <w:numId w:val="12"/>
        </w:numPr>
      </w:pPr>
      <w:r>
        <w:rPr>
          <w:rFonts w:ascii="Consolas" w:hAnsi="Consolas"/>
          <w:sz w:val="18"/>
        </w:rPr>
        <w:t>npm run test</w:t>
      </w:r>
    </w:p>
    <w:p>
      <w:pPr>
        <w:numPr>
          <w:ilvl w:val="0"/>
          <w:numId w:val="12"/>
        </w:numPr>
      </w:pPr>
      <w:r>
        <w:rPr>
          <w:rFonts w:ascii="Consolas" w:hAnsi="Consolas"/>
          <w:sz w:val="18"/>
        </w:rPr>
        <w:t>npm run build</w:t>
      </w:r>
    </w:p>
    <w:p>
      <w:pPr>
        <w:numPr>
          <w:ilvl w:val="0"/>
          <w:numId w:val="12"/>
        </w:numPr>
      </w:pPr>
      <w:r>
        <w:rPr>
          <w:rFonts w:ascii="Consolas" w:hAnsi="Consolas"/>
          <w:sz w:val="18"/>
        </w:rPr>
        <w:t>powershell -ExecutionPolicy Bypass -File infra/scripts/smoke-migrations.ps1</w:t>
      </w:r>
    </w:p>
    <w:p>
      <w:pPr>
        <w:numPr>
          <w:ilvl w:val="0"/>
          <w:numId w:val="12"/>
        </w:numPr>
      </w:pPr>
      <w:r>
        <w:rPr>
          <w:rFonts w:ascii="Consolas" w:hAnsi="Consolas"/>
          <w:sz w:val="18"/>
        </w:rPr>
        <w:t>docker compose -f infra/docker/compose.yaml up --build</w:t>
      </w:r>
    </w:p>
    <w:p>
      <w:r>
        <w:rPr>
          <w:b/>
        </w:rPr>
        <w:t xml:space="preserve">Important: </w:t>
      </w:r>
      <w:r>
        <w:t>Record actual exit codes and outputs. Do not mark any gate passed merely because code exists or a command is planned.</w:t>
      </w:r>
    </w:p>
    <w:p>
      <w:pPr>
        <w:pStyle w:val="Heading1"/>
      </w:pPr>
      <w:r>
        <w:t>7. Release gate</w:t>
      </w:r>
    </w:p>
    <w:tbl>
      <w:tblPr>
        <w:tblStyle w:val="TableGrid"/>
        <w:tblW w:type="dxa" w:w="9360"/>
        <w:jc w:val="left"/>
        <w:tblLayout w:type="fixed"/>
        <w:tblLook w:firstColumn="1" w:firstRow="1" w:lastColumn="0" w:lastRow="0" w:noHBand="0" w:noVBand="1" w:val="04A0"/>
      </w:tblPr>
      <w:tblGrid>
        <w:gridCol w:w="4680"/>
        <w:gridCol w:w="4680"/>
      </w:tblGrid>
      <w:tr>
        <w:tc>
          <w:tcPr>
            <w:tcW w:type="dxa" w:w="1450"/>
            <w:shd w:fill="E8EEF5"/>
            <w:vAlign w:val="center"/>
            <w:tcMar>
              <w:top w:w="80" w:type="dxa"/>
              <w:start w:w="120" w:type="dxa"/>
              <w:bottom w:w="80" w:type="dxa"/>
              <w:end w:w="120" w:type="dxa"/>
            </w:tcMar>
          </w:tcPr>
          <w:p>
            <w:r>
              <w:rPr>
                <w:b/>
                <w:color w:val="1F4D78"/>
              </w:rPr>
              <w:t>Decision</w:t>
            </w:r>
          </w:p>
        </w:tc>
        <w:tc>
          <w:tcPr>
            <w:tcW w:type="dxa" w:w="7910"/>
            <w:shd w:fill="E8EEF5"/>
            <w:vAlign w:val="center"/>
            <w:tcMar>
              <w:top w:w="80" w:type="dxa"/>
              <w:start w:w="120" w:type="dxa"/>
              <w:bottom w:w="80" w:type="dxa"/>
              <w:end w:w="120" w:type="dxa"/>
            </w:tcMar>
          </w:tcPr>
          <w:p>
            <w:r>
              <w:rPr>
                <w:b/>
                <w:color w:val="1F4D78"/>
              </w:rPr>
              <w:t>Condition</w:t>
            </w:r>
          </w:p>
        </w:tc>
      </w:tr>
      <w:tr>
        <w:trPr>
          <w:cantSplit/>
        </w:trPr>
        <w:tc>
          <w:tcPr>
            <w:tcW w:type="dxa" w:w="1450"/>
            <w:vAlign w:val="top"/>
            <w:tcMar>
              <w:top w:w="80" w:type="dxa"/>
              <w:start w:w="120" w:type="dxa"/>
              <w:bottom w:w="80" w:type="dxa"/>
              <w:end w:w="120" w:type="dxa"/>
            </w:tcMar>
          </w:tcPr>
          <w:p>
            <w:r>
              <w:t>BLOCK</w:t>
            </w:r>
          </w:p>
        </w:tc>
        <w:tc>
          <w:tcPr>
            <w:tcW w:type="dxa" w:w="7910"/>
            <w:vAlign w:val="top"/>
            <w:tcMar>
              <w:top w:w="80" w:type="dxa"/>
              <w:start w:w="120" w:type="dxa"/>
              <w:bottom w:w="80" w:type="dxa"/>
              <w:end w:w="120" w:type="dxa"/>
            </w:tcMar>
          </w:tcPr>
          <w:p>
            <w:r>
              <w:t>Any authorization bypass, over-return/duplicate refund, inventory corruption, unsafe shelf placement, money/rounding error, secret/PII leakage, or failed restore.</w:t>
            </w:r>
          </w:p>
        </w:tc>
      </w:tr>
      <w:tr>
        <w:trPr>
          <w:cantSplit/>
        </w:trPr>
        <w:tc>
          <w:tcPr>
            <w:tcW w:type="dxa" w:w="1450"/>
            <w:vAlign w:val="top"/>
            <w:tcMar>
              <w:top w:w="80" w:type="dxa"/>
              <w:start w:w="120" w:type="dxa"/>
              <w:bottom w:w="80" w:type="dxa"/>
              <w:end w:w="120" w:type="dxa"/>
            </w:tcMar>
          </w:tcPr>
          <w:p>
            <w:r>
              <w:t>HOLD</w:t>
            </w:r>
          </w:p>
        </w:tc>
        <w:tc>
          <w:tcPr>
            <w:tcW w:type="dxa" w:w="7910"/>
            <w:vAlign w:val="top"/>
            <w:tcMar>
              <w:top w:w="80" w:type="dxa"/>
              <w:start w:w="120" w:type="dxa"/>
              <w:bottom w:w="80" w:type="dxa"/>
              <w:end w:w="120" w:type="dxa"/>
            </w:tcMar>
          </w:tcPr>
          <w:p>
            <w:r>
              <w:t>Missing physical QR, production FBR path, cash-session workflow, complete return/procurement UI, or P0 automated evidence.</w:t>
            </w:r>
          </w:p>
        </w:tc>
      </w:tr>
      <w:tr>
        <w:trPr>
          <w:cantSplit/>
        </w:trPr>
        <w:tc>
          <w:tcPr>
            <w:tcW w:type="dxa" w:w="1450"/>
            <w:vAlign w:val="top"/>
            <w:tcMar>
              <w:top w:w="80" w:type="dxa"/>
              <w:start w:w="120" w:type="dxa"/>
              <w:bottom w:w="80" w:type="dxa"/>
              <w:end w:w="120" w:type="dxa"/>
            </w:tcMar>
          </w:tcPr>
          <w:p>
            <w:r>
              <w:t>PILOT</w:t>
            </w:r>
          </w:p>
        </w:tc>
        <w:tc>
          <w:tcPr>
            <w:tcW w:type="dxa" w:w="7910"/>
            <w:vAlign w:val="top"/>
            <w:tcMar>
              <w:top w:w="80" w:type="dxa"/>
              <w:start w:w="120" w:type="dxa"/>
              <w:bottom w:w="80" w:type="dxa"/>
              <w:end w:w="120" w:type="dxa"/>
            </w:tcMar>
          </w:tcPr>
          <w:p>
            <w:r>
              <w:t>All P0 pass; critical P1 journeys pass; representative performance is acceptable; backup/restore and operations runbook are proven.</w:t>
            </w:r>
          </w:p>
        </w:tc>
      </w:tr>
    </w:tbl>
    <w:p>
      <w:pPr>
        <w:spacing w:after="0"/>
      </w:pPr>
    </w:p>
    <w:p>
      <w:pPr>
        <w:pStyle w:val="Heading1"/>
      </w:pPr>
      <w:r>
        <w:t>8. Immediate next implementation order</w:t>
      </w:r>
    </w:p>
    <w:p>
      <w:pPr>
        <w:numPr>
          <w:ilvl w:val="0"/>
          <w:numId w:val="13"/>
        </w:numPr>
      </w:pPr>
      <w:r>
        <w:t>Run database-backed cash-session and checkout retry/concurrency proof; the operational API and UI are implemented.</w:t>
      </w:r>
    </w:p>
    <w:p>
      <w:pPr>
        <w:numPr>
          <w:ilvl w:val="0"/>
          <w:numId w:val="13"/>
        </w:numPr>
      </w:pPr>
      <w:r>
        <w:t>Validate the token-only QR receipt on supported printers and scanners; browser rendering is implemented.</w:t>
      </w:r>
    </w:p>
    <w:p>
      <w:pPr>
        <w:numPr>
          <w:ilvl w:val="0"/>
          <w:numId w:val="13"/>
        </w:numPr>
      </w:pPr>
      <w:r>
        <w:t>Finish return and procurement screens over the implemented APIs.</w:t>
      </w:r>
    </w:p>
    <w:p>
      <w:pPr>
        <w:numPr>
          <w:ilvl w:val="0"/>
          <w:numId w:val="13"/>
        </w:numPr>
      </w:pPr>
      <w:r>
        <w:t>Add focused P0 unit/database/integration/concurrency tests; then run the complete repository suite.</w:t>
      </w:r>
    </w:p>
    <w:p>
      <w:pPr>
        <w:numPr>
          <w:ilvl w:val="0"/>
          <w:numId w:val="13"/>
        </w:numPr>
      </w:pPr>
      <w:r>
        <w:t>Configure the selected FBR adapter and Gemini provider only in controlled sandbox environments.</w:t>
      </w:r>
    </w:p>
    <w:p>
      <w:pPr>
        <w:numPr>
          <w:ilvl w:val="0"/>
          <w:numId w:val="13"/>
        </w:numPr>
      </w:pPr>
      <w:r>
        <w:t>Implement encrypted backup automation and produce restore evidence before any pharmacy pilot.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A67"/>
        <w:sz w:val="16"/>
      </w:rPr>
      <w:t xml:space="preserve">Internal implementation record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type="dxa" w:w="9360"/>
      <w:jc w:val="left"/>
      <w:tblLayout w:type="fixed"/>
      <w:tblLook w:firstColumn="1" w:firstRow="1" w:lastColumn="0" w:lastRow="0" w:noHBand="0" w:noVBand="1" w:val="04A0"/>
    </w:tblPr>
    <w:tblGrid>
      <w:gridCol w:w="4680"/>
      <w:gridCol w:w="4680"/>
    </w:tblGrid>
    <w:tr>
      <w:tc>
        <w:tcPr>
          <w:tcW w:type="dxa" w:w="5200"/>
          <w:shd w:fill="1F4D78"/>
          <w:tcMar>
            <w:top w:w="80" w:type="dxa"/>
            <w:start w:w="120" w:type="dxa"/>
            <w:bottom w:w="80" w:type="dxa"/>
            <w:end w:w="120" w:type="dxa"/>
          </w:tcMar>
        </w:tcPr>
        <w:p>
          <w:r>
            <w:rPr>
              <w:b/>
              <w:color w:val="FFFFFF"/>
              <w:sz w:val="16"/>
            </w:rPr>
            <w:t>PHARMACYOS  /  ENGINEERING CONTROL</w:t>
          </w:r>
        </w:p>
      </w:tc>
      <w:tc>
        <w:tcPr>
          <w:tcW w:type="dxa" w:w="4160"/>
          <w:shd w:fill="1F4D78"/>
          <w:tcMar>
            <w:top w:w="80" w:type="dxa"/>
            <w:start w:w="120" w:type="dxa"/>
            <w:bottom w:w="80" w:type="dxa"/>
            <w:end w:w="120" w:type="dxa"/>
          </w:tcMar>
        </w:tcPr>
        <w:p>
          <w:pPr>
            <w:jc w:val="right"/>
          </w:pPr>
          <w:r>
            <w:rPr>
              <w:b/>
              <w:color w:val="FFFFFF"/>
              <w:sz w:val="16"/>
            </w:rPr>
            <w:t>PHASE 2 AUDIT  ·  20 AUG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rPr>
        <w:rFonts w:ascii="Calibri" w:hAnsi="Calibri"/>
      </w:rPr>
      <w:pPr>
        <w:tabs>
          <w:tab w:val="num" w:pos="540"/>
        </w:tabs>
        <w:ind w:left="540" w:hanging="270"/>
      </w:pPr>
    </w:lvl>
  </w:abstractNum>
  <w:abstractNum w:abstractNumId="10">
    <w:multiLevelType w:val="singleLevel"/>
    <w:lvl w:ilvl="0">
      <w:start w:val="1"/>
      <w:numFmt w:val="decimal"/>
      <w:lvlText w:val="%1."/>
      <w:pPr>
        <w:tabs>
          <w:tab w:val="num" w:pos="540"/>
        </w:tabs>
        <w:ind w:left="540" w:hanging="270"/>
      </w:pPr>
    </w:lvl>
  </w:abstractNum>
  <w:num w:numId="10">
    <w:abstractNumId w:val="9"/>
  </w:num>
  <w:num w:numId="11">
    <w:abstractNumId w:val="10"/>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7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Calibri" w:hAnsi="Calibri"/>
      <w:b/>
      <w:color w:val="17252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PharmacyOS Phase 2 Test Plan and Feature Audit</dc:title>
  <dc:subject>Implementation status, gaps, and release verification plan</dc:subject>
  <dc:creator>PharmacyOS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