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A55EF" w14:textId="4EA81E86" w:rsidR="00A34A11" w:rsidRDefault="009623FD">
      <w:r w:rsidRPr="009623FD">
        <w:t>Listening to Residue: Rethinking Risk and Threat in Commercial Due Diligence</w:t>
      </w:r>
      <w:r>
        <w:t>:</w:t>
      </w:r>
    </w:p>
    <w:p w14:paraId="63F3F705" w14:textId="77777777" w:rsidR="009623FD" w:rsidRPr="009623FD" w:rsidRDefault="009623FD" w:rsidP="009623FD">
      <w:pPr>
        <w:rPr>
          <w:lang w:val="en-PK"/>
        </w:rPr>
      </w:pPr>
      <w:r w:rsidRPr="009623FD">
        <w:rPr>
          <w:b/>
          <w:bCs/>
          <w:lang w:val="en-PK"/>
        </w:rPr>
        <w:t>Part I: The Issue with How We Evaluate Systems</w:t>
      </w:r>
    </w:p>
    <w:p w14:paraId="21585D20" w14:textId="77777777" w:rsidR="009623FD" w:rsidRPr="009623FD" w:rsidRDefault="009623FD" w:rsidP="009623FD">
      <w:pPr>
        <w:rPr>
          <w:lang w:val="en-PK"/>
        </w:rPr>
      </w:pPr>
      <w:r w:rsidRPr="009623FD">
        <w:rPr>
          <w:lang w:val="en-PK"/>
        </w:rPr>
        <w:t xml:space="preserve">In the world of commercial due diligence (CDD), risk is often treated as a checklist item. Ratios are scanned, revenue models are tested, compliance is checked, and leadership narratives are heard. Yet beneath this surface-level assessment, something vital is often missed: The </w:t>
      </w:r>
      <w:proofErr w:type="spellStart"/>
      <w:r w:rsidRPr="009623FD">
        <w:rPr>
          <w:lang w:val="en-PK"/>
        </w:rPr>
        <w:t>behavior</w:t>
      </w:r>
      <w:proofErr w:type="spellEnd"/>
      <w:r w:rsidRPr="009623FD">
        <w:rPr>
          <w:lang w:val="en-PK"/>
        </w:rPr>
        <w:t xml:space="preserve"> of the system itself.</w:t>
      </w:r>
    </w:p>
    <w:p w14:paraId="55F95417" w14:textId="77777777" w:rsidR="009623FD" w:rsidRPr="009623FD" w:rsidRDefault="009623FD" w:rsidP="009623FD">
      <w:pPr>
        <w:rPr>
          <w:lang w:val="en-PK"/>
        </w:rPr>
      </w:pPr>
      <w:r w:rsidRPr="009623FD">
        <w:rPr>
          <w:lang w:val="en-PK"/>
        </w:rPr>
        <w:t>We assume that risk, once identified, can be neatly categorized as a functional gap, a market uncertainty, or a scaling challenge. But in many cases, what we call risk is neither static nor isolated. It is dynamic, often evolving quietly beneath the noise, shifting from a manageable flaw to a structural weakness and eventually to an existential threat.</w:t>
      </w:r>
    </w:p>
    <w:p w14:paraId="591BCA6C" w14:textId="77777777" w:rsidR="009623FD" w:rsidRPr="009623FD" w:rsidRDefault="009623FD" w:rsidP="009623FD">
      <w:pPr>
        <w:rPr>
          <w:lang w:val="en-PK"/>
        </w:rPr>
      </w:pPr>
      <w:r w:rsidRPr="009623FD">
        <w:rPr>
          <w:lang w:val="en-PK"/>
        </w:rPr>
        <w:t xml:space="preserve">This is not always due to deception. Often, it is </w:t>
      </w:r>
      <w:proofErr w:type="gramStart"/>
      <w:r w:rsidRPr="009623FD">
        <w:rPr>
          <w:lang w:val="en-PK"/>
        </w:rPr>
        <w:t>due to the fact that</w:t>
      </w:r>
      <w:proofErr w:type="gramEnd"/>
      <w:r w:rsidRPr="009623FD">
        <w:rPr>
          <w:lang w:val="en-PK"/>
        </w:rPr>
        <w:t xml:space="preserve"> </w:t>
      </w:r>
      <w:proofErr w:type="gramStart"/>
      <w:r w:rsidRPr="009623FD">
        <w:rPr>
          <w:lang w:val="en-PK"/>
        </w:rPr>
        <w:t>early stage</w:t>
      </w:r>
      <w:proofErr w:type="gramEnd"/>
      <w:r w:rsidRPr="009623FD">
        <w:rPr>
          <w:lang w:val="en-PK"/>
        </w:rPr>
        <w:t xml:space="preserve"> systems are allowed the moral cover of immaturity. Their founders are forgiven for narrative inflation, manual inefficiencies, and a lack of financial clarity under the expectation that these are temporary. And often, they are.</w:t>
      </w:r>
    </w:p>
    <w:p w14:paraId="1A3189CC" w14:textId="77777777" w:rsidR="009623FD" w:rsidRPr="009623FD" w:rsidRDefault="009623FD" w:rsidP="009623FD">
      <w:pPr>
        <w:rPr>
          <w:lang w:val="en-PK"/>
        </w:rPr>
      </w:pPr>
      <w:r w:rsidRPr="009623FD">
        <w:rPr>
          <w:lang w:val="en-PK"/>
        </w:rPr>
        <w:t xml:space="preserve">But when these flaws persist through capital raises, growth stages, and geographic expansion, the system reaches what can only be described as a </w:t>
      </w:r>
      <w:r w:rsidRPr="009623FD">
        <w:rPr>
          <w:b/>
          <w:bCs/>
          <w:lang w:val="en-PK"/>
        </w:rPr>
        <w:t>Junction point</w:t>
      </w:r>
      <w:r w:rsidRPr="009623FD">
        <w:rPr>
          <w:lang w:val="en-PK"/>
        </w:rPr>
        <w:t>: the moment when the system’s original logic no longer echoes back. The gap between what it claims to be and how it behaves begins to widen. Yet traditional due diligence tools do not capture this moment. It is not a number. It is not a metric. It is a resonance.</w:t>
      </w:r>
    </w:p>
    <w:p w14:paraId="7980148C" w14:textId="77777777" w:rsidR="009623FD" w:rsidRPr="009623FD" w:rsidRDefault="009623FD" w:rsidP="009623FD">
      <w:pPr>
        <w:rPr>
          <w:lang w:val="en-PK"/>
        </w:rPr>
      </w:pPr>
      <w:r w:rsidRPr="009623FD">
        <w:rPr>
          <w:lang w:val="en-PK"/>
        </w:rPr>
        <w:t xml:space="preserve">Most CDD processes miss this entirely because they work in isolation. Financials are reviewed separately from operations. Dashboards are assessed independently of culture. Narratives are judged only by consistency not by internal alignment with </w:t>
      </w:r>
      <w:proofErr w:type="spellStart"/>
      <w:r w:rsidRPr="009623FD">
        <w:rPr>
          <w:lang w:val="en-PK"/>
        </w:rPr>
        <w:t>behavior</w:t>
      </w:r>
      <w:proofErr w:type="spellEnd"/>
      <w:r w:rsidRPr="009623FD">
        <w:rPr>
          <w:lang w:val="en-PK"/>
        </w:rPr>
        <w:t>. And so, the signals that should trigger deeper concern are treated as noise, while more dramatic yet often cosmetic risks are spotlighted.</w:t>
      </w:r>
    </w:p>
    <w:p w14:paraId="41A13CF7" w14:textId="77777777" w:rsidR="009623FD" w:rsidRPr="009623FD" w:rsidRDefault="009623FD" w:rsidP="009623FD">
      <w:pPr>
        <w:rPr>
          <w:lang w:val="en-PK"/>
        </w:rPr>
      </w:pPr>
      <w:r w:rsidRPr="009623FD">
        <w:rPr>
          <w:lang w:val="en-PK"/>
        </w:rPr>
        <w:t>This leaves a blind spot. And in that blind spot, systems quietly begin to collapse not with a bang, but with a slow distortion of their own rhythm.</w:t>
      </w:r>
    </w:p>
    <w:p w14:paraId="61AC9E2E" w14:textId="77777777" w:rsidR="009623FD" w:rsidRPr="009623FD" w:rsidRDefault="009623FD" w:rsidP="009623FD">
      <w:pPr>
        <w:rPr>
          <w:lang w:val="en-PK"/>
        </w:rPr>
      </w:pPr>
      <w:r w:rsidRPr="009623FD">
        <w:rPr>
          <w:b/>
          <w:bCs/>
          <w:lang w:val="en-PK"/>
        </w:rPr>
        <w:t>Part II: How to Identify the Distortion Before It Becomes a Threat</w:t>
      </w:r>
    </w:p>
    <w:p w14:paraId="363D2B5F" w14:textId="77777777" w:rsidR="009623FD" w:rsidRPr="009623FD" w:rsidRDefault="009623FD" w:rsidP="009623FD">
      <w:pPr>
        <w:rPr>
          <w:lang w:val="en-PK"/>
        </w:rPr>
      </w:pPr>
      <w:r w:rsidRPr="009623FD">
        <w:rPr>
          <w:lang w:val="en-PK"/>
        </w:rPr>
        <w:t xml:space="preserve">The key to anticipating whether a risk will become a threat lies not in predicting outcomes, but in listening for </w:t>
      </w:r>
      <w:proofErr w:type="spellStart"/>
      <w:r w:rsidRPr="009623FD">
        <w:rPr>
          <w:lang w:val="en-PK"/>
        </w:rPr>
        <w:t>behavioral</w:t>
      </w:r>
      <w:proofErr w:type="spellEnd"/>
      <w:r w:rsidRPr="009623FD">
        <w:rPr>
          <w:lang w:val="en-PK"/>
        </w:rPr>
        <w:t xml:space="preserve"> misalignment. Systems, if they are truly designed well, tend to echo back their intent. The business model, the user experience, the financial flows, and the internal culture should all reflect some version of a central thesis: "This is who we are, and this is how we operate." </w:t>
      </w:r>
    </w:p>
    <w:p w14:paraId="63B59B20" w14:textId="77777777" w:rsidR="009623FD" w:rsidRPr="009623FD" w:rsidRDefault="009623FD" w:rsidP="009623FD">
      <w:pPr>
        <w:rPr>
          <w:lang w:val="en-PK"/>
        </w:rPr>
      </w:pPr>
      <w:r w:rsidRPr="009623FD">
        <w:rPr>
          <w:lang w:val="en-PK"/>
        </w:rPr>
        <w:t>When that echo disappears or worse, is replaced with selective or inflated narratives the system is no longer merely immature. It is defending an image. And that is the early symptom of deeper dysfunction.</w:t>
      </w:r>
    </w:p>
    <w:p w14:paraId="490CFCA2" w14:textId="77777777" w:rsidR="009623FD" w:rsidRPr="009623FD" w:rsidRDefault="009623FD" w:rsidP="009623FD">
      <w:pPr>
        <w:rPr>
          <w:lang w:val="en-PK"/>
        </w:rPr>
      </w:pPr>
      <w:r w:rsidRPr="009623FD">
        <w:rPr>
          <w:lang w:val="en-PK"/>
        </w:rPr>
        <w:t>To identify this moment, one must look across layers:</w:t>
      </w:r>
    </w:p>
    <w:p w14:paraId="12449CCF" w14:textId="77777777" w:rsidR="009623FD" w:rsidRPr="009623FD" w:rsidRDefault="009623FD" w:rsidP="009623FD">
      <w:pPr>
        <w:numPr>
          <w:ilvl w:val="0"/>
          <w:numId w:val="1"/>
        </w:numPr>
        <w:rPr>
          <w:lang w:val="en-PK"/>
        </w:rPr>
      </w:pPr>
      <w:r w:rsidRPr="009623FD">
        <w:rPr>
          <w:b/>
          <w:bCs/>
          <w:lang w:val="en-PK"/>
        </w:rPr>
        <w:t xml:space="preserve">Narrative vs. </w:t>
      </w:r>
      <w:proofErr w:type="spellStart"/>
      <w:r w:rsidRPr="009623FD">
        <w:rPr>
          <w:b/>
          <w:bCs/>
          <w:lang w:val="en-PK"/>
        </w:rPr>
        <w:t>Behavior</w:t>
      </w:r>
      <w:proofErr w:type="spellEnd"/>
      <w:r w:rsidRPr="009623FD">
        <w:rPr>
          <w:lang w:val="en-PK"/>
        </w:rPr>
        <w:t>: Is the system claiming full automation while still relying heavily on manual processes? Is it presenting itself as data-driven while lacking basic visibility in its financial dashboards?</w:t>
      </w:r>
    </w:p>
    <w:p w14:paraId="6D406F63" w14:textId="77777777" w:rsidR="009623FD" w:rsidRPr="009623FD" w:rsidRDefault="009623FD" w:rsidP="009623FD">
      <w:pPr>
        <w:numPr>
          <w:ilvl w:val="0"/>
          <w:numId w:val="1"/>
        </w:numPr>
        <w:rPr>
          <w:lang w:val="en-PK"/>
        </w:rPr>
      </w:pPr>
      <w:r w:rsidRPr="009623FD">
        <w:rPr>
          <w:b/>
          <w:bCs/>
          <w:lang w:val="en-PK"/>
        </w:rPr>
        <w:t>Ratios vs. Intent</w:t>
      </w:r>
      <w:r w:rsidRPr="009623FD">
        <w:rPr>
          <w:lang w:val="en-PK"/>
        </w:rPr>
        <w:t>: Are key financial ratios distorted not just by growth costs, but by inconsistency in how the system generates or uses cash? Are burn rates tied to expansion or are they compensating for unresolved friction?</w:t>
      </w:r>
    </w:p>
    <w:p w14:paraId="5BFE2006" w14:textId="77777777" w:rsidR="009623FD" w:rsidRPr="009623FD" w:rsidRDefault="009623FD" w:rsidP="009623FD">
      <w:pPr>
        <w:numPr>
          <w:ilvl w:val="0"/>
          <w:numId w:val="1"/>
        </w:numPr>
        <w:rPr>
          <w:lang w:val="en-PK"/>
        </w:rPr>
      </w:pPr>
      <w:r w:rsidRPr="009623FD">
        <w:rPr>
          <w:b/>
          <w:bCs/>
          <w:lang w:val="en-PK"/>
        </w:rPr>
        <w:lastRenderedPageBreak/>
        <w:t>Frictions vs. Claims</w:t>
      </w:r>
      <w:r w:rsidRPr="009623FD">
        <w:rPr>
          <w:lang w:val="en-PK"/>
        </w:rPr>
        <w:t>: Are delays, bottlenecks, or inconsistencies dismissed as edge cases even when they touch on core service delivery? Are geographies, functions, or user segments quietly stalling without acknowledgement?</w:t>
      </w:r>
    </w:p>
    <w:p w14:paraId="3F1F7825" w14:textId="77777777" w:rsidR="009623FD" w:rsidRPr="009623FD" w:rsidRDefault="009623FD" w:rsidP="009623FD">
      <w:pPr>
        <w:rPr>
          <w:lang w:val="en-PK"/>
        </w:rPr>
      </w:pPr>
      <w:r w:rsidRPr="009623FD">
        <w:rPr>
          <w:lang w:val="en-PK"/>
        </w:rPr>
        <w:t xml:space="preserve">These aren’t just gaps. They are </w:t>
      </w:r>
      <w:r w:rsidRPr="009623FD">
        <w:rPr>
          <w:b/>
          <w:bCs/>
          <w:lang w:val="en-PK"/>
        </w:rPr>
        <w:t>residues</w:t>
      </w:r>
      <w:r w:rsidRPr="009623FD">
        <w:rPr>
          <w:lang w:val="en-PK"/>
        </w:rPr>
        <w:t>. Remnants of what the system hoped to be, clashing with what it has become.</w:t>
      </w:r>
    </w:p>
    <w:p w14:paraId="355107D9" w14:textId="77777777" w:rsidR="009623FD" w:rsidRPr="009623FD" w:rsidRDefault="009623FD" w:rsidP="009623FD">
      <w:pPr>
        <w:rPr>
          <w:lang w:val="en-PK"/>
        </w:rPr>
      </w:pPr>
      <w:r w:rsidRPr="009623FD">
        <w:rPr>
          <w:lang w:val="en-PK"/>
        </w:rPr>
        <w:t>And critically, these residues are not always dramatic. They may seem immaterial at first small inconsistencies, deferred upgrades, dismissed complaints. But in aggregate, they begin to signal that "</w:t>
      </w:r>
      <w:r w:rsidRPr="009623FD">
        <w:rPr>
          <w:b/>
          <w:bCs/>
          <w:lang w:val="en-PK"/>
        </w:rPr>
        <w:t>the system’s logic is no longer self-reinforcing" (Echo is weakening)</w:t>
      </w:r>
      <w:r w:rsidRPr="009623FD">
        <w:rPr>
          <w:lang w:val="en-PK"/>
        </w:rPr>
        <w:t>. The design is decaying. The rhythm is off.</w:t>
      </w:r>
    </w:p>
    <w:p w14:paraId="00A6D299" w14:textId="77777777" w:rsidR="009623FD" w:rsidRPr="009623FD" w:rsidRDefault="009623FD" w:rsidP="009623FD">
      <w:pPr>
        <w:rPr>
          <w:lang w:val="en-PK"/>
        </w:rPr>
      </w:pPr>
      <w:r w:rsidRPr="009623FD">
        <w:rPr>
          <w:lang w:val="en-PK"/>
        </w:rPr>
        <w:t>This is the point where the system should no longer be granted the moral leniency of immaturity (Staging of Business Model/ System). By this stage often in the mid-to-late growth phase capital has been raised, market confidence has been earned, and the system’s internal maturity must match its external claims. If the residue of risk still lingers and echoes no longer return, then evasion has replaced evolution.</w:t>
      </w:r>
    </w:p>
    <w:p w14:paraId="1AE9E4FE" w14:textId="77777777" w:rsidR="009623FD" w:rsidRPr="009623FD" w:rsidRDefault="009623FD" w:rsidP="009623FD">
      <w:pPr>
        <w:rPr>
          <w:lang w:val="en-PK"/>
        </w:rPr>
      </w:pPr>
      <w:r w:rsidRPr="009623FD">
        <w:rPr>
          <w:b/>
          <w:bCs/>
          <w:lang w:val="en-PK"/>
        </w:rPr>
        <w:t>Part III: The Qualities of the Analyst Who Can Hear Residue</w:t>
      </w:r>
    </w:p>
    <w:p w14:paraId="1A029A9A" w14:textId="77777777" w:rsidR="009623FD" w:rsidRPr="009623FD" w:rsidRDefault="009623FD" w:rsidP="009623FD">
      <w:pPr>
        <w:rPr>
          <w:lang w:val="en-PK"/>
        </w:rPr>
      </w:pPr>
      <w:r w:rsidRPr="009623FD">
        <w:rPr>
          <w:lang w:val="en-PK"/>
        </w:rPr>
        <w:t>Identifying these patterns requires more than technical skill. It requires a different mode of thinking.</w:t>
      </w:r>
    </w:p>
    <w:p w14:paraId="70F1B902" w14:textId="77777777" w:rsidR="009623FD" w:rsidRPr="009623FD" w:rsidRDefault="009623FD" w:rsidP="009623FD">
      <w:pPr>
        <w:rPr>
          <w:lang w:val="en-PK"/>
        </w:rPr>
      </w:pPr>
      <w:r w:rsidRPr="009623FD">
        <w:rPr>
          <w:lang w:val="en-PK"/>
        </w:rPr>
        <w:t xml:space="preserve">First, the analyst must be </w:t>
      </w:r>
      <w:r w:rsidRPr="009623FD">
        <w:rPr>
          <w:b/>
          <w:bCs/>
          <w:lang w:val="en-PK"/>
        </w:rPr>
        <w:t>unbiased</w:t>
      </w:r>
      <w:r w:rsidRPr="009623FD">
        <w:rPr>
          <w:lang w:val="en-PK"/>
        </w:rPr>
        <w:t xml:space="preserve">. They cannot approach the data with predetermined outcomes in mind. They must observe ratios not to confirm suspicions, but to understand structures. They must interpret narrative inflation not as deception, but as a </w:t>
      </w:r>
      <w:proofErr w:type="spellStart"/>
      <w:r w:rsidRPr="009623FD">
        <w:rPr>
          <w:lang w:val="en-PK"/>
        </w:rPr>
        <w:t>behavioral</w:t>
      </w:r>
      <w:proofErr w:type="spellEnd"/>
      <w:r w:rsidRPr="009623FD">
        <w:rPr>
          <w:lang w:val="en-PK"/>
        </w:rPr>
        <w:t xml:space="preserve"> adaptation to pressure.</w:t>
      </w:r>
    </w:p>
    <w:p w14:paraId="0453669F" w14:textId="77777777" w:rsidR="009623FD" w:rsidRPr="009623FD" w:rsidRDefault="009623FD" w:rsidP="009623FD">
      <w:pPr>
        <w:rPr>
          <w:lang w:val="en-PK"/>
        </w:rPr>
      </w:pPr>
      <w:r w:rsidRPr="009623FD">
        <w:rPr>
          <w:lang w:val="en-PK"/>
        </w:rPr>
        <w:t xml:space="preserve">Second, the analyst must possess </w:t>
      </w:r>
      <w:r w:rsidRPr="009623FD">
        <w:rPr>
          <w:b/>
          <w:bCs/>
          <w:lang w:val="en-PK"/>
        </w:rPr>
        <w:t>habitual discipline</w:t>
      </w:r>
      <w:r w:rsidRPr="009623FD">
        <w:rPr>
          <w:lang w:val="en-PK"/>
        </w:rPr>
        <w:t>. This is not about being cautious, it is about being grounded. The best interpreters of risk are those who resist premature conclusions, even under pressure. They wait. They compare. They revisit. They think in loops rather than lines.</w:t>
      </w:r>
    </w:p>
    <w:p w14:paraId="0E949863" w14:textId="77777777" w:rsidR="009623FD" w:rsidRPr="009623FD" w:rsidRDefault="009623FD" w:rsidP="009623FD">
      <w:pPr>
        <w:rPr>
          <w:lang w:val="en-PK"/>
        </w:rPr>
      </w:pPr>
      <w:r w:rsidRPr="009623FD">
        <w:rPr>
          <w:lang w:val="en-PK"/>
        </w:rPr>
        <w:t xml:space="preserve">Third, the analyst must be able to </w:t>
      </w:r>
      <w:r w:rsidRPr="009623FD">
        <w:rPr>
          <w:b/>
          <w:bCs/>
          <w:lang w:val="en-PK"/>
        </w:rPr>
        <w:t>think non-linearly</w:t>
      </w:r>
      <w:r w:rsidRPr="009623FD">
        <w:rPr>
          <w:lang w:val="en-PK"/>
        </w:rPr>
        <w:t xml:space="preserve">. Risks do not always escalate in a straight path. Cultural fatigue, system design flaws, and revenue bottlenecks often interact in non-obvious ways. To interpret these correctly requires a </w:t>
      </w:r>
      <w:r w:rsidRPr="009623FD">
        <w:rPr>
          <w:b/>
          <w:bCs/>
          <w:lang w:val="en-PK"/>
        </w:rPr>
        <w:t>clustered thought mechanism</w:t>
      </w:r>
      <w:r w:rsidRPr="009623FD">
        <w:rPr>
          <w:lang w:val="en-PK"/>
        </w:rPr>
        <w:t>, an ability to see small signals as part of a larger emergent shape.</w:t>
      </w:r>
    </w:p>
    <w:p w14:paraId="75A6D166" w14:textId="77777777" w:rsidR="009623FD" w:rsidRPr="009623FD" w:rsidRDefault="009623FD" w:rsidP="009623FD">
      <w:pPr>
        <w:rPr>
          <w:lang w:val="en-PK"/>
        </w:rPr>
      </w:pPr>
      <w:r w:rsidRPr="009623FD">
        <w:rPr>
          <w:lang w:val="en-PK"/>
        </w:rPr>
        <w:t xml:space="preserve">And lastly, the analyst must have </w:t>
      </w:r>
      <w:r w:rsidRPr="009623FD">
        <w:rPr>
          <w:b/>
          <w:bCs/>
          <w:lang w:val="en-PK"/>
        </w:rPr>
        <w:t>situational awareness</w:t>
      </w:r>
      <w:r w:rsidRPr="009623FD">
        <w:rPr>
          <w:lang w:val="en-PK"/>
        </w:rPr>
        <w:t>. A risk in one context may be a death knell in another. What is forgivable in a pre-seed experiment may be fatal in a post-Series B system. The ability to locate the system on its trajectory is vital.</w:t>
      </w:r>
    </w:p>
    <w:p w14:paraId="1BBC222E" w14:textId="77777777" w:rsidR="009623FD" w:rsidRPr="009623FD" w:rsidRDefault="009623FD" w:rsidP="009623FD">
      <w:pPr>
        <w:rPr>
          <w:lang w:val="en-PK"/>
        </w:rPr>
      </w:pPr>
      <w:r w:rsidRPr="009623FD">
        <w:rPr>
          <w:lang w:val="en-PK"/>
        </w:rPr>
        <w:t>Because unless you know where the system should be you cannot judge whether its current friction is normal, delayed, or decaying.</w:t>
      </w:r>
    </w:p>
    <w:p w14:paraId="1B77F663" w14:textId="77777777" w:rsidR="009623FD" w:rsidRPr="009623FD" w:rsidRDefault="009623FD" w:rsidP="009623FD">
      <w:pPr>
        <w:rPr>
          <w:lang w:val="en-PK"/>
        </w:rPr>
      </w:pPr>
      <w:r w:rsidRPr="009623FD">
        <w:rPr>
          <w:b/>
          <w:bCs/>
          <w:lang w:val="en-PK"/>
        </w:rPr>
        <w:t>Closing Thought: Beyond Models, Toward Resonance</w:t>
      </w:r>
    </w:p>
    <w:p w14:paraId="6433E5DD" w14:textId="77777777" w:rsidR="009623FD" w:rsidRPr="009623FD" w:rsidRDefault="009623FD" w:rsidP="009623FD">
      <w:pPr>
        <w:rPr>
          <w:lang w:val="en-PK"/>
        </w:rPr>
      </w:pPr>
      <w:r w:rsidRPr="009623FD">
        <w:rPr>
          <w:lang w:val="en-PK"/>
        </w:rPr>
        <w:t>What’s needed now is not another risk model. Not another checklist. But a shift in how we think about systems.</w:t>
      </w:r>
    </w:p>
    <w:p w14:paraId="36064E70" w14:textId="77777777" w:rsidR="009623FD" w:rsidRPr="009623FD" w:rsidRDefault="009623FD" w:rsidP="009623FD">
      <w:pPr>
        <w:rPr>
          <w:lang w:val="en-PK"/>
        </w:rPr>
      </w:pPr>
      <w:r w:rsidRPr="009623FD">
        <w:rPr>
          <w:lang w:val="en-PK"/>
        </w:rPr>
        <w:t>We need to understand that not all risk is a threat. But some risks are early betrayals of the system’s future logic. And those cannot be ignored.</w:t>
      </w:r>
    </w:p>
    <w:p w14:paraId="2AFC01E5" w14:textId="77777777" w:rsidR="009623FD" w:rsidRPr="009623FD" w:rsidRDefault="009623FD" w:rsidP="009623FD">
      <w:pPr>
        <w:rPr>
          <w:lang w:val="en-PK"/>
        </w:rPr>
      </w:pPr>
      <w:r w:rsidRPr="009623FD">
        <w:rPr>
          <w:lang w:val="en-PK"/>
        </w:rPr>
        <w:t>Risk should not be judged only by its magnitude, but by its location within the system’s rhythm. Is the system still echoing its original promise? Or has it begun to defend a narrative that no longer matches its structure?</w:t>
      </w:r>
    </w:p>
    <w:p w14:paraId="20E1748D" w14:textId="77777777" w:rsidR="009623FD" w:rsidRPr="009623FD" w:rsidRDefault="009623FD" w:rsidP="009623FD">
      <w:pPr>
        <w:rPr>
          <w:lang w:val="en-PK"/>
        </w:rPr>
      </w:pPr>
      <w:r w:rsidRPr="009623FD">
        <w:rPr>
          <w:lang w:val="en-PK"/>
        </w:rPr>
        <w:t>This is where the real due diligence begins. Not on paper, but in silence. In distortion. In residue.</w:t>
      </w:r>
    </w:p>
    <w:p w14:paraId="04410E35" w14:textId="77777777" w:rsidR="009623FD" w:rsidRPr="009623FD" w:rsidRDefault="009623FD" w:rsidP="009623FD">
      <w:pPr>
        <w:rPr>
          <w:lang w:val="en-PK"/>
        </w:rPr>
      </w:pPr>
      <w:r w:rsidRPr="009623FD">
        <w:rPr>
          <w:lang w:val="en-PK"/>
        </w:rPr>
        <w:t xml:space="preserve">To listen at this level, the analyst must not seek to predict collapse but to trace dissonance. Not to model </w:t>
      </w:r>
      <w:proofErr w:type="spellStart"/>
      <w:r w:rsidRPr="009623FD">
        <w:rPr>
          <w:lang w:val="en-PK"/>
        </w:rPr>
        <w:t>behavior</w:t>
      </w:r>
      <w:proofErr w:type="spellEnd"/>
      <w:r w:rsidRPr="009623FD">
        <w:rPr>
          <w:lang w:val="en-PK"/>
        </w:rPr>
        <w:t xml:space="preserve">, but to hear when </w:t>
      </w:r>
      <w:proofErr w:type="spellStart"/>
      <w:r w:rsidRPr="009623FD">
        <w:rPr>
          <w:lang w:val="en-PK"/>
        </w:rPr>
        <w:t>behavior</w:t>
      </w:r>
      <w:proofErr w:type="spellEnd"/>
      <w:r w:rsidRPr="009623FD">
        <w:rPr>
          <w:lang w:val="en-PK"/>
        </w:rPr>
        <w:t xml:space="preserve"> no longer aligns with claimed identity.</w:t>
      </w:r>
    </w:p>
    <w:p w14:paraId="4ECAB795" w14:textId="77777777" w:rsidR="009623FD" w:rsidRPr="009623FD" w:rsidRDefault="009623FD" w:rsidP="009623FD">
      <w:pPr>
        <w:rPr>
          <w:lang w:val="en-PK"/>
        </w:rPr>
      </w:pPr>
      <w:r w:rsidRPr="009623FD">
        <w:rPr>
          <w:lang w:val="en-PK"/>
        </w:rPr>
        <w:t>And above all, we must remember that substance over form is not just an accounting principle it is a model of integrity. One that should guide not only how we design systems, but how we interpret them. Because without this moral architecture, no system no matter how funded or fast can remain true to itself.</w:t>
      </w:r>
    </w:p>
    <w:p w14:paraId="51F1AF09" w14:textId="77777777" w:rsidR="009623FD" w:rsidRPr="009623FD" w:rsidRDefault="009623FD" w:rsidP="009623FD">
      <w:pPr>
        <w:rPr>
          <w:lang w:val="en-PK"/>
        </w:rPr>
      </w:pPr>
      <w:r w:rsidRPr="009623FD">
        <w:rPr>
          <w:lang w:val="en-PK"/>
        </w:rPr>
        <w:t>This is not a theory. It’s a listening practice. A way of thinking. And in time, perhaps, the only reliable safeguard we have left.</w:t>
      </w:r>
    </w:p>
    <w:p w14:paraId="3FD4D94A" w14:textId="77777777" w:rsidR="009623FD" w:rsidRPr="009623FD" w:rsidRDefault="009623FD" w:rsidP="009623FD">
      <w:pPr>
        <w:rPr>
          <w:lang w:val="en-PK"/>
        </w:rPr>
      </w:pPr>
      <w:r w:rsidRPr="009623FD">
        <w:rPr>
          <w:b/>
          <w:bCs/>
          <w:lang w:val="en-PK"/>
        </w:rPr>
        <w:t>Cautionary Note:</w:t>
      </w:r>
    </w:p>
    <w:p w14:paraId="63A0D0BC" w14:textId="77777777" w:rsidR="009623FD" w:rsidRPr="009623FD" w:rsidRDefault="009623FD" w:rsidP="009623FD">
      <w:pPr>
        <w:rPr>
          <w:lang w:val="en-PK"/>
        </w:rPr>
      </w:pPr>
      <w:r w:rsidRPr="009623FD">
        <w:rPr>
          <w:lang w:val="en-PK"/>
        </w:rPr>
        <w:t xml:space="preserve">This is not a critique of traditional diligence models, nor a rejection of their value. It is an invitation to expand how we perceive risk especially the kind that doesn't present itself in ratios or projections. Some risks begin as faint distortions: in </w:t>
      </w:r>
      <w:proofErr w:type="spellStart"/>
      <w:r w:rsidRPr="009623FD">
        <w:rPr>
          <w:lang w:val="en-PK"/>
        </w:rPr>
        <w:t>behavior</w:t>
      </w:r>
      <w:proofErr w:type="spellEnd"/>
      <w:r w:rsidRPr="009623FD">
        <w:rPr>
          <w:lang w:val="en-PK"/>
        </w:rPr>
        <w:t>, in narrative, in the rhythm of the system itself. They do not shout; they slip in through silence. What follows is an attempt to give those signals a language and to propose the kind of interpretive discipline required to hear them.</w:t>
      </w:r>
    </w:p>
    <w:p w14:paraId="2B74A8DF" w14:textId="77777777" w:rsidR="009623FD" w:rsidRPr="009623FD" w:rsidRDefault="009623FD" w:rsidP="009623FD">
      <w:pPr>
        <w:rPr>
          <w:lang w:val="en-PK"/>
        </w:rPr>
      </w:pPr>
      <w:r w:rsidRPr="009623FD">
        <w:rPr>
          <w:b/>
          <w:bCs/>
          <w:lang w:val="en-PK"/>
        </w:rPr>
        <w:t>-Origin: Tayyab Falak. Resonance-based systems thinking. 2025.</w:t>
      </w:r>
    </w:p>
    <w:p w14:paraId="1D84ED7D" w14:textId="77777777" w:rsidR="009623FD" w:rsidRDefault="009623FD"/>
    <w:sectPr w:rsidR="009623FD" w:rsidSect="002F2171">
      <w:pgSz w:w="12240" w:h="15840"/>
      <w:pgMar w:top="1168" w:right="1701" w:bottom="181" w:left="1247"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F6B13"/>
    <w:multiLevelType w:val="multilevel"/>
    <w:tmpl w:val="0E28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14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FD"/>
    <w:rsid w:val="001F4C36"/>
    <w:rsid w:val="002F2171"/>
    <w:rsid w:val="00307925"/>
    <w:rsid w:val="003D6842"/>
    <w:rsid w:val="007053D9"/>
    <w:rsid w:val="008F2B36"/>
    <w:rsid w:val="009176B3"/>
    <w:rsid w:val="009623FD"/>
    <w:rsid w:val="00A34A11"/>
    <w:rsid w:val="00F722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C4C8"/>
  <w15:chartTrackingRefBased/>
  <w15:docId w15:val="{87DAFD08-1D63-4E5A-B197-C2A604C7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3FD"/>
    <w:rPr>
      <w:rFonts w:eastAsiaTheme="majorEastAsia" w:cstheme="majorBidi"/>
      <w:color w:val="272727" w:themeColor="text1" w:themeTint="D8"/>
    </w:rPr>
  </w:style>
  <w:style w:type="paragraph" w:styleId="Title">
    <w:name w:val="Title"/>
    <w:basedOn w:val="Normal"/>
    <w:next w:val="Normal"/>
    <w:link w:val="TitleChar"/>
    <w:uiPriority w:val="10"/>
    <w:qFormat/>
    <w:rsid w:val="00962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3FD"/>
    <w:pPr>
      <w:spacing w:before="160"/>
      <w:jc w:val="center"/>
    </w:pPr>
    <w:rPr>
      <w:i/>
      <w:iCs/>
      <w:color w:val="404040" w:themeColor="text1" w:themeTint="BF"/>
    </w:rPr>
  </w:style>
  <w:style w:type="character" w:customStyle="1" w:styleId="QuoteChar">
    <w:name w:val="Quote Char"/>
    <w:basedOn w:val="DefaultParagraphFont"/>
    <w:link w:val="Quote"/>
    <w:uiPriority w:val="29"/>
    <w:rsid w:val="009623FD"/>
    <w:rPr>
      <w:i/>
      <w:iCs/>
      <w:color w:val="404040" w:themeColor="text1" w:themeTint="BF"/>
    </w:rPr>
  </w:style>
  <w:style w:type="paragraph" w:styleId="ListParagraph">
    <w:name w:val="List Paragraph"/>
    <w:basedOn w:val="Normal"/>
    <w:uiPriority w:val="34"/>
    <w:qFormat/>
    <w:rsid w:val="009623FD"/>
    <w:pPr>
      <w:ind w:left="720"/>
      <w:contextualSpacing/>
    </w:pPr>
  </w:style>
  <w:style w:type="character" w:styleId="IntenseEmphasis">
    <w:name w:val="Intense Emphasis"/>
    <w:basedOn w:val="DefaultParagraphFont"/>
    <w:uiPriority w:val="21"/>
    <w:qFormat/>
    <w:rsid w:val="009623FD"/>
    <w:rPr>
      <w:i/>
      <w:iCs/>
      <w:color w:val="0F4761" w:themeColor="accent1" w:themeShade="BF"/>
    </w:rPr>
  </w:style>
  <w:style w:type="paragraph" w:styleId="IntenseQuote">
    <w:name w:val="Intense Quote"/>
    <w:basedOn w:val="Normal"/>
    <w:next w:val="Normal"/>
    <w:link w:val="IntenseQuoteChar"/>
    <w:uiPriority w:val="30"/>
    <w:qFormat/>
    <w:rsid w:val="00962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3FD"/>
    <w:rPr>
      <w:i/>
      <w:iCs/>
      <w:color w:val="0F4761" w:themeColor="accent1" w:themeShade="BF"/>
    </w:rPr>
  </w:style>
  <w:style w:type="character" w:styleId="IntenseReference">
    <w:name w:val="Intense Reference"/>
    <w:basedOn w:val="DefaultParagraphFont"/>
    <w:uiPriority w:val="32"/>
    <w:qFormat/>
    <w:rsid w:val="009623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119145">
      <w:bodyDiv w:val="1"/>
      <w:marLeft w:val="0"/>
      <w:marRight w:val="0"/>
      <w:marTop w:val="0"/>
      <w:marBottom w:val="0"/>
      <w:divBdr>
        <w:top w:val="none" w:sz="0" w:space="0" w:color="auto"/>
        <w:left w:val="none" w:sz="0" w:space="0" w:color="auto"/>
        <w:bottom w:val="none" w:sz="0" w:space="0" w:color="auto"/>
        <w:right w:val="none" w:sz="0" w:space="0" w:color="auto"/>
      </w:divBdr>
    </w:div>
    <w:div w:id="1218662794">
      <w:bodyDiv w:val="1"/>
      <w:marLeft w:val="0"/>
      <w:marRight w:val="0"/>
      <w:marTop w:val="0"/>
      <w:marBottom w:val="0"/>
      <w:divBdr>
        <w:top w:val="none" w:sz="0" w:space="0" w:color="auto"/>
        <w:left w:val="none" w:sz="0" w:space="0" w:color="auto"/>
        <w:bottom w:val="none" w:sz="0" w:space="0" w:color="auto"/>
        <w:right w:val="none" w:sz="0" w:space="0" w:color="auto"/>
      </w:divBdr>
    </w:div>
    <w:div w:id="2076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dc:creator>
  <cp:keywords/>
  <dc:description/>
  <cp:lastModifiedBy>audit</cp:lastModifiedBy>
  <cp:revision>1</cp:revision>
  <dcterms:created xsi:type="dcterms:W3CDTF">2025-07-06T17:29:00Z</dcterms:created>
  <dcterms:modified xsi:type="dcterms:W3CDTF">2025-07-06T17:30:00Z</dcterms:modified>
</cp:coreProperties>
</file>