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both"/>
      </w:pPr>
      <w:r>
        <w:rPr>
          <w:color w:val="000000"/>
        </w:rPr>
        <w:t>Comparativo: UBS e hospitais — public_services (B × C) e Google Places</w:t>
      </w:r>
    </w:p>
    <w:p>
      <w:pPr>
        <w:jc w:val="both"/>
      </w:pPr>
      <w:r>
        <w:t>Valores alinhados ao comparativo geral de equipamentos; comparação restrita aos tipos ubs e hospital.</w:t>
      </w:r>
    </w:p>
    <w:p>
      <w:pPr>
        <w:jc w:val="both"/>
      </w:pPr>
      <w:r>
        <w:rPr>
          <w:b/>
        </w:rPr>
        <w:t xml:space="preserve">Câmbio ilustrativo: </w:t>
      </w:r>
      <w:r>
        <w:t>R$ 5,50 por US$ 1,00.</w:t>
      </w:r>
    </w:p>
    <w:p>
      <w:pPr>
        <w:jc w:val="both"/>
      </w:pPr>
      <w:r>
        <w:rPr>
          <w:b/>
        </w:rPr>
        <w:t xml:space="preserve">Google Places (estimativa): </w:t>
      </w:r>
      <w:r>
        <w:t>1 chamada Place Details (Enterprise + Atmosphere) por POI; US$ 25 / 1.000 após 1.000 grátis/mês; sem transit_station; sem Popular times.</w:t>
      </w:r>
    </w:p>
    <w:p>
      <w:pPr>
        <w:pStyle w:val="Heading1"/>
      </w:pPr>
      <w:r>
        <w:t>1. Por service_type — UBS e hospital (Marcos B ×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t>ubs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hospital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 (UBS + hospital)</w:t>
            </w:r>
          </w:p>
        </w:tc>
        <w:tc>
          <w:tcPr>
            <w:tcW w:type="dxa" w:w="2160"/>
          </w:tcPr>
          <w:p>
            <w:r>
              <w:t>1.665</w:t>
            </w:r>
          </w:p>
        </w:tc>
        <w:tc>
          <w:tcPr>
            <w:tcW w:type="dxa" w:w="2160"/>
          </w:tcPr>
          <w:p>
            <w:r>
              <w:t>1.665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jc w:val="both"/>
      </w:pPr>
      <w:r>
        <w:t>A limpeza B → C (transporte + junk) não alterou as contagens de UBS nem de hospitais.</w:t>
      </w:r>
    </w:p>
    <w:p>
      <w:pPr>
        <w:pStyle w:val="Heading1"/>
      </w:pPr>
      <w:r>
        <w:t>2. Google Places — só UBS + hospitais</w:t>
      </w:r>
    </w:p>
    <w:p>
      <w:pPr>
        <w:jc w:val="both"/>
      </w:pPr>
      <w:r>
        <w:t>POIs = soma ubs + hospital (iguais em B e C).</w:t>
      </w:r>
    </w:p>
    <w:p>
      <w:pPr>
        <w:jc w:val="both"/>
      </w:pPr>
    </w:p>
    <w:p>
      <w:pPr>
        <w:jc w:val="both"/>
      </w:pPr>
      <w:r>
        <w:rPr>
          <w:b/>
        </w:rPr>
        <w:t xml:space="preserve">Custo: </w:t>
      </w:r>
      <w:r>
        <w:t>max(0, N − 1.000) × 0,025 USD; BRL = USD × 5,50.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Referência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POIs (N)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USD (≈)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BRL (≈)</w:t>
            </w:r>
          </w:p>
        </w:tc>
      </w:tr>
      <w:tr>
        <w:tc>
          <w:tcPr>
            <w:tcW w:type="dxa" w:w="2160"/>
          </w:tcPr>
          <w:p>
            <w:r>
              <w:t>UBS + hospitais (B e C)</w:t>
            </w:r>
          </w:p>
        </w:tc>
        <w:tc>
          <w:tcPr>
            <w:tcW w:type="dxa" w:w="2160"/>
          </w:tcPr>
          <w:p>
            <w:r>
              <w:t>1.665</w:t>
            </w:r>
          </w:p>
        </w:tc>
        <w:tc>
          <w:tcPr>
            <w:tcW w:type="dxa" w:w="2160"/>
          </w:tcPr>
          <w:p>
            <w:r>
              <w:t>16,63</w:t>
            </w:r>
          </w:p>
        </w:tc>
        <w:tc>
          <w:tcPr>
            <w:tcW w:type="dxa" w:w="2160"/>
          </w:tcPr>
          <w:p>
            <w:r>
              <w:t>91,44</w:t>
            </w:r>
          </w:p>
        </w:tc>
      </w:tr>
    </w:tbl>
    <w:p>
      <w:pPr>
        <w:jc w:val="both"/>
      </w:pPr>
      <w:r>
        <w:t>(1.665 − 1.000) × 0,025 = 16,625 USD.</w:t>
      </w:r>
    </w:p>
    <w:p>
      <w:pPr>
        <w:jc w:val="both"/>
      </w:pPr>
      <w:r>
        <w:rPr>
          <w:b/>
        </w:rPr>
        <w:t xml:space="preserve">OBS: </w:t>
      </w:r>
      <w:r>
        <w:t>Para o universo completo de POIs e economia B − C no Google Places, ver o documento comparativo geral de equipamentos.</w:t>
      </w:r>
    </w:p>
    <w:p>
      <w:pPr>
        <w:jc w:val="both"/>
      </w:pPr>
      <w:r>
        <w:t>Valores ilustrativos; não substituem fatura Google.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