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b/>
          <w:sz w:val="32"/>
          <w:szCs w:val="32"/>
        </w:rPr>
        <w:t xml:space="preserve">Google Places — subconjunto por coorte (Marco C)</w:t>
      </w:r>
    </w:p>
    <w:p>
      <w:pPr>
        <w:spacing w:after="120"/>
      </w:pPr>
      <w:r>
        <w:t xml:space="preserve">Estimativa de custo (Place Details) para o recorte definido no comparativo geral de equipamentos (secao 5), com base na query scripts/sql/diagnostic-google-places-subset-cohort.sql.</w:t>
      </w:r>
    </w:p>
    <w:p>
      <w:pPr>
        <w:spacing w:after="120"/>
      </w:pPr>
      <w:r>
        <w:rPr>
          <w:b/>
        </w:rPr>
        <w:t xml:space="preserve">Cambio ilustrativo: </w:t>
      </w:r>
      <w:r>
        <w:t xml:space="preserve">R$ 5,50 por US$ 1,00.</w:t>
      </w:r>
    </w:p>
    <w:p>
      <w:pPr>
        <w:spacing w:after="120"/>
      </w:pPr>
      <w:r>
        <w:rPr>
          <w:b/>
        </w:rPr>
        <w:t xml:space="preserve">Google Places (estimativa): </w:t>
      </w:r>
      <w:r>
        <w:t xml:space="preserve">1 chamada Place Details (Enterprise + Atmosphere) por POI; US$ 25 / 1.000 apos 1.000 gratis/mes; sem ponto de onibus; sem Popular times.</w:t>
      </w:r>
    </w:p>
    <w:p>
      <w:pPr>
        <w:spacing w:after="180"/>
      </w:pPr>
      <w:r>
        <w:rPr>
          <w:b/>
          <w:sz w:val="24"/>
          <w:szCs w:val="24"/>
        </w:rPr>
        <w:t xml:space="preserve">1. O que entra no subconjunto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Area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Criterio (resumo)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Metro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transit_station + estacao_metro / estacao_metro_projeto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Trem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transit_station + estacao_trem / estacao_trem_projeto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Terminal de onibus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transit_station + terminal_onibus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Escola (4 camadas SME/GeoSampa)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school + ensino_fundamental_medio, educacao_infantil, ensino_tecnico, senai_sesi_senac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Parque, centro esportivo, CEU, teatro/cinema, biblioteca, museu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service_type: park, sports_center, ceu, theater, library, museum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80"/>
      </w:pPr>
      <w:r>
        <w:rPr>
          <w:b/>
          <w:sz w:val="24"/>
          <w:szCs w:val="24"/>
        </w:rPr>
        <w:t xml:space="preserve">2. Contagens por coorte e service_type (Marco C)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Linha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Escola (4 camadas SME/GeoSampa)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57.962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Transporte (metro, trem, terminal)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13.199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Parque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6.125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Centro esportivo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620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CEU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513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Teatro / cinema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410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Biblioteca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384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Museu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167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Total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79.380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As linhas de Escola e Transporte entram pela primeira parte do recorte SQL (por coorte/source_layer). As demais linhas entram diretamente por service_type. O transporte desta tabela representa somente metro, trem e terminal de onibus; nao inclui pontos/paradas de onibus.</w:t>
      </w:r>
    </w:p>
    <w:p>
      <w:pPr>
        <w:spacing w:after="180"/>
      </w:pPr>
      <w:r>
        <w:rPr>
          <w:b/>
          <w:sz w:val="24"/>
          <w:szCs w:val="24"/>
        </w:rPr>
        <w:t xml:space="preserve">3. Total do subconjunto e custo ilustrativo (Marco C)</w:t>
      </w:r>
    </w:p>
    <w:p>
      <w:pPr>
        <w:spacing w:after="120"/>
      </w:pPr>
      <w:r>
        <w:rPr>
          <w:b/>
        </w:rPr>
        <w:t xml:space="preserve">Formula: </w:t>
      </w:r>
      <w:r>
        <w:t xml:space="preserve">max(0, N - 1.000) * 0,025 USD; BRL = USD * 5,50.</w:t>
      </w:r>
    </w:p>
    <w:tbl>
      <w:tblPr>
        <w:tblW w:w="0" w:type="auto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r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Metrica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POIs (N)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79.380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USD (aprox.)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1.959,50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BRL (aprox.)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10.777,25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Valores ilustrativos; nao substituem fatura Google. Ver tambem: comparativo-equipamentos-antes-depois-google-places.md.</w:t>
      </w:r>
    </w:p>
    <w:sectPr>
      <w:pgSz w:w="12240" w:h="15840"/>
      <w:pgMar w:top="1440" w:right="1440" w:bottom="1440" w:left="1440" w:header="720" w:footer="720" w:gutter="0"/>
    </w:sectPr>
  </w:body>
</w:document>
</file>