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both"/>
      </w:pPr>
      <w:r>
        <w:rPr>
          <w:color w:val="000000"/>
        </w:rPr>
        <w:t>Google Places — subconjunto por coorte (Marco C)</w:t>
      </w:r>
    </w:p>
    <w:p>
      <w:pPr>
        <w:jc w:val="both"/>
      </w:pPr>
      <w:r>
        <w:t>Estimativa de custo (Place Details) para o recorte definido no comparativo geral de equipamentos (secção 5), com base na query scripts/sql/diagnostic-google-places-subset-cohort.sql.</w:t>
      </w:r>
    </w:p>
    <w:p>
      <w:pPr>
        <w:jc w:val="both"/>
      </w:pPr>
      <w:r>
        <w:rPr>
          <w:b/>
        </w:rPr>
        <w:t xml:space="preserve">Câmbio ilustrativo: </w:t>
      </w:r>
      <w:r>
        <w:t>R$ 5,50 por US$ 1,00.</w:t>
      </w:r>
    </w:p>
    <w:p>
      <w:pPr>
        <w:jc w:val="both"/>
      </w:pPr>
      <w:r>
        <w:rPr>
          <w:b/>
        </w:rPr>
        <w:t xml:space="preserve">Google Places (estimativa): </w:t>
      </w:r>
      <w:r>
        <w:t>1 chamada Place Details (Enterprise + Atmosphere) por POI; US$ 25 / 1.000 após 1.000 grátis/mês; sem ponto de ônibus; sem Popular times.</w:t>
      </w:r>
    </w:p>
    <w:p>
      <w:pPr>
        <w:pStyle w:val="Heading1"/>
      </w:pPr>
      <w:r>
        <w:t>1. O que entra no subconjunto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Critério (resumo)</w:t>
            </w:r>
          </w:p>
        </w:tc>
      </w:tr>
      <w:tr>
        <w:tc>
          <w:tcPr>
            <w:tcW w:type="dxa" w:w="4320"/>
          </w:tcPr>
          <w:p>
            <w:r>
              <w:t>Metrô</w:t>
            </w:r>
          </w:p>
        </w:tc>
        <w:tc>
          <w:tcPr>
            <w:tcW w:type="dxa" w:w="4320"/>
          </w:tcPr>
          <w:p>
            <w:r>
              <w:t>transit_station + estacao_metro / estacao_metro_projeto</w:t>
            </w:r>
          </w:p>
        </w:tc>
      </w:tr>
      <w:tr>
        <w:tc>
          <w:tcPr>
            <w:tcW w:type="dxa" w:w="4320"/>
          </w:tcPr>
          <w:p>
            <w:r>
              <w:t>Trem</w:t>
            </w:r>
          </w:p>
        </w:tc>
        <w:tc>
          <w:tcPr>
            <w:tcW w:type="dxa" w:w="4320"/>
          </w:tcPr>
          <w:p>
            <w:r>
              <w:t>transit_station + estacao_trem / estacao_trem_projeto</w:t>
            </w:r>
          </w:p>
        </w:tc>
      </w:tr>
      <w:tr>
        <w:tc>
          <w:tcPr>
            <w:tcW w:type="dxa" w:w="4320"/>
          </w:tcPr>
          <w:p>
            <w:r>
              <w:t>Terminal de ônibus</w:t>
            </w:r>
          </w:p>
        </w:tc>
        <w:tc>
          <w:tcPr>
            <w:tcW w:type="dxa" w:w="4320"/>
          </w:tcPr>
          <w:p>
            <w:r>
              <w:t>transit_station + terminal_onibus</w:t>
            </w:r>
          </w:p>
        </w:tc>
      </w:tr>
      <w:tr>
        <w:tc>
          <w:tcPr>
            <w:tcW w:type="dxa" w:w="4320"/>
          </w:tcPr>
          <w:p>
            <w:r>
              <w:t>Escola (4 camadas SME/GeoSampa)</w:t>
            </w:r>
          </w:p>
        </w:tc>
        <w:tc>
          <w:tcPr>
            <w:tcW w:type="dxa" w:w="4320"/>
          </w:tcPr>
          <w:p>
            <w:r>
              <w:t>school + ensino_fundamental_medio, educacao_infantil, ensino_tecnico, senai_sesi_senac</w:t>
            </w:r>
          </w:p>
        </w:tc>
      </w:tr>
      <w:tr>
        <w:tc>
          <w:tcPr>
            <w:tcW w:type="dxa" w:w="4320"/>
          </w:tcPr>
          <w:p>
            <w:r>
              <w:t>Parque, centro esportivo, CEU, teatro/cinema, biblioteca, museu</w:t>
            </w:r>
          </w:p>
        </w:tc>
        <w:tc>
          <w:tcPr>
            <w:tcW w:type="dxa" w:w="4320"/>
          </w:tcPr>
          <w:p>
            <w:r>
              <w:t>service_type: park, sports_center, ceu, theater, library, museum</w:t>
            </w:r>
          </w:p>
        </w:tc>
      </w:tr>
    </w:tbl>
    <w:p>
      <w:pPr>
        <w:pStyle w:val="Heading1"/>
      </w:pPr>
      <w:r>
        <w:t>2. Contagens só por service_type (Marco C, alinhado ao comparativo geral)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Linha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</w:t>
            </w:r>
          </w:p>
        </w:tc>
      </w:tr>
      <w:tr>
        <w:tc>
          <w:tcPr>
            <w:tcW w:type="dxa" w:w="4320"/>
          </w:tcPr>
          <w:p>
            <w:r>
              <w:t>Parque</w:t>
            </w:r>
          </w:p>
        </w:tc>
        <w:tc>
          <w:tcPr>
            <w:tcW w:type="dxa" w:w="4320"/>
          </w:tcPr>
          <w:p>
            <w:r>
              <w:t>6.125</w:t>
            </w:r>
          </w:p>
        </w:tc>
      </w:tr>
      <w:tr>
        <w:tc>
          <w:tcPr>
            <w:tcW w:type="dxa" w:w="4320"/>
          </w:tcPr>
          <w:p>
            <w:r>
              <w:t>Centro esportivo</w:t>
            </w:r>
          </w:p>
        </w:tc>
        <w:tc>
          <w:tcPr>
            <w:tcW w:type="dxa" w:w="4320"/>
          </w:tcPr>
          <w:p>
            <w:r>
              <w:t>620</w:t>
            </w:r>
          </w:p>
        </w:tc>
      </w:tr>
      <w:tr>
        <w:tc>
          <w:tcPr>
            <w:tcW w:type="dxa" w:w="4320"/>
          </w:tcPr>
          <w:p>
            <w:r>
              <w:t>CEU</w:t>
            </w:r>
          </w:p>
        </w:tc>
        <w:tc>
          <w:tcPr>
            <w:tcW w:type="dxa" w:w="4320"/>
          </w:tcPr>
          <w:p>
            <w:r>
              <w:t>513</w:t>
            </w:r>
          </w:p>
        </w:tc>
      </w:tr>
      <w:tr>
        <w:tc>
          <w:tcPr>
            <w:tcW w:type="dxa" w:w="4320"/>
          </w:tcPr>
          <w:p>
            <w:r>
              <w:t>Teatro / cinema</w:t>
            </w:r>
          </w:p>
        </w:tc>
        <w:tc>
          <w:tcPr>
            <w:tcW w:type="dxa" w:w="4320"/>
          </w:tcPr>
          <w:p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Biblioteca</w:t>
            </w:r>
          </w:p>
        </w:tc>
        <w:tc>
          <w:tcPr>
            <w:tcW w:type="dxa" w:w="4320"/>
          </w:tcPr>
          <w:p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Museu</w:t>
            </w:r>
          </w:p>
        </w:tc>
        <w:tc>
          <w:tcPr>
            <w:tcW w:type="dxa" w:w="4320"/>
          </w:tcPr>
          <w:p>
            <w:r>
              <w:t>167</w:t>
            </w:r>
          </w:p>
        </w:tc>
      </w:tr>
    </w:tbl>
    <w:p>
      <w:pPr>
        <w:jc w:val="both"/>
      </w:pPr>
      <w:r>
        <w:t>Metrô, trem, terminal e as quatro linhas de escola contam na primeira query do SQL (por coorte); entram na soma N total abaixo.</w:t>
      </w:r>
    </w:p>
    <w:p>
      <w:pPr>
        <w:pStyle w:val="Heading1"/>
      </w:pPr>
      <w:r>
        <w:t>3. Total do subconjunto e custo ilustrativo (Marco C)</w:t>
      </w:r>
    </w:p>
    <w:p>
      <w:pPr>
        <w:jc w:val="both"/>
      </w:pPr>
      <w:r>
        <w:rPr>
          <w:b/>
        </w:rPr>
        <w:t xml:space="preserve">Fórmula: </w:t>
      </w:r>
      <w:r>
        <w:t>max(0, N − 1.000) × 0,025 USD; BRL = USD × 5,50.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POIs (N)</w:t>
            </w:r>
          </w:p>
        </w:tc>
        <w:tc>
          <w:tcPr>
            <w:tcW w:type="dxa" w:w="4320"/>
          </w:tcPr>
          <w:p>
            <w:r>
              <w:t>79.380</w:t>
            </w:r>
          </w:p>
        </w:tc>
      </w:tr>
      <w:tr>
        <w:tc>
          <w:tcPr>
            <w:tcW w:type="dxa" w:w="4320"/>
          </w:tcPr>
          <w:p>
            <w:r>
              <w:t>USD (≈)</w:t>
            </w:r>
          </w:p>
        </w:tc>
        <w:tc>
          <w:tcPr>
            <w:tcW w:type="dxa" w:w="4320"/>
          </w:tcPr>
          <w:p>
            <w:r>
              <w:t>1.959,50</w:t>
            </w:r>
          </w:p>
        </w:tc>
      </w:tr>
      <w:tr>
        <w:tc>
          <w:tcPr>
            <w:tcW w:type="dxa" w:w="4320"/>
          </w:tcPr>
          <w:p>
            <w:r>
              <w:t>BRL (≈)</w:t>
            </w:r>
          </w:p>
        </w:tc>
        <w:tc>
          <w:tcPr>
            <w:tcW w:type="dxa" w:w="4320"/>
          </w:tcPr>
          <w:p>
            <w:r>
              <w:t>10.777,25</w:t>
            </w:r>
          </w:p>
        </w:tc>
      </w:tr>
    </w:tbl>
    <w:p>
      <w:pPr>
        <w:jc w:val="both"/>
      </w:pPr>
      <w:r>
        <w:t>(79.380 − 1.000) × 0,025 = 1.959,50 USD.</w:t>
      </w:r>
    </w:p>
    <w:p>
      <w:pPr>
        <w:jc w:val="both"/>
      </w:pPr>
      <w:r>
        <w:t>Valores ilustrativos; não substituem fatura Google. Ver também: comparativo-equipamentos-antes-depois-google-places.md.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