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EB1F" w14:textId="77777777" w:rsidR="002B72DE" w:rsidRPr="0088257C" w:rsidRDefault="00725EDF" w:rsidP="0088257C">
      <w:pPr>
        <w:jc w:val="center"/>
        <w:rPr>
          <w:b/>
          <w:sz w:val="22"/>
          <w:szCs w:val="22"/>
        </w:rPr>
      </w:pPr>
      <w:bookmarkStart w:id="0" w:name="_GoBack"/>
      <w:bookmarkEnd w:id="0"/>
      <w:r w:rsidRPr="0088257C">
        <w:rPr>
          <w:b/>
          <w:sz w:val="22"/>
          <w:szCs w:val="22"/>
        </w:rPr>
        <w:t>Moldova - Policy advice and support in legislative drafting for eProcurement reform</w:t>
      </w:r>
    </w:p>
    <w:p w14:paraId="28BBBE55" w14:textId="77777777" w:rsidR="0037553C" w:rsidRPr="0088257C" w:rsidRDefault="0037553C" w:rsidP="0088257C">
      <w:pPr>
        <w:pStyle w:val="a"/>
        <w:jc w:val="center"/>
        <w:rPr>
          <w:rFonts w:ascii="Times New Roman" w:hAnsi="Times New Roman"/>
          <w:b/>
          <w:sz w:val="22"/>
          <w:szCs w:val="22"/>
        </w:rPr>
      </w:pPr>
    </w:p>
    <w:p w14:paraId="458193F4" w14:textId="77777777" w:rsidR="0037553C" w:rsidRPr="0088257C" w:rsidRDefault="0037553C" w:rsidP="0088257C">
      <w:pPr>
        <w:jc w:val="center"/>
        <w:rPr>
          <w:b/>
          <w:sz w:val="22"/>
          <w:szCs w:val="22"/>
        </w:rPr>
      </w:pPr>
      <w:r w:rsidRPr="0088257C">
        <w:rPr>
          <w:b/>
          <w:sz w:val="22"/>
          <w:szCs w:val="22"/>
        </w:rPr>
        <w:t>TERMS OF REFERENCE</w:t>
      </w:r>
    </w:p>
    <w:p w14:paraId="1715BFA6" w14:textId="73748719" w:rsidR="0037553C" w:rsidRPr="0088257C" w:rsidRDefault="0088257C" w:rsidP="0088257C">
      <w:pPr>
        <w:jc w:val="center"/>
        <w:rPr>
          <w:b/>
          <w:sz w:val="22"/>
          <w:szCs w:val="22"/>
        </w:rPr>
      </w:pPr>
      <w:r w:rsidRPr="0088257C">
        <w:rPr>
          <w:b/>
          <w:sz w:val="22"/>
          <w:szCs w:val="22"/>
        </w:rPr>
        <w:t xml:space="preserve">Audit of the MTender </w:t>
      </w:r>
      <w:r>
        <w:rPr>
          <w:b/>
          <w:sz w:val="22"/>
          <w:szCs w:val="22"/>
        </w:rPr>
        <w:t>P</w:t>
      </w:r>
      <w:r w:rsidRPr="0088257C">
        <w:rPr>
          <w:b/>
          <w:sz w:val="22"/>
          <w:szCs w:val="22"/>
        </w:rPr>
        <w:t xml:space="preserve">ilot Phase 2 </w:t>
      </w:r>
      <w:r>
        <w:rPr>
          <w:b/>
          <w:sz w:val="22"/>
          <w:szCs w:val="22"/>
        </w:rPr>
        <w:t>–</w:t>
      </w:r>
      <w:r w:rsidR="00535F0A">
        <w:rPr>
          <w:b/>
          <w:sz w:val="22"/>
          <w:szCs w:val="22"/>
        </w:rPr>
        <w:t xml:space="preserve"> </w:t>
      </w:r>
      <w:r w:rsidR="00952900" w:rsidRPr="0088257C">
        <w:rPr>
          <w:b/>
          <w:sz w:val="22"/>
          <w:szCs w:val="22"/>
        </w:rPr>
        <w:t>Consultant</w:t>
      </w:r>
    </w:p>
    <w:p w14:paraId="38660C23" w14:textId="77777777" w:rsidR="0037553C" w:rsidRPr="0088257C" w:rsidRDefault="0037553C" w:rsidP="0088257C">
      <w:pPr>
        <w:rPr>
          <w:sz w:val="22"/>
          <w:szCs w:val="22"/>
        </w:rPr>
      </w:pPr>
    </w:p>
    <w:p w14:paraId="3DEC6378" w14:textId="77777777" w:rsidR="0037553C" w:rsidRPr="0088257C" w:rsidRDefault="0037553C" w:rsidP="0088257C">
      <w:pPr>
        <w:pStyle w:val="Heading1"/>
        <w:numPr>
          <w:ilvl w:val="0"/>
          <w:numId w:val="1"/>
        </w:numPr>
        <w:jc w:val="left"/>
        <w:rPr>
          <w:sz w:val="22"/>
          <w:szCs w:val="22"/>
        </w:rPr>
      </w:pPr>
      <w:r w:rsidRPr="0088257C">
        <w:rPr>
          <w:sz w:val="22"/>
          <w:szCs w:val="22"/>
        </w:rPr>
        <w:t>Background</w:t>
      </w:r>
    </w:p>
    <w:p w14:paraId="6581D095" w14:textId="77777777" w:rsidR="00DA2EC5" w:rsidRDefault="00DA2EC5" w:rsidP="0088257C">
      <w:pPr>
        <w:rPr>
          <w:sz w:val="22"/>
          <w:szCs w:val="22"/>
        </w:rPr>
      </w:pPr>
    </w:p>
    <w:p w14:paraId="30B0DABF" w14:textId="77777777" w:rsidR="0088257C" w:rsidRDefault="002F0048" w:rsidP="0088257C">
      <w:pPr>
        <w:rPr>
          <w:sz w:val="22"/>
          <w:szCs w:val="22"/>
        </w:rPr>
      </w:pPr>
      <w:r w:rsidRPr="0088257C">
        <w:rPr>
          <w:sz w:val="22"/>
          <w:szCs w:val="22"/>
        </w:rPr>
        <w:t xml:space="preserve">The implementation of digital processes in the field of public procurement ensures improvement of the transparency and efficiency of procurement of goods, works and services and benefits all stakeholders of public procurement processes: the Government, business community and citizens who use public services. </w:t>
      </w:r>
    </w:p>
    <w:p w14:paraId="0BC4974C" w14:textId="77777777" w:rsidR="002F0048" w:rsidRPr="0088257C" w:rsidRDefault="002F0048" w:rsidP="0088257C">
      <w:pPr>
        <w:rPr>
          <w:sz w:val="22"/>
          <w:szCs w:val="22"/>
        </w:rPr>
      </w:pPr>
      <w:r w:rsidRPr="0088257C">
        <w:rPr>
          <w:sz w:val="22"/>
          <w:szCs w:val="22"/>
        </w:rPr>
        <w:t xml:space="preserve">The </w:t>
      </w:r>
      <w:r w:rsidR="00886B85" w:rsidRPr="0088257C">
        <w:rPr>
          <w:sz w:val="22"/>
          <w:szCs w:val="22"/>
        </w:rPr>
        <w:t>introduction</w:t>
      </w:r>
      <w:r w:rsidRPr="0088257C">
        <w:rPr>
          <w:sz w:val="22"/>
          <w:szCs w:val="22"/>
        </w:rPr>
        <w:t xml:space="preserve"> of </w:t>
      </w:r>
      <w:r w:rsidR="00285B97" w:rsidRPr="0088257C">
        <w:rPr>
          <w:sz w:val="22"/>
          <w:szCs w:val="22"/>
        </w:rPr>
        <w:t xml:space="preserve">a </w:t>
      </w:r>
      <w:r w:rsidR="0088257C" w:rsidRPr="0088257C">
        <w:rPr>
          <w:sz w:val="22"/>
          <w:szCs w:val="22"/>
        </w:rPr>
        <w:t xml:space="preserve">comprehensive </w:t>
      </w:r>
      <w:r w:rsidR="0088257C">
        <w:rPr>
          <w:sz w:val="22"/>
          <w:szCs w:val="22"/>
        </w:rPr>
        <w:t xml:space="preserve">planning-to-payment electronic public procurement </w:t>
      </w:r>
      <w:r w:rsidR="00886B85" w:rsidRPr="0088257C">
        <w:rPr>
          <w:sz w:val="22"/>
          <w:szCs w:val="22"/>
        </w:rPr>
        <w:t>enables</w:t>
      </w:r>
      <w:r w:rsidRPr="0088257C">
        <w:rPr>
          <w:sz w:val="22"/>
          <w:szCs w:val="22"/>
        </w:rPr>
        <w:t xml:space="preserve"> digital standardized procurement processes, </w:t>
      </w:r>
      <w:r w:rsidR="00886B85" w:rsidRPr="0088257C">
        <w:rPr>
          <w:sz w:val="22"/>
          <w:szCs w:val="22"/>
        </w:rPr>
        <w:t xml:space="preserve">a </w:t>
      </w:r>
      <w:r w:rsidRPr="0088257C">
        <w:rPr>
          <w:sz w:val="22"/>
          <w:szCs w:val="22"/>
        </w:rPr>
        <w:t>decrease in time of the selling-buying cycle</w:t>
      </w:r>
      <w:r w:rsidR="00886B85" w:rsidRPr="0088257C">
        <w:rPr>
          <w:sz w:val="22"/>
          <w:szCs w:val="22"/>
        </w:rPr>
        <w:t xml:space="preserve"> and </w:t>
      </w:r>
      <w:r w:rsidRPr="0088257C">
        <w:rPr>
          <w:sz w:val="22"/>
          <w:szCs w:val="22"/>
        </w:rPr>
        <w:t>encourages participation in public tenders by suppliers, service providers and contractors a</w:t>
      </w:r>
      <w:r w:rsidR="0088257C">
        <w:rPr>
          <w:sz w:val="22"/>
          <w:szCs w:val="22"/>
        </w:rPr>
        <w:t xml:space="preserve">s well as helps to </w:t>
      </w:r>
      <w:r w:rsidRPr="0088257C">
        <w:rPr>
          <w:sz w:val="22"/>
          <w:szCs w:val="22"/>
        </w:rPr>
        <w:t>create</w:t>
      </w:r>
      <w:r w:rsidR="0088257C">
        <w:rPr>
          <w:sz w:val="22"/>
          <w:szCs w:val="22"/>
        </w:rPr>
        <w:t xml:space="preserve"> </w:t>
      </w:r>
      <w:r w:rsidRPr="0088257C">
        <w:rPr>
          <w:sz w:val="22"/>
          <w:szCs w:val="22"/>
        </w:rPr>
        <w:t xml:space="preserve">a transparent relationship between the Government and the local business community, </w:t>
      </w:r>
      <w:r w:rsidR="0088257C">
        <w:rPr>
          <w:sz w:val="22"/>
          <w:szCs w:val="22"/>
        </w:rPr>
        <w:t xml:space="preserve">in particular </w:t>
      </w:r>
      <w:r w:rsidRPr="0088257C">
        <w:rPr>
          <w:sz w:val="22"/>
          <w:szCs w:val="22"/>
        </w:rPr>
        <w:t xml:space="preserve">small and medium-sized enterprises. </w:t>
      </w:r>
    </w:p>
    <w:p w14:paraId="0FED0425" w14:textId="77777777" w:rsidR="00D90019" w:rsidRDefault="0088257C" w:rsidP="0088257C">
      <w:pPr>
        <w:rPr>
          <w:sz w:val="22"/>
          <w:szCs w:val="22"/>
        </w:rPr>
      </w:pPr>
      <w:r>
        <w:rPr>
          <w:sz w:val="22"/>
          <w:szCs w:val="22"/>
        </w:rPr>
        <w:t xml:space="preserve">In July 2018 the Government of Moldova adopted technical concept of the planning-to-payment electronic procurement system </w:t>
      </w:r>
      <w:r w:rsidR="00BC7483" w:rsidRPr="0088257C">
        <w:rPr>
          <w:sz w:val="22"/>
          <w:szCs w:val="22"/>
        </w:rPr>
        <w:t>(</w:t>
      </w:r>
      <w:r w:rsidR="002F0048" w:rsidRPr="0088257C">
        <w:rPr>
          <w:sz w:val="22"/>
          <w:szCs w:val="22"/>
        </w:rPr>
        <w:t>MTender</w:t>
      </w:r>
      <w:r w:rsidR="00BC7483" w:rsidRPr="0088257C">
        <w:rPr>
          <w:sz w:val="22"/>
          <w:szCs w:val="22"/>
        </w:rPr>
        <w:t>)</w:t>
      </w:r>
      <w:r>
        <w:rPr>
          <w:sz w:val="22"/>
          <w:szCs w:val="22"/>
        </w:rPr>
        <w:t xml:space="preserve"> and is presently undertaking a pilot of MTender.  </w:t>
      </w:r>
      <w:r w:rsidR="00777120" w:rsidRPr="0088257C">
        <w:rPr>
          <w:sz w:val="22"/>
          <w:szCs w:val="22"/>
        </w:rPr>
        <w:t>MTender is a multi</w:t>
      </w:r>
      <w:r w:rsidR="00777120" w:rsidRPr="0088257C">
        <w:rPr>
          <w:rFonts w:ascii="MS Mincho" w:hAnsi="MS Mincho" w:cs="MS Mincho" w:hint="eastAsia"/>
          <w:sz w:val="22"/>
          <w:szCs w:val="22"/>
        </w:rPr>
        <w:t>‑</w:t>
      </w:r>
      <w:r w:rsidR="00777120" w:rsidRPr="0088257C">
        <w:rPr>
          <w:sz w:val="22"/>
          <w:szCs w:val="22"/>
        </w:rPr>
        <w:t>platform digital procurement service it, compris</w:t>
      </w:r>
      <w:r>
        <w:rPr>
          <w:sz w:val="22"/>
          <w:szCs w:val="22"/>
        </w:rPr>
        <w:t xml:space="preserve">ing </w:t>
      </w:r>
      <w:r w:rsidR="00777120" w:rsidRPr="0088257C">
        <w:rPr>
          <w:sz w:val="22"/>
          <w:szCs w:val="22"/>
        </w:rPr>
        <w:t xml:space="preserve">a </w:t>
      </w:r>
      <w:r>
        <w:rPr>
          <w:sz w:val="22"/>
          <w:szCs w:val="22"/>
        </w:rPr>
        <w:t xml:space="preserve">cloud-based </w:t>
      </w:r>
      <w:r w:rsidR="00777120" w:rsidRPr="0088257C">
        <w:rPr>
          <w:sz w:val="22"/>
          <w:szCs w:val="22"/>
        </w:rPr>
        <w:t>government</w:t>
      </w:r>
      <w:r w:rsidR="00777120" w:rsidRPr="0088257C">
        <w:rPr>
          <w:rFonts w:ascii="MS Mincho" w:hAnsi="MS Mincho" w:cs="MS Mincho" w:hint="eastAsia"/>
          <w:sz w:val="22"/>
          <w:szCs w:val="22"/>
        </w:rPr>
        <w:t>‑</w:t>
      </w:r>
      <w:r w:rsidR="00777120" w:rsidRPr="0088257C">
        <w:rPr>
          <w:sz w:val="22"/>
          <w:szCs w:val="22"/>
        </w:rPr>
        <w:t xml:space="preserve">operated </w:t>
      </w:r>
      <w:r>
        <w:rPr>
          <w:sz w:val="22"/>
          <w:szCs w:val="22"/>
        </w:rPr>
        <w:t xml:space="preserve">OCDS </w:t>
      </w:r>
      <w:r w:rsidRPr="0088257C">
        <w:rPr>
          <w:sz w:val="22"/>
          <w:szCs w:val="22"/>
        </w:rPr>
        <w:t xml:space="preserve">Open Data central database unit </w:t>
      </w:r>
      <w:r>
        <w:rPr>
          <w:sz w:val="22"/>
          <w:szCs w:val="22"/>
        </w:rPr>
        <w:t>and a web porta, networking w</w:t>
      </w:r>
      <w:r w:rsidR="00777120" w:rsidRPr="0088257C">
        <w:rPr>
          <w:sz w:val="22"/>
          <w:szCs w:val="22"/>
        </w:rPr>
        <w:t xml:space="preserve">ith several commercial electronic </w:t>
      </w:r>
      <w:r>
        <w:rPr>
          <w:sz w:val="22"/>
          <w:szCs w:val="22"/>
        </w:rPr>
        <w:t xml:space="preserve">procurement </w:t>
      </w:r>
      <w:r w:rsidR="00777120" w:rsidRPr="0088257C">
        <w:rPr>
          <w:sz w:val="22"/>
          <w:szCs w:val="22"/>
        </w:rPr>
        <w:t>platforms certified to support electronic tendering for public sector and commercial clients.</w:t>
      </w:r>
      <w:r w:rsidR="00470B33" w:rsidRPr="0088257C">
        <w:rPr>
          <w:sz w:val="22"/>
          <w:szCs w:val="22"/>
        </w:rPr>
        <w:t xml:space="preserve"> </w:t>
      </w:r>
      <w:r w:rsidR="00E91809">
        <w:rPr>
          <w:sz w:val="22"/>
          <w:szCs w:val="22"/>
        </w:rPr>
        <w:t xml:space="preserve">In October 2018 </w:t>
      </w:r>
      <w:r>
        <w:rPr>
          <w:sz w:val="22"/>
          <w:szCs w:val="22"/>
        </w:rPr>
        <w:t xml:space="preserve">Phase 2 of the pilot </w:t>
      </w:r>
      <w:r w:rsidR="00E91809">
        <w:rPr>
          <w:sz w:val="22"/>
          <w:szCs w:val="22"/>
        </w:rPr>
        <w:t>has been initiated an</w:t>
      </w:r>
      <w:r>
        <w:rPr>
          <w:sz w:val="22"/>
          <w:szCs w:val="22"/>
        </w:rPr>
        <w:t xml:space="preserve">d it supports </w:t>
      </w:r>
      <w:r w:rsidR="00BF1C11" w:rsidRPr="0088257C">
        <w:rPr>
          <w:sz w:val="22"/>
          <w:szCs w:val="22"/>
        </w:rPr>
        <w:t>digital</w:t>
      </w:r>
      <w:r w:rsidR="00777120" w:rsidRPr="0088257C">
        <w:rPr>
          <w:sz w:val="22"/>
          <w:szCs w:val="22"/>
        </w:rPr>
        <w:t xml:space="preserve"> procurement</w:t>
      </w:r>
      <w:r w:rsidR="00E91809">
        <w:rPr>
          <w:sz w:val="22"/>
          <w:szCs w:val="22"/>
        </w:rPr>
        <w:t xml:space="preserve"> process</w:t>
      </w:r>
      <w:r w:rsidR="002F0048" w:rsidRPr="0088257C">
        <w:rPr>
          <w:sz w:val="22"/>
          <w:szCs w:val="22"/>
        </w:rPr>
        <w:t xml:space="preserve">, from </w:t>
      </w:r>
      <w:r>
        <w:rPr>
          <w:sz w:val="22"/>
          <w:szCs w:val="22"/>
        </w:rPr>
        <w:t xml:space="preserve">procurement </w:t>
      </w:r>
      <w:r w:rsidR="002F0048" w:rsidRPr="0088257C">
        <w:rPr>
          <w:sz w:val="22"/>
          <w:szCs w:val="22"/>
        </w:rPr>
        <w:t xml:space="preserve">planning to </w:t>
      </w:r>
      <w:r w:rsidR="00E91809">
        <w:rPr>
          <w:sz w:val="22"/>
          <w:szCs w:val="22"/>
        </w:rPr>
        <w:t xml:space="preserve">public </w:t>
      </w:r>
      <w:r w:rsidR="00BF1C11" w:rsidRPr="0088257C">
        <w:rPr>
          <w:sz w:val="22"/>
          <w:szCs w:val="22"/>
        </w:rPr>
        <w:t xml:space="preserve">contract </w:t>
      </w:r>
      <w:r>
        <w:rPr>
          <w:sz w:val="22"/>
          <w:szCs w:val="22"/>
        </w:rPr>
        <w:t xml:space="preserve">registration </w:t>
      </w:r>
      <w:r w:rsidR="00E91809">
        <w:rPr>
          <w:sz w:val="22"/>
          <w:szCs w:val="22"/>
        </w:rPr>
        <w:t xml:space="preserve">in the public contract register and the Treasury of the Republic of Moldova </w:t>
      </w:r>
      <w:r>
        <w:rPr>
          <w:sz w:val="22"/>
          <w:szCs w:val="22"/>
        </w:rPr>
        <w:t xml:space="preserve">for </w:t>
      </w:r>
      <w:r w:rsidR="00E91809">
        <w:rPr>
          <w:sz w:val="22"/>
          <w:szCs w:val="22"/>
        </w:rPr>
        <w:t xml:space="preserve">four </w:t>
      </w:r>
      <w:r>
        <w:rPr>
          <w:sz w:val="22"/>
          <w:szCs w:val="22"/>
        </w:rPr>
        <w:t>basic procurement methods</w:t>
      </w:r>
      <w:r w:rsidR="00E91809">
        <w:rPr>
          <w:sz w:val="22"/>
          <w:szCs w:val="22"/>
        </w:rPr>
        <w:t xml:space="preserve"> </w:t>
      </w:r>
      <w:r>
        <w:rPr>
          <w:sz w:val="22"/>
          <w:szCs w:val="22"/>
        </w:rPr>
        <w:t>- request for quotation, request for proposals</w:t>
      </w:r>
      <w:r w:rsidR="00E91809">
        <w:rPr>
          <w:sz w:val="22"/>
          <w:szCs w:val="22"/>
        </w:rPr>
        <w:t>, electronic reverse a</w:t>
      </w:r>
      <w:r w:rsidR="00E91809" w:rsidRPr="0088257C">
        <w:rPr>
          <w:sz w:val="22"/>
          <w:szCs w:val="22"/>
        </w:rPr>
        <w:t>uction</w:t>
      </w:r>
      <w:r w:rsidR="00E91809">
        <w:rPr>
          <w:sz w:val="22"/>
          <w:szCs w:val="22"/>
        </w:rPr>
        <w:t xml:space="preserve"> </w:t>
      </w:r>
      <w:r>
        <w:rPr>
          <w:sz w:val="22"/>
          <w:szCs w:val="22"/>
        </w:rPr>
        <w:t xml:space="preserve">and </w:t>
      </w:r>
      <w:r w:rsidR="00E91809">
        <w:rPr>
          <w:sz w:val="22"/>
          <w:szCs w:val="22"/>
        </w:rPr>
        <w:t>negotiated procedures without publication</w:t>
      </w:r>
      <w:r w:rsidR="00BF1C11" w:rsidRPr="0088257C">
        <w:rPr>
          <w:sz w:val="22"/>
          <w:szCs w:val="22"/>
        </w:rPr>
        <w:t>.</w:t>
      </w:r>
      <w:r w:rsidR="00E91809">
        <w:rPr>
          <w:sz w:val="22"/>
          <w:szCs w:val="22"/>
        </w:rPr>
        <w:t xml:space="preserve"> It also </w:t>
      </w:r>
      <w:r w:rsidR="00F11167">
        <w:rPr>
          <w:sz w:val="22"/>
          <w:szCs w:val="22"/>
        </w:rPr>
        <w:t>provides</w:t>
      </w:r>
      <w:r w:rsidR="00E91809">
        <w:rPr>
          <w:sz w:val="22"/>
          <w:szCs w:val="22"/>
        </w:rPr>
        <w:t xml:space="preserve"> for electronic contracts services for any awarded public contract regardless its type or value.</w:t>
      </w:r>
    </w:p>
    <w:p w14:paraId="12C4C880" w14:textId="77777777" w:rsidR="00E91809" w:rsidRPr="0088257C" w:rsidRDefault="00E91809" w:rsidP="0088257C">
      <w:pPr>
        <w:rPr>
          <w:sz w:val="22"/>
          <w:szCs w:val="22"/>
        </w:rPr>
      </w:pPr>
    </w:p>
    <w:p w14:paraId="586FBCCC" w14:textId="24D5408E" w:rsidR="00535F0A" w:rsidRPr="00535F0A" w:rsidRDefault="001E4368" w:rsidP="00535F0A">
      <w:pPr>
        <w:pStyle w:val="Heading1"/>
        <w:numPr>
          <w:ilvl w:val="0"/>
          <w:numId w:val="1"/>
        </w:numPr>
        <w:rPr>
          <w:sz w:val="22"/>
          <w:szCs w:val="22"/>
        </w:rPr>
      </w:pPr>
      <w:r w:rsidRPr="0088257C">
        <w:rPr>
          <w:sz w:val="22"/>
          <w:szCs w:val="22"/>
        </w:rPr>
        <w:t>Public procurement reform</w:t>
      </w:r>
      <w:r w:rsidR="00B7555D">
        <w:rPr>
          <w:sz w:val="22"/>
          <w:szCs w:val="22"/>
        </w:rPr>
        <w:t>s</w:t>
      </w:r>
      <w:r w:rsidR="009E6A49" w:rsidRPr="0088257C">
        <w:rPr>
          <w:sz w:val="22"/>
          <w:szCs w:val="22"/>
        </w:rPr>
        <w:t xml:space="preserve"> in </w:t>
      </w:r>
      <w:r w:rsidR="00725EDF" w:rsidRPr="0088257C">
        <w:rPr>
          <w:sz w:val="22"/>
          <w:szCs w:val="22"/>
        </w:rPr>
        <w:t>Moldova</w:t>
      </w:r>
    </w:p>
    <w:p w14:paraId="241A5656" w14:textId="77777777" w:rsidR="00535F0A" w:rsidRDefault="00535F0A" w:rsidP="0088257C">
      <w:pPr>
        <w:rPr>
          <w:sz w:val="22"/>
          <w:szCs w:val="22"/>
        </w:rPr>
      </w:pPr>
    </w:p>
    <w:p w14:paraId="6DE8A6E5" w14:textId="77777777" w:rsidR="002F0048" w:rsidRPr="0088257C" w:rsidRDefault="002F0048" w:rsidP="0088257C">
      <w:pPr>
        <w:rPr>
          <w:sz w:val="22"/>
          <w:szCs w:val="22"/>
        </w:rPr>
      </w:pPr>
      <w:r w:rsidRPr="0088257C">
        <w:rPr>
          <w:sz w:val="22"/>
          <w:szCs w:val="22"/>
        </w:rPr>
        <w:t xml:space="preserve">On 14 December 2016, the government of Moldova approved the Strategy on Development of a Public Procurement System in Moldova covering the years 2016-2020. The objective of this reform is to </w:t>
      </w:r>
      <w:r w:rsidR="006E343B" w:rsidRPr="0088257C">
        <w:rPr>
          <w:sz w:val="22"/>
          <w:szCs w:val="22"/>
        </w:rPr>
        <w:t>align national legislation with</w:t>
      </w:r>
      <w:r w:rsidRPr="0088257C">
        <w:rPr>
          <w:sz w:val="22"/>
          <w:szCs w:val="22"/>
        </w:rPr>
        <w:t xml:space="preserve"> the </w:t>
      </w:r>
      <w:r w:rsidR="00BA2B65" w:rsidRPr="0088257C">
        <w:rPr>
          <w:sz w:val="22"/>
          <w:szCs w:val="22"/>
        </w:rPr>
        <w:t>European Union Procurement Directive (</w:t>
      </w:r>
      <w:r w:rsidRPr="0088257C">
        <w:rPr>
          <w:sz w:val="22"/>
          <w:szCs w:val="22"/>
        </w:rPr>
        <w:t>EUPD 2014</w:t>
      </w:r>
      <w:r w:rsidR="00BA2B65" w:rsidRPr="0088257C">
        <w:rPr>
          <w:sz w:val="22"/>
          <w:szCs w:val="22"/>
        </w:rPr>
        <w:t>)</w:t>
      </w:r>
      <w:r w:rsidRPr="0088257C">
        <w:rPr>
          <w:sz w:val="22"/>
          <w:szCs w:val="22"/>
        </w:rPr>
        <w:t>, reorganising the Public Procurement Agency and setting up the National Complaint Settlement Agency. Moreover, the strategy promotes the introduction of an eProcurement system and strengthens the capacities of contracting authorities and civil servants involved in the public procurement process.</w:t>
      </w:r>
    </w:p>
    <w:p w14:paraId="11578C97" w14:textId="77777777" w:rsidR="00E91809" w:rsidRDefault="002F0048" w:rsidP="0088257C">
      <w:pPr>
        <w:rPr>
          <w:sz w:val="22"/>
          <w:szCs w:val="22"/>
        </w:rPr>
      </w:pPr>
      <w:r w:rsidRPr="0088257C">
        <w:rPr>
          <w:sz w:val="22"/>
          <w:szCs w:val="22"/>
        </w:rPr>
        <w:t>The public procurement reform</w:t>
      </w:r>
      <w:r w:rsidR="00E91809">
        <w:rPr>
          <w:sz w:val="22"/>
          <w:szCs w:val="22"/>
        </w:rPr>
        <w:t xml:space="preserve">s are being undertaken within international commitments the </w:t>
      </w:r>
      <w:r w:rsidR="00E91809" w:rsidRPr="0088257C">
        <w:rPr>
          <w:sz w:val="22"/>
          <w:szCs w:val="22"/>
        </w:rPr>
        <w:t xml:space="preserve">Republic of Moldova </w:t>
      </w:r>
      <w:r w:rsidR="00E91809">
        <w:rPr>
          <w:sz w:val="22"/>
          <w:szCs w:val="22"/>
        </w:rPr>
        <w:t xml:space="preserve">under the </w:t>
      </w:r>
      <w:r w:rsidRPr="0088257C">
        <w:rPr>
          <w:sz w:val="22"/>
          <w:szCs w:val="22"/>
        </w:rPr>
        <w:t>Association Agreement (AA</w:t>
      </w:r>
      <w:r w:rsidR="00E91809">
        <w:rPr>
          <w:sz w:val="22"/>
          <w:szCs w:val="22"/>
        </w:rPr>
        <w:t xml:space="preserve">) between the </w:t>
      </w:r>
      <w:r w:rsidR="00E91809" w:rsidRPr="0088257C">
        <w:rPr>
          <w:sz w:val="22"/>
          <w:szCs w:val="22"/>
        </w:rPr>
        <w:t xml:space="preserve">Republic of Moldova </w:t>
      </w:r>
      <w:r w:rsidR="00E91809">
        <w:rPr>
          <w:sz w:val="22"/>
          <w:szCs w:val="22"/>
        </w:rPr>
        <w:t xml:space="preserve">and the </w:t>
      </w:r>
      <w:r w:rsidR="00E91809" w:rsidRPr="0088257C">
        <w:rPr>
          <w:sz w:val="22"/>
          <w:szCs w:val="22"/>
        </w:rPr>
        <w:t xml:space="preserve">European Union </w:t>
      </w:r>
      <w:r w:rsidRPr="0088257C">
        <w:rPr>
          <w:sz w:val="22"/>
          <w:szCs w:val="22"/>
        </w:rPr>
        <w:t>and the World Trade Organization</w:t>
      </w:r>
      <w:r w:rsidR="00E91809">
        <w:rPr>
          <w:sz w:val="22"/>
          <w:szCs w:val="22"/>
        </w:rPr>
        <w:t xml:space="preserve">’s </w:t>
      </w:r>
      <w:r w:rsidRPr="0088257C">
        <w:rPr>
          <w:sz w:val="22"/>
          <w:szCs w:val="22"/>
        </w:rPr>
        <w:t>Agreement</w:t>
      </w:r>
      <w:r w:rsidR="00E91809">
        <w:rPr>
          <w:sz w:val="22"/>
          <w:szCs w:val="22"/>
        </w:rPr>
        <w:t xml:space="preserve"> on </w:t>
      </w:r>
      <w:r w:rsidR="00E91809" w:rsidRPr="0088257C">
        <w:rPr>
          <w:sz w:val="22"/>
          <w:szCs w:val="22"/>
        </w:rPr>
        <w:t xml:space="preserve">Government Procurement </w:t>
      </w:r>
      <w:r w:rsidRPr="0088257C">
        <w:rPr>
          <w:sz w:val="22"/>
          <w:szCs w:val="22"/>
        </w:rPr>
        <w:t>(</w:t>
      </w:r>
      <w:r w:rsidR="00E91809">
        <w:rPr>
          <w:sz w:val="22"/>
          <w:szCs w:val="22"/>
        </w:rPr>
        <w:t xml:space="preserve">2012 </w:t>
      </w:r>
      <w:r w:rsidRPr="0088257C">
        <w:rPr>
          <w:sz w:val="22"/>
          <w:szCs w:val="22"/>
        </w:rPr>
        <w:t>GPA), which entered into force on 14 July 2016</w:t>
      </w:r>
      <w:r w:rsidR="00E91809">
        <w:rPr>
          <w:sz w:val="22"/>
          <w:szCs w:val="22"/>
        </w:rPr>
        <w:t xml:space="preserve">. New primary </w:t>
      </w:r>
      <w:r w:rsidRPr="0088257C">
        <w:rPr>
          <w:sz w:val="22"/>
          <w:szCs w:val="22"/>
        </w:rPr>
        <w:t>law on public procurement</w:t>
      </w:r>
      <w:r w:rsidR="00E91809">
        <w:rPr>
          <w:sz w:val="22"/>
          <w:szCs w:val="22"/>
        </w:rPr>
        <w:t xml:space="preserve"> </w:t>
      </w:r>
      <w:r w:rsidRPr="0088257C">
        <w:rPr>
          <w:sz w:val="22"/>
          <w:szCs w:val="22"/>
        </w:rPr>
        <w:t>entered into force in May 2016</w:t>
      </w:r>
      <w:r w:rsidR="00E91809">
        <w:rPr>
          <w:sz w:val="22"/>
          <w:szCs w:val="22"/>
        </w:rPr>
        <w:t xml:space="preserve"> and further amendments were </w:t>
      </w:r>
      <w:r w:rsidRPr="0088257C">
        <w:rPr>
          <w:sz w:val="22"/>
          <w:szCs w:val="22"/>
        </w:rPr>
        <w:t xml:space="preserve">adopted </w:t>
      </w:r>
      <w:r w:rsidR="00E91809">
        <w:rPr>
          <w:sz w:val="22"/>
          <w:szCs w:val="22"/>
        </w:rPr>
        <w:t xml:space="preserve">in July, </w:t>
      </w:r>
      <w:r w:rsidRPr="0088257C">
        <w:rPr>
          <w:sz w:val="22"/>
          <w:szCs w:val="22"/>
        </w:rPr>
        <w:t xml:space="preserve">September </w:t>
      </w:r>
      <w:r w:rsidR="00E91809">
        <w:rPr>
          <w:sz w:val="22"/>
          <w:szCs w:val="22"/>
        </w:rPr>
        <w:t xml:space="preserve">and October </w:t>
      </w:r>
      <w:r w:rsidRPr="0088257C">
        <w:rPr>
          <w:sz w:val="22"/>
          <w:szCs w:val="22"/>
        </w:rPr>
        <w:t>2016</w:t>
      </w:r>
      <w:r w:rsidR="00E91809">
        <w:rPr>
          <w:sz w:val="22"/>
          <w:szCs w:val="22"/>
        </w:rPr>
        <w:t xml:space="preserve"> and July and December 2018</w:t>
      </w:r>
      <w:r w:rsidRPr="0088257C">
        <w:rPr>
          <w:sz w:val="22"/>
          <w:szCs w:val="22"/>
        </w:rPr>
        <w:t>. With further</w:t>
      </w:r>
      <w:r w:rsidR="00E91809">
        <w:rPr>
          <w:sz w:val="22"/>
          <w:szCs w:val="22"/>
        </w:rPr>
        <w:t xml:space="preserve"> legislative changes scheduled, </w:t>
      </w:r>
      <w:r w:rsidRPr="0088257C">
        <w:rPr>
          <w:sz w:val="22"/>
          <w:szCs w:val="22"/>
        </w:rPr>
        <w:t xml:space="preserve">Moldova </w:t>
      </w:r>
      <w:r w:rsidR="00E91809">
        <w:rPr>
          <w:sz w:val="22"/>
          <w:szCs w:val="22"/>
        </w:rPr>
        <w:t xml:space="preserve">is required to </w:t>
      </w:r>
      <w:r w:rsidRPr="0088257C">
        <w:rPr>
          <w:sz w:val="22"/>
          <w:szCs w:val="22"/>
        </w:rPr>
        <w:t xml:space="preserve">implement </w:t>
      </w:r>
      <w:r w:rsidR="00E91809">
        <w:rPr>
          <w:sz w:val="22"/>
          <w:szCs w:val="22"/>
        </w:rPr>
        <w:t xml:space="preserve">the </w:t>
      </w:r>
      <w:r w:rsidRPr="0088257C">
        <w:rPr>
          <w:sz w:val="22"/>
          <w:szCs w:val="22"/>
        </w:rPr>
        <w:t xml:space="preserve">GPA </w:t>
      </w:r>
      <w:r w:rsidR="00E91809">
        <w:rPr>
          <w:sz w:val="22"/>
          <w:szCs w:val="22"/>
        </w:rPr>
        <w:t xml:space="preserve">mandatory requirements and </w:t>
      </w:r>
      <w:r w:rsidRPr="0088257C">
        <w:rPr>
          <w:sz w:val="22"/>
          <w:szCs w:val="22"/>
        </w:rPr>
        <w:t xml:space="preserve">the </w:t>
      </w:r>
      <w:r w:rsidR="00E91809">
        <w:rPr>
          <w:sz w:val="22"/>
          <w:szCs w:val="22"/>
        </w:rPr>
        <w:t xml:space="preserve">2014 </w:t>
      </w:r>
      <w:r w:rsidRPr="0088257C">
        <w:rPr>
          <w:sz w:val="22"/>
          <w:szCs w:val="22"/>
        </w:rPr>
        <w:t>EU public pro</w:t>
      </w:r>
      <w:r w:rsidR="00E91809">
        <w:rPr>
          <w:sz w:val="22"/>
          <w:szCs w:val="22"/>
        </w:rPr>
        <w:t xml:space="preserve">curement directives (EUPD 2014) by January 2020. Regulatory changes introduced in 2018 </w:t>
      </w:r>
      <w:r w:rsidR="007F0CAD" w:rsidRPr="0088257C">
        <w:rPr>
          <w:sz w:val="22"/>
          <w:szCs w:val="22"/>
        </w:rPr>
        <w:t>relate</w:t>
      </w:r>
      <w:r w:rsidR="00E91809">
        <w:rPr>
          <w:sz w:val="22"/>
          <w:szCs w:val="22"/>
        </w:rPr>
        <w:t xml:space="preserve"> </w:t>
      </w:r>
      <w:r w:rsidR="007F0CAD" w:rsidRPr="0088257C">
        <w:rPr>
          <w:sz w:val="22"/>
          <w:szCs w:val="22"/>
        </w:rPr>
        <w:t xml:space="preserve">to introduction of </w:t>
      </w:r>
      <w:r w:rsidR="00E91809">
        <w:rPr>
          <w:sz w:val="22"/>
          <w:szCs w:val="22"/>
        </w:rPr>
        <w:t xml:space="preserve">mandatory use of </w:t>
      </w:r>
      <w:r w:rsidR="007F0CAD" w:rsidRPr="0088257C">
        <w:rPr>
          <w:sz w:val="22"/>
          <w:szCs w:val="22"/>
        </w:rPr>
        <w:t xml:space="preserve">electronic </w:t>
      </w:r>
      <w:r w:rsidR="00E91809">
        <w:rPr>
          <w:sz w:val="22"/>
          <w:szCs w:val="22"/>
        </w:rPr>
        <w:t xml:space="preserve">public procurement. </w:t>
      </w:r>
    </w:p>
    <w:p w14:paraId="66B937D2" w14:textId="77777777" w:rsidR="007F0CAD" w:rsidRPr="0088257C" w:rsidRDefault="00D35012" w:rsidP="0088257C">
      <w:pPr>
        <w:rPr>
          <w:sz w:val="22"/>
          <w:szCs w:val="22"/>
        </w:rPr>
      </w:pPr>
      <w:r>
        <w:rPr>
          <w:sz w:val="22"/>
          <w:szCs w:val="22"/>
        </w:rPr>
        <w:lastRenderedPageBreak/>
        <w:t xml:space="preserve">Work on implementation on electronic public procurement </w:t>
      </w:r>
      <w:r w:rsidR="007F0CAD" w:rsidRPr="0088257C">
        <w:rPr>
          <w:sz w:val="22"/>
          <w:szCs w:val="22"/>
        </w:rPr>
        <w:t xml:space="preserve">began in 2016, </w:t>
      </w:r>
      <w:r>
        <w:rPr>
          <w:sz w:val="22"/>
          <w:szCs w:val="22"/>
        </w:rPr>
        <w:t xml:space="preserve">and </w:t>
      </w:r>
      <w:r w:rsidR="007F0CAD" w:rsidRPr="0088257C">
        <w:rPr>
          <w:sz w:val="22"/>
          <w:szCs w:val="22"/>
        </w:rPr>
        <w:t xml:space="preserve">a memorandum between the </w:t>
      </w:r>
      <w:r>
        <w:rPr>
          <w:sz w:val="22"/>
          <w:szCs w:val="22"/>
        </w:rPr>
        <w:t>G</w:t>
      </w:r>
      <w:r w:rsidR="007F0CAD" w:rsidRPr="0088257C">
        <w:rPr>
          <w:sz w:val="22"/>
          <w:szCs w:val="22"/>
        </w:rPr>
        <w:t xml:space="preserve">overnment of Moldova, civil society, and private sector </w:t>
      </w:r>
      <w:r>
        <w:rPr>
          <w:sz w:val="22"/>
          <w:szCs w:val="22"/>
        </w:rPr>
        <w:t xml:space="preserve">on </w:t>
      </w:r>
      <w:r w:rsidR="007F0CAD" w:rsidRPr="0088257C">
        <w:rPr>
          <w:sz w:val="22"/>
          <w:szCs w:val="22"/>
        </w:rPr>
        <w:t>develop</w:t>
      </w:r>
      <w:r>
        <w:rPr>
          <w:sz w:val="22"/>
          <w:szCs w:val="22"/>
        </w:rPr>
        <w:t xml:space="preserve">ing </w:t>
      </w:r>
      <w:r w:rsidR="007F0CAD" w:rsidRPr="0088257C">
        <w:rPr>
          <w:sz w:val="22"/>
          <w:szCs w:val="22"/>
        </w:rPr>
        <w:t>a ne</w:t>
      </w:r>
      <w:r>
        <w:rPr>
          <w:sz w:val="22"/>
          <w:szCs w:val="22"/>
        </w:rPr>
        <w:t xml:space="preserve">tworking digital procurement </w:t>
      </w:r>
      <w:r w:rsidR="007F0CAD" w:rsidRPr="0088257C">
        <w:rPr>
          <w:sz w:val="22"/>
          <w:szCs w:val="22"/>
        </w:rPr>
        <w:t>system</w:t>
      </w:r>
      <w:r>
        <w:rPr>
          <w:sz w:val="22"/>
          <w:szCs w:val="22"/>
        </w:rPr>
        <w:t xml:space="preserve"> was signed on 30 November 2016</w:t>
      </w:r>
      <w:r w:rsidR="007F0CAD" w:rsidRPr="0088257C">
        <w:rPr>
          <w:sz w:val="22"/>
          <w:szCs w:val="22"/>
        </w:rPr>
        <w:t xml:space="preserve">. In April 2017, a pilot of the MTender was </w:t>
      </w:r>
      <w:r>
        <w:rPr>
          <w:sz w:val="22"/>
          <w:szCs w:val="22"/>
        </w:rPr>
        <w:t xml:space="preserve">launched, covering electronic bidding for low value procurement. </w:t>
      </w:r>
      <w:r w:rsidR="007F0CAD" w:rsidRPr="0088257C">
        <w:rPr>
          <w:sz w:val="22"/>
          <w:szCs w:val="22"/>
        </w:rPr>
        <w:t xml:space="preserve">Supported by the EBRD, the MTender pilot attracted public and commercial buyers and successfully tested brand new concept of cooperative </w:t>
      </w:r>
      <w:r>
        <w:rPr>
          <w:sz w:val="22"/>
          <w:szCs w:val="22"/>
        </w:rPr>
        <w:t xml:space="preserve">public service </w:t>
      </w:r>
      <w:r w:rsidR="007F0CAD" w:rsidRPr="0088257C">
        <w:rPr>
          <w:sz w:val="22"/>
          <w:szCs w:val="22"/>
        </w:rPr>
        <w:t xml:space="preserve">delivery based on Open Government values of transparency, accountability and engagement with stakeholders. </w:t>
      </w:r>
      <w:r>
        <w:rPr>
          <w:sz w:val="22"/>
          <w:szCs w:val="22"/>
        </w:rPr>
        <w:t xml:space="preserve">In </w:t>
      </w:r>
      <w:r w:rsidR="007F0CAD" w:rsidRPr="0088257C">
        <w:rPr>
          <w:sz w:val="22"/>
          <w:szCs w:val="22"/>
        </w:rPr>
        <w:t>March 2018</w:t>
      </w:r>
      <w:r>
        <w:rPr>
          <w:sz w:val="22"/>
          <w:szCs w:val="22"/>
        </w:rPr>
        <w:t xml:space="preserve"> online contracts and contract register were introduced. </w:t>
      </w:r>
      <w:r w:rsidR="007F0CAD" w:rsidRPr="0088257C">
        <w:rPr>
          <w:sz w:val="22"/>
          <w:szCs w:val="22"/>
        </w:rPr>
        <w:t>From October 2018, new types of electronic procurement procedures are becoming available on the MTender, to suit different types of contracts and serve different public and commercial buyers, including state</w:t>
      </w:r>
      <w:r w:rsidR="007F0CAD" w:rsidRPr="0088257C">
        <w:rPr>
          <w:rFonts w:ascii="MS Mincho" w:hAnsi="MS Mincho" w:cs="MS Mincho" w:hint="eastAsia"/>
          <w:sz w:val="22"/>
          <w:szCs w:val="22"/>
        </w:rPr>
        <w:t>‑</w:t>
      </w:r>
      <w:r w:rsidR="007F0CAD" w:rsidRPr="0088257C">
        <w:rPr>
          <w:sz w:val="22"/>
          <w:szCs w:val="22"/>
        </w:rPr>
        <w:t xml:space="preserve">owned enterprises. </w:t>
      </w:r>
    </w:p>
    <w:p w14:paraId="6A9F719E" w14:textId="77777777" w:rsidR="007F0CAD" w:rsidRPr="0088257C" w:rsidRDefault="007F0CAD" w:rsidP="0088257C">
      <w:pPr>
        <w:rPr>
          <w:sz w:val="22"/>
          <w:szCs w:val="22"/>
        </w:rPr>
      </w:pPr>
    </w:p>
    <w:p w14:paraId="01D69DAF" w14:textId="77777777" w:rsidR="0037553C" w:rsidRPr="0088257C" w:rsidRDefault="0037553C" w:rsidP="0088257C">
      <w:pPr>
        <w:pStyle w:val="Heading1"/>
        <w:numPr>
          <w:ilvl w:val="0"/>
          <w:numId w:val="1"/>
        </w:numPr>
        <w:rPr>
          <w:sz w:val="22"/>
          <w:szCs w:val="22"/>
        </w:rPr>
      </w:pPr>
      <w:r w:rsidRPr="0088257C">
        <w:rPr>
          <w:sz w:val="22"/>
          <w:szCs w:val="22"/>
        </w:rPr>
        <w:t>Objectives</w:t>
      </w:r>
      <w:r w:rsidR="00574A0D" w:rsidRPr="0088257C">
        <w:rPr>
          <w:sz w:val="22"/>
          <w:szCs w:val="22"/>
        </w:rPr>
        <w:t xml:space="preserve"> of the assignment</w:t>
      </w:r>
    </w:p>
    <w:p w14:paraId="216BE98A" w14:textId="77777777" w:rsidR="00270CC7" w:rsidRDefault="00270CC7" w:rsidP="0088257C">
      <w:pPr>
        <w:rPr>
          <w:sz w:val="22"/>
          <w:szCs w:val="22"/>
        </w:rPr>
      </w:pPr>
    </w:p>
    <w:p w14:paraId="43EB17FF" w14:textId="77777777" w:rsidR="00270CC7" w:rsidRDefault="004F184F" w:rsidP="0088257C">
      <w:pPr>
        <w:rPr>
          <w:sz w:val="22"/>
          <w:szCs w:val="22"/>
        </w:rPr>
      </w:pPr>
      <w:r w:rsidRPr="0088257C">
        <w:rPr>
          <w:sz w:val="22"/>
          <w:szCs w:val="22"/>
        </w:rPr>
        <w:t>The primary objective of th</w:t>
      </w:r>
      <w:r w:rsidR="00270CC7">
        <w:rPr>
          <w:sz w:val="22"/>
          <w:szCs w:val="22"/>
        </w:rPr>
        <w:t xml:space="preserve">e Consultant </w:t>
      </w:r>
      <w:r w:rsidRPr="0088257C">
        <w:rPr>
          <w:sz w:val="22"/>
          <w:szCs w:val="22"/>
        </w:rPr>
        <w:t xml:space="preserve">is to </w:t>
      </w:r>
      <w:r w:rsidR="00D35012">
        <w:rPr>
          <w:sz w:val="22"/>
          <w:szCs w:val="22"/>
        </w:rPr>
        <w:t xml:space="preserve">undertake an audit of Mtender pilot implementation against requirements formulated in the terms of reference for MTender </w:t>
      </w:r>
      <w:r w:rsidR="00270CC7">
        <w:rPr>
          <w:sz w:val="22"/>
          <w:szCs w:val="22"/>
        </w:rPr>
        <w:t xml:space="preserve">and technical concept for MTender adopted in July </w:t>
      </w:r>
      <w:r w:rsidR="00D35012">
        <w:rPr>
          <w:sz w:val="22"/>
          <w:szCs w:val="22"/>
        </w:rPr>
        <w:t>201</w:t>
      </w:r>
      <w:r w:rsidR="00270CC7">
        <w:rPr>
          <w:sz w:val="22"/>
          <w:szCs w:val="22"/>
        </w:rPr>
        <w:t>8</w:t>
      </w:r>
      <w:r w:rsidR="00D35012">
        <w:rPr>
          <w:sz w:val="22"/>
          <w:szCs w:val="22"/>
        </w:rPr>
        <w:t xml:space="preserve">. </w:t>
      </w:r>
    </w:p>
    <w:p w14:paraId="2D045958" w14:textId="77777777" w:rsidR="00124284" w:rsidRPr="0088257C" w:rsidRDefault="00124284" w:rsidP="0088257C">
      <w:pPr>
        <w:rPr>
          <w:sz w:val="22"/>
          <w:szCs w:val="22"/>
        </w:rPr>
      </w:pPr>
    </w:p>
    <w:p w14:paraId="1AE4584B" w14:textId="77777777" w:rsidR="0037553C" w:rsidRPr="0088257C" w:rsidRDefault="0037553C" w:rsidP="0088257C">
      <w:pPr>
        <w:pStyle w:val="Heading1"/>
        <w:numPr>
          <w:ilvl w:val="0"/>
          <w:numId w:val="1"/>
        </w:numPr>
        <w:rPr>
          <w:sz w:val="22"/>
          <w:szCs w:val="22"/>
        </w:rPr>
      </w:pPr>
      <w:r w:rsidRPr="0088257C">
        <w:rPr>
          <w:sz w:val="22"/>
          <w:szCs w:val="22"/>
        </w:rPr>
        <w:t xml:space="preserve">Scope of Work </w:t>
      </w:r>
    </w:p>
    <w:p w14:paraId="451BE81F" w14:textId="77777777" w:rsidR="00270CC7" w:rsidRDefault="00270CC7" w:rsidP="00270CC7">
      <w:pPr>
        <w:rPr>
          <w:sz w:val="22"/>
          <w:szCs w:val="22"/>
        </w:rPr>
      </w:pPr>
    </w:p>
    <w:p w14:paraId="5AA4D3EA" w14:textId="216EF769" w:rsidR="00270CC7" w:rsidRDefault="00270CC7" w:rsidP="00270CC7">
      <w:pPr>
        <w:rPr>
          <w:sz w:val="22"/>
          <w:szCs w:val="22"/>
        </w:rPr>
      </w:pPr>
      <w:r>
        <w:rPr>
          <w:sz w:val="22"/>
          <w:szCs w:val="22"/>
        </w:rPr>
        <w:t xml:space="preserve">The audit should include a review of </w:t>
      </w:r>
      <w:r w:rsidRPr="0088257C">
        <w:rPr>
          <w:sz w:val="22"/>
          <w:szCs w:val="22"/>
        </w:rPr>
        <w:t xml:space="preserve">business processes </w:t>
      </w:r>
      <w:r>
        <w:rPr>
          <w:sz w:val="22"/>
          <w:szCs w:val="22"/>
        </w:rPr>
        <w:t xml:space="preserve">implementation and an IT audit of functionalities as enabled by Phase 2 of the pilot implementation of the </w:t>
      </w:r>
      <w:r w:rsidRPr="0088257C">
        <w:rPr>
          <w:sz w:val="22"/>
          <w:szCs w:val="22"/>
        </w:rPr>
        <w:t>MTender</w:t>
      </w:r>
      <w:r w:rsidR="00C919B6">
        <w:rPr>
          <w:sz w:val="22"/>
          <w:szCs w:val="22"/>
        </w:rPr>
        <w:t xml:space="preserve">, including the OCDS open data requirements for </w:t>
      </w:r>
      <w:r w:rsidR="002D6D13">
        <w:rPr>
          <w:sz w:val="22"/>
          <w:szCs w:val="22"/>
        </w:rPr>
        <w:t xml:space="preserve">the </w:t>
      </w:r>
      <w:r w:rsidR="00C919B6">
        <w:rPr>
          <w:sz w:val="22"/>
          <w:szCs w:val="22"/>
        </w:rPr>
        <w:t>contract register (Advanced OCDS Plus)</w:t>
      </w:r>
      <w:r>
        <w:rPr>
          <w:sz w:val="22"/>
          <w:szCs w:val="22"/>
        </w:rPr>
        <w:t xml:space="preserve">. </w:t>
      </w:r>
    </w:p>
    <w:p w14:paraId="5FA1CD97" w14:textId="5FFFF4F9" w:rsidR="00270CC7" w:rsidRDefault="00270CC7" w:rsidP="00270CC7">
      <w:pPr>
        <w:rPr>
          <w:sz w:val="22"/>
          <w:szCs w:val="22"/>
        </w:rPr>
      </w:pPr>
      <w:r w:rsidRPr="0088257C">
        <w:rPr>
          <w:sz w:val="22"/>
          <w:szCs w:val="22"/>
        </w:rPr>
        <w:t>More specifically, the following will be covered under the audit:</w:t>
      </w:r>
    </w:p>
    <w:p w14:paraId="3AA63B69" w14:textId="281F2600" w:rsidR="00270CC7" w:rsidRDefault="00270CC7" w:rsidP="000A62A1">
      <w:pPr>
        <w:rPr>
          <w:sz w:val="22"/>
          <w:szCs w:val="22"/>
        </w:rPr>
      </w:pPr>
      <w:r w:rsidRPr="0088257C">
        <w:rPr>
          <w:sz w:val="22"/>
          <w:szCs w:val="22"/>
        </w:rPr>
        <w:t>a) system alignment to the established</w:t>
      </w:r>
      <w:r w:rsidR="00B11926">
        <w:rPr>
          <w:sz w:val="22"/>
          <w:szCs w:val="22"/>
        </w:rPr>
        <w:t xml:space="preserve"> functional and</w:t>
      </w:r>
      <w:r w:rsidRPr="0088257C">
        <w:rPr>
          <w:sz w:val="22"/>
          <w:szCs w:val="22"/>
        </w:rPr>
        <w:t xml:space="preserve"> technical requirements of MTender</w:t>
      </w:r>
      <w:r w:rsidR="002D6D13">
        <w:rPr>
          <w:sz w:val="22"/>
          <w:szCs w:val="22"/>
        </w:rPr>
        <w:t xml:space="preserve">, including </w:t>
      </w:r>
      <w:r w:rsidRPr="0088257C">
        <w:rPr>
          <w:sz w:val="22"/>
          <w:szCs w:val="22"/>
        </w:rPr>
        <w:t xml:space="preserve">key reporting requirements and data lineage; </w:t>
      </w:r>
    </w:p>
    <w:p w14:paraId="7BDD5F33" w14:textId="7C03133F" w:rsidR="00270CC7" w:rsidRDefault="002D6D13" w:rsidP="00270CC7">
      <w:pPr>
        <w:rPr>
          <w:sz w:val="22"/>
          <w:szCs w:val="22"/>
        </w:rPr>
      </w:pPr>
      <w:r>
        <w:rPr>
          <w:sz w:val="22"/>
          <w:szCs w:val="22"/>
        </w:rPr>
        <w:t>b</w:t>
      </w:r>
      <w:r w:rsidR="00270CC7" w:rsidRPr="0088257C">
        <w:rPr>
          <w:sz w:val="22"/>
          <w:szCs w:val="22"/>
        </w:rPr>
        <w:t xml:space="preserve">) </w:t>
      </w:r>
      <w:r>
        <w:rPr>
          <w:sz w:val="22"/>
          <w:szCs w:val="22"/>
        </w:rPr>
        <w:t>system</w:t>
      </w:r>
      <w:r w:rsidRPr="0088257C">
        <w:rPr>
          <w:sz w:val="22"/>
          <w:szCs w:val="22"/>
        </w:rPr>
        <w:t xml:space="preserve"> </w:t>
      </w:r>
      <w:r w:rsidR="00270CC7" w:rsidRPr="0088257C">
        <w:rPr>
          <w:sz w:val="22"/>
          <w:szCs w:val="22"/>
        </w:rPr>
        <w:t>security; and</w:t>
      </w:r>
    </w:p>
    <w:p w14:paraId="1462F221" w14:textId="15B39005" w:rsidR="00270CC7" w:rsidRPr="0088257C" w:rsidRDefault="000A62A1" w:rsidP="00270CC7">
      <w:pPr>
        <w:rPr>
          <w:sz w:val="22"/>
          <w:szCs w:val="22"/>
        </w:rPr>
      </w:pPr>
      <w:r>
        <w:rPr>
          <w:sz w:val="22"/>
          <w:szCs w:val="22"/>
        </w:rPr>
        <w:t>c</w:t>
      </w:r>
      <w:r w:rsidR="00270CC7" w:rsidRPr="0088257C">
        <w:rPr>
          <w:sz w:val="22"/>
          <w:szCs w:val="22"/>
        </w:rPr>
        <w:t xml:space="preserve">) </w:t>
      </w:r>
      <w:r w:rsidR="002D6D13">
        <w:rPr>
          <w:sz w:val="22"/>
          <w:szCs w:val="22"/>
        </w:rPr>
        <w:t>operational model (based on the collaboration between the government-appointed MTender Operator and Networking Electronic Procurement Platforms (the NEPPs), in respect to</w:t>
      </w:r>
      <w:r w:rsidR="002D6D13" w:rsidRPr="0088257C">
        <w:rPr>
          <w:sz w:val="22"/>
          <w:szCs w:val="22"/>
        </w:rPr>
        <w:t xml:space="preserve"> roles and responsibilities of key </w:t>
      </w:r>
      <w:r w:rsidR="002D6D13">
        <w:rPr>
          <w:sz w:val="22"/>
          <w:szCs w:val="22"/>
        </w:rPr>
        <w:t xml:space="preserve">MTender partners), including </w:t>
      </w:r>
      <w:r w:rsidR="00270CC7" w:rsidRPr="0088257C">
        <w:rPr>
          <w:sz w:val="22"/>
          <w:szCs w:val="22"/>
        </w:rPr>
        <w:t>continuous monitoring</w:t>
      </w:r>
      <w:r w:rsidR="00535F0A">
        <w:rPr>
          <w:sz w:val="22"/>
          <w:szCs w:val="22"/>
        </w:rPr>
        <w:t>.</w:t>
      </w:r>
    </w:p>
    <w:p w14:paraId="190964B2" w14:textId="77777777" w:rsidR="00124284" w:rsidRPr="0088257C" w:rsidRDefault="0037553C" w:rsidP="0088257C">
      <w:pPr>
        <w:rPr>
          <w:sz w:val="22"/>
          <w:szCs w:val="22"/>
        </w:rPr>
      </w:pPr>
      <w:r w:rsidRPr="0088257C">
        <w:rPr>
          <w:sz w:val="22"/>
          <w:szCs w:val="22"/>
        </w:rPr>
        <w:t xml:space="preserve">The </w:t>
      </w:r>
      <w:r w:rsidR="00952900" w:rsidRPr="0088257C">
        <w:rPr>
          <w:sz w:val="22"/>
          <w:szCs w:val="22"/>
        </w:rPr>
        <w:t xml:space="preserve">Consultant </w:t>
      </w:r>
      <w:r w:rsidRPr="0088257C">
        <w:rPr>
          <w:sz w:val="22"/>
          <w:szCs w:val="22"/>
        </w:rPr>
        <w:t xml:space="preserve">will </w:t>
      </w:r>
      <w:r w:rsidR="00124284" w:rsidRPr="0088257C">
        <w:rPr>
          <w:sz w:val="22"/>
          <w:szCs w:val="22"/>
        </w:rPr>
        <w:t>be responsible for conducting a review of the following areas:</w:t>
      </w:r>
    </w:p>
    <w:p w14:paraId="4AE9DDDD" w14:textId="77777777" w:rsidR="002D6D13" w:rsidRPr="0088257C" w:rsidRDefault="002D6D13" w:rsidP="002D6D13">
      <w:pPr>
        <w:pStyle w:val="Bullets1"/>
        <w:rPr>
          <w:sz w:val="22"/>
          <w:szCs w:val="22"/>
        </w:rPr>
      </w:pPr>
      <w:r w:rsidRPr="0088257C">
        <w:rPr>
          <w:sz w:val="22"/>
          <w:szCs w:val="22"/>
        </w:rPr>
        <w:t xml:space="preserve">Assess Business Requirements documentation to ensure that each requirement is uniquely identified, and cross referenced in the System Specification, if applicable and the Acceptance Test Plan. </w:t>
      </w:r>
    </w:p>
    <w:p w14:paraId="08F1440D" w14:textId="168E7282" w:rsidR="002D6D13" w:rsidRPr="0088257C" w:rsidRDefault="002D6D13" w:rsidP="002D6D13">
      <w:pPr>
        <w:pStyle w:val="Bullets1"/>
        <w:rPr>
          <w:sz w:val="22"/>
          <w:szCs w:val="22"/>
        </w:rPr>
      </w:pPr>
      <w:r>
        <w:rPr>
          <w:sz w:val="22"/>
          <w:szCs w:val="22"/>
        </w:rPr>
        <w:t>Analyse the</w:t>
      </w:r>
      <w:r w:rsidRPr="0088257C">
        <w:rPr>
          <w:sz w:val="22"/>
          <w:szCs w:val="22"/>
        </w:rPr>
        <w:t xml:space="preserve"> Technical documentation of the MTender system and ensure it reflects the complete development and operation of the system.</w:t>
      </w:r>
      <w:r>
        <w:rPr>
          <w:sz w:val="22"/>
          <w:szCs w:val="22"/>
        </w:rPr>
        <w:t xml:space="preserve"> This includes </w:t>
      </w:r>
      <w:r w:rsidRPr="0088257C">
        <w:rPr>
          <w:sz w:val="22"/>
          <w:szCs w:val="22"/>
        </w:rPr>
        <w:t>technical architecture, system specification</w:t>
      </w:r>
      <w:r w:rsidR="00DC41A9">
        <w:rPr>
          <w:sz w:val="22"/>
          <w:szCs w:val="22"/>
        </w:rPr>
        <w:t>s</w:t>
      </w:r>
      <w:r w:rsidRPr="0088257C">
        <w:rPr>
          <w:sz w:val="22"/>
          <w:szCs w:val="22"/>
        </w:rPr>
        <w:t>,</w:t>
      </w:r>
      <w:r w:rsidR="00DC41A9">
        <w:rPr>
          <w:sz w:val="22"/>
          <w:szCs w:val="22"/>
        </w:rPr>
        <w:t xml:space="preserve"> integration</w:t>
      </w:r>
      <w:r w:rsidR="002E34A6">
        <w:rPr>
          <w:sz w:val="22"/>
          <w:szCs w:val="22"/>
        </w:rPr>
        <w:t xml:space="preserve"> requirements</w:t>
      </w:r>
      <w:r w:rsidRPr="0088257C">
        <w:rPr>
          <w:sz w:val="22"/>
          <w:szCs w:val="22"/>
        </w:rPr>
        <w:t xml:space="preserve"> Test Plan Strategy, Test Scripts, Database Dictionary, Acceptance Test Sign Off, Issue Logs, etc.</w:t>
      </w:r>
    </w:p>
    <w:p w14:paraId="1868ACBA" w14:textId="6776DD91" w:rsidR="00C664C3" w:rsidRDefault="000A62A1" w:rsidP="0088257C">
      <w:pPr>
        <w:pStyle w:val="Bullets1"/>
        <w:rPr>
          <w:sz w:val="22"/>
          <w:szCs w:val="22"/>
        </w:rPr>
      </w:pPr>
      <w:r>
        <w:rPr>
          <w:sz w:val="22"/>
          <w:szCs w:val="22"/>
        </w:rPr>
        <w:t xml:space="preserve">Review </w:t>
      </w:r>
      <w:r w:rsidR="00C664C3" w:rsidRPr="0088257C">
        <w:rPr>
          <w:sz w:val="22"/>
          <w:szCs w:val="22"/>
        </w:rPr>
        <w:t>IT system security policy, including 1) IT security function, 2) Network and remote access of the IT system control, 3) Cryptographic key management, 4) Authorization of IT functions (i.e. developers, system administrators etc.), 5) Password policy, 6) Applying malicious code protection and 7) Logical Access Control, etc.</w:t>
      </w:r>
    </w:p>
    <w:p w14:paraId="577D291A" w14:textId="29B9AE0F" w:rsidR="000A62A1" w:rsidRPr="0088257C" w:rsidRDefault="000A62A1" w:rsidP="000A62A1">
      <w:pPr>
        <w:pStyle w:val="Bullets1"/>
        <w:rPr>
          <w:sz w:val="22"/>
          <w:szCs w:val="22"/>
        </w:rPr>
      </w:pPr>
      <w:r w:rsidRPr="0088257C">
        <w:rPr>
          <w:sz w:val="22"/>
          <w:szCs w:val="22"/>
        </w:rPr>
        <w:t>Identify application</w:t>
      </w:r>
      <w:r>
        <w:rPr>
          <w:sz w:val="22"/>
          <w:szCs w:val="22"/>
        </w:rPr>
        <w:t>-</w:t>
      </w:r>
      <w:r w:rsidRPr="0088257C">
        <w:rPr>
          <w:sz w:val="22"/>
          <w:szCs w:val="22"/>
        </w:rPr>
        <w:t>level risks, including:</w:t>
      </w:r>
    </w:p>
    <w:p w14:paraId="779EB152" w14:textId="77777777" w:rsidR="000A62A1" w:rsidRPr="0088257C" w:rsidRDefault="000A62A1" w:rsidP="000A62A1">
      <w:pPr>
        <w:pStyle w:val="Bullets1"/>
        <w:numPr>
          <w:ilvl w:val="1"/>
          <w:numId w:val="10"/>
        </w:numPr>
        <w:rPr>
          <w:sz w:val="22"/>
          <w:szCs w:val="22"/>
        </w:rPr>
      </w:pPr>
      <w:r w:rsidRPr="0088257C">
        <w:rPr>
          <w:sz w:val="22"/>
          <w:szCs w:val="22"/>
        </w:rPr>
        <w:t>System availability risks relating to the lack of systems operational capability;</w:t>
      </w:r>
    </w:p>
    <w:p w14:paraId="1E057FB1" w14:textId="77777777" w:rsidR="000A62A1" w:rsidRPr="0088257C" w:rsidRDefault="000A62A1" w:rsidP="000A62A1">
      <w:pPr>
        <w:pStyle w:val="Bullets1"/>
        <w:numPr>
          <w:ilvl w:val="1"/>
          <w:numId w:val="10"/>
        </w:numPr>
        <w:rPr>
          <w:sz w:val="22"/>
          <w:szCs w:val="22"/>
        </w:rPr>
      </w:pPr>
      <w:r w:rsidRPr="0088257C">
        <w:rPr>
          <w:sz w:val="22"/>
          <w:szCs w:val="22"/>
        </w:rPr>
        <w:lastRenderedPageBreak/>
        <w:t>System security risks relating to unauthorised access to systems and/or data;</w:t>
      </w:r>
    </w:p>
    <w:p w14:paraId="5400682A" w14:textId="77777777" w:rsidR="000A62A1" w:rsidRPr="0088257C" w:rsidRDefault="000A62A1" w:rsidP="000A62A1">
      <w:pPr>
        <w:pStyle w:val="Bullets1"/>
        <w:numPr>
          <w:ilvl w:val="1"/>
          <w:numId w:val="10"/>
        </w:numPr>
        <w:rPr>
          <w:sz w:val="22"/>
          <w:szCs w:val="22"/>
        </w:rPr>
      </w:pPr>
      <w:r w:rsidRPr="0088257C">
        <w:rPr>
          <w:sz w:val="22"/>
          <w:szCs w:val="22"/>
        </w:rPr>
        <w:t>System integrity risks relating to the incomplete, inaccurate, untimely, or unauthorised processing of data;</w:t>
      </w:r>
    </w:p>
    <w:p w14:paraId="2EA8FC4F" w14:textId="77777777" w:rsidR="000A62A1" w:rsidRPr="0088257C" w:rsidRDefault="000A62A1" w:rsidP="000A62A1">
      <w:pPr>
        <w:pStyle w:val="Bullets1"/>
        <w:numPr>
          <w:ilvl w:val="1"/>
          <w:numId w:val="10"/>
        </w:numPr>
        <w:rPr>
          <w:sz w:val="22"/>
          <w:szCs w:val="22"/>
        </w:rPr>
      </w:pPr>
      <w:r w:rsidRPr="0088257C">
        <w:rPr>
          <w:sz w:val="22"/>
          <w:szCs w:val="22"/>
        </w:rPr>
        <w:t>System maintainability risks relating to the inability to update the system when required in a manner that continues to provide for system availability, security, and integrity;</w:t>
      </w:r>
    </w:p>
    <w:p w14:paraId="23E42F81" w14:textId="45856EB6" w:rsidR="000A62A1" w:rsidRDefault="000A62A1" w:rsidP="000A62A1">
      <w:pPr>
        <w:pStyle w:val="Bullets1"/>
        <w:numPr>
          <w:ilvl w:val="1"/>
          <w:numId w:val="10"/>
        </w:numPr>
        <w:rPr>
          <w:sz w:val="22"/>
          <w:szCs w:val="22"/>
        </w:rPr>
      </w:pPr>
      <w:r w:rsidRPr="0088257C">
        <w:rPr>
          <w:sz w:val="22"/>
          <w:szCs w:val="22"/>
        </w:rPr>
        <w:t>Data risks relating to its completeness, integrity, confidentiality, privacy and accuracy.</w:t>
      </w:r>
    </w:p>
    <w:p w14:paraId="1A5D2740" w14:textId="4D5C5ECF" w:rsidR="002D6D13" w:rsidRDefault="000A62A1" w:rsidP="0088257C">
      <w:pPr>
        <w:pStyle w:val="Bullets1"/>
        <w:rPr>
          <w:sz w:val="22"/>
          <w:szCs w:val="22"/>
        </w:rPr>
      </w:pPr>
      <w:r>
        <w:rPr>
          <w:sz w:val="22"/>
          <w:szCs w:val="22"/>
        </w:rPr>
        <w:t>Review MTender operational processes, including:</w:t>
      </w:r>
    </w:p>
    <w:p w14:paraId="29771F61" w14:textId="77777777" w:rsidR="000A62A1" w:rsidRPr="0088257C" w:rsidRDefault="000A62A1" w:rsidP="000A62A1">
      <w:pPr>
        <w:pStyle w:val="Bullets1"/>
        <w:numPr>
          <w:ilvl w:val="1"/>
          <w:numId w:val="10"/>
        </w:numPr>
        <w:rPr>
          <w:sz w:val="22"/>
          <w:szCs w:val="22"/>
        </w:rPr>
      </w:pPr>
      <w:r w:rsidRPr="0088257C">
        <w:rPr>
          <w:iCs w:val="0"/>
          <w:sz w:val="22"/>
          <w:szCs w:val="22"/>
        </w:rPr>
        <w:t xml:space="preserve">Disaster Recovery and Business Continuity </w:t>
      </w:r>
    </w:p>
    <w:p w14:paraId="59FB8602" w14:textId="77777777" w:rsidR="000A62A1" w:rsidRPr="0088257C" w:rsidRDefault="000A62A1" w:rsidP="000A62A1">
      <w:pPr>
        <w:pStyle w:val="Bullets1"/>
        <w:numPr>
          <w:ilvl w:val="1"/>
          <w:numId w:val="10"/>
        </w:numPr>
        <w:rPr>
          <w:sz w:val="22"/>
          <w:szCs w:val="22"/>
        </w:rPr>
      </w:pPr>
      <w:r w:rsidRPr="0088257C">
        <w:rPr>
          <w:sz w:val="22"/>
          <w:szCs w:val="22"/>
        </w:rPr>
        <w:t>Service providers’ relations management</w:t>
      </w:r>
    </w:p>
    <w:p w14:paraId="2150D64B" w14:textId="77777777" w:rsidR="000A62A1" w:rsidRPr="0088257C" w:rsidRDefault="000A62A1" w:rsidP="000A62A1">
      <w:pPr>
        <w:pStyle w:val="Bullets1"/>
        <w:numPr>
          <w:ilvl w:val="1"/>
          <w:numId w:val="10"/>
        </w:numPr>
        <w:rPr>
          <w:sz w:val="22"/>
          <w:szCs w:val="22"/>
        </w:rPr>
      </w:pPr>
      <w:r w:rsidRPr="0088257C">
        <w:rPr>
          <w:sz w:val="22"/>
          <w:szCs w:val="22"/>
        </w:rPr>
        <w:t>Equipment suppliers’ relations management</w:t>
      </w:r>
    </w:p>
    <w:p w14:paraId="3539AD60" w14:textId="77777777" w:rsidR="000A62A1" w:rsidRPr="0088257C" w:rsidRDefault="000A62A1" w:rsidP="000A62A1">
      <w:pPr>
        <w:pStyle w:val="Bullets1"/>
        <w:numPr>
          <w:ilvl w:val="1"/>
          <w:numId w:val="10"/>
        </w:numPr>
        <w:rPr>
          <w:sz w:val="22"/>
          <w:szCs w:val="22"/>
        </w:rPr>
      </w:pPr>
      <w:r w:rsidRPr="0088257C">
        <w:rPr>
          <w:sz w:val="22"/>
          <w:szCs w:val="22"/>
        </w:rPr>
        <w:t>Configuration management</w:t>
      </w:r>
    </w:p>
    <w:p w14:paraId="00BD0336" w14:textId="77777777" w:rsidR="000A62A1" w:rsidRPr="0088257C" w:rsidRDefault="000A62A1" w:rsidP="000A62A1">
      <w:pPr>
        <w:pStyle w:val="Bullets1"/>
        <w:numPr>
          <w:ilvl w:val="1"/>
          <w:numId w:val="10"/>
        </w:numPr>
        <w:rPr>
          <w:sz w:val="22"/>
          <w:szCs w:val="22"/>
        </w:rPr>
      </w:pPr>
      <w:r w:rsidRPr="0088257C">
        <w:rPr>
          <w:sz w:val="22"/>
          <w:szCs w:val="22"/>
        </w:rPr>
        <w:t>Incidents management</w:t>
      </w:r>
    </w:p>
    <w:p w14:paraId="5E0949A1" w14:textId="77777777" w:rsidR="000A62A1" w:rsidRDefault="000A62A1" w:rsidP="000A62A1">
      <w:pPr>
        <w:pStyle w:val="Bullets1"/>
        <w:numPr>
          <w:ilvl w:val="1"/>
          <w:numId w:val="10"/>
        </w:numPr>
        <w:rPr>
          <w:sz w:val="22"/>
          <w:szCs w:val="22"/>
        </w:rPr>
      </w:pPr>
      <w:r w:rsidRPr="0088257C">
        <w:rPr>
          <w:sz w:val="22"/>
          <w:szCs w:val="22"/>
        </w:rPr>
        <w:t>Business Process Evaluation and Risk Management</w:t>
      </w:r>
    </w:p>
    <w:p w14:paraId="55C0C6BE" w14:textId="1A80AD60" w:rsidR="000A62A1" w:rsidRDefault="000A62A1" w:rsidP="000A62A1">
      <w:pPr>
        <w:pStyle w:val="Bullets1"/>
        <w:rPr>
          <w:sz w:val="22"/>
          <w:szCs w:val="22"/>
        </w:rPr>
      </w:pPr>
      <w:r w:rsidRPr="0088257C">
        <w:rPr>
          <w:sz w:val="22"/>
          <w:szCs w:val="22"/>
        </w:rPr>
        <w:t xml:space="preserve">Assess the adequacy of data conversion, the integration of new systems and the ongoing system maintenance process. </w:t>
      </w:r>
    </w:p>
    <w:p w14:paraId="02B7078F" w14:textId="77777777" w:rsidR="00BF21F1" w:rsidRPr="0088257C" w:rsidRDefault="00BF21F1" w:rsidP="0088257C">
      <w:pPr>
        <w:pStyle w:val="Bullets1"/>
        <w:rPr>
          <w:sz w:val="22"/>
          <w:szCs w:val="22"/>
        </w:rPr>
      </w:pPr>
      <w:r w:rsidRPr="0088257C">
        <w:rPr>
          <w:sz w:val="22"/>
          <w:szCs w:val="22"/>
        </w:rPr>
        <w:t xml:space="preserve">Understand the applicability of the various development methodologies and tools e.g. SDLC, Waterfall, Agile etc. </w:t>
      </w:r>
    </w:p>
    <w:p w14:paraId="42A99DF7" w14:textId="77777777" w:rsidR="00BF21F1" w:rsidRPr="0088257C" w:rsidRDefault="00BF21F1" w:rsidP="0088257C">
      <w:pPr>
        <w:pStyle w:val="Bullets1"/>
        <w:rPr>
          <w:sz w:val="22"/>
          <w:szCs w:val="22"/>
        </w:rPr>
      </w:pPr>
      <w:r w:rsidRPr="0088257C">
        <w:rPr>
          <w:sz w:val="22"/>
          <w:szCs w:val="22"/>
        </w:rPr>
        <w:t>Review of the application development and implementation process for appropriate use of:</w:t>
      </w:r>
    </w:p>
    <w:p w14:paraId="001DDC3C"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Application design and architecture based on the associated risks and controls inherent with each approach;</w:t>
      </w:r>
    </w:p>
    <w:p w14:paraId="1496A990"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Application change control both during the development and in the post implementation phase;</w:t>
      </w:r>
    </w:p>
    <w:p w14:paraId="72F3C2E4"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Segregating of duties;</w:t>
      </w:r>
    </w:p>
    <w:p w14:paraId="0C889B46"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Input and output controls;</w:t>
      </w:r>
    </w:p>
    <w:p w14:paraId="6FB98E70"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Quality assurance and testing techniques;</w:t>
      </w:r>
    </w:p>
    <w:p w14:paraId="3C9A5FDD"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Protection of source code and data during development and testing;</w:t>
      </w:r>
    </w:p>
    <w:p w14:paraId="095C80D3"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Documenting business process flows, entity relationships, database structures and modelling techniques;</w:t>
      </w:r>
    </w:p>
    <w:p w14:paraId="3CC6C278" w14:textId="77777777" w:rsidR="00BF21F1" w:rsidRPr="0088257C" w:rsidRDefault="00BF21F1" w:rsidP="0088257C">
      <w:pPr>
        <w:pStyle w:val="ListParagraph"/>
        <w:numPr>
          <w:ilvl w:val="1"/>
          <w:numId w:val="10"/>
        </w:numPr>
        <w:spacing w:before="0" w:after="0"/>
        <w:rPr>
          <w:rFonts w:ascii="Times New Roman" w:hAnsi="Times New Roman"/>
        </w:rPr>
      </w:pPr>
      <w:r w:rsidRPr="0088257C">
        <w:rPr>
          <w:rFonts w:ascii="Times New Roman" w:hAnsi="Times New Roman"/>
        </w:rPr>
        <w:t>Built in controls using file structures, interface design and reporting;</w:t>
      </w:r>
    </w:p>
    <w:p w14:paraId="71637FCD" w14:textId="77777777" w:rsidR="002D6D13" w:rsidRPr="0088257C" w:rsidRDefault="002D6D13" w:rsidP="000A62A1">
      <w:pPr>
        <w:pStyle w:val="Bullets1"/>
        <w:rPr>
          <w:sz w:val="22"/>
          <w:szCs w:val="22"/>
        </w:rPr>
      </w:pPr>
      <w:r w:rsidRPr="0088257C">
        <w:rPr>
          <w:sz w:val="22"/>
          <w:szCs w:val="22"/>
        </w:rPr>
        <w:t xml:space="preserve">Review programming and testing processes at a higher level for adequacy of approach and applied controls. </w:t>
      </w:r>
    </w:p>
    <w:p w14:paraId="7191DFDE" w14:textId="53572D92" w:rsidR="00535F0A" w:rsidRDefault="00BF21F1" w:rsidP="00171B62">
      <w:pPr>
        <w:pStyle w:val="Bullets1"/>
        <w:rPr>
          <w:sz w:val="22"/>
          <w:szCs w:val="22"/>
        </w:rPr>
      </w:pPr>
      <w:r w:rsidRPr="000A62A1">
        <w:rPr>
          <w:iCs w:val="0"/>
          <w:sz w:val="22"/>
          <w:szCs w:val="22"/>
        </w:rPr>
        <w:t xml:space="preserve">Assess build versus buy decision making and the related vendor evaluation and contract negotiations, if applicable. </w:t>
      </w:r>
      <w:r w:rsidR="00171B62" w:rsidRPr="00171B62">
        <w:rPr>
          <w:sz w:val="22"/>
          <w:szCs w:val="22"/>
        </w:rPr>
        <w:t>R</w:t>
      </w:r>
      <w:r w:rsidR="00535F0A" w:rsidRPr="00171B62">
        <w:rPr>
          <w:sz w:val="22"/>
          <w:szCs w:val="22"/>
        </w:rPr>
        <w:t>eview application development methodologies and practices to improve subsequent system developments</w:t>
      </w:r>
      <w:r w:rsidR="00171B62">
        <w:rPr>
          <w:sz w:val="22"/>
          <w:szCs w:val="22"/>
        </w:rPr>
        <w:t>, in respect to</w:t>
      </w:r>
      <w:r w:rsidR="00171B62" w:rsidRPr="00171B62">
        <w:rPr>
          <w:sz w:val="22"/>
          <w:szCs w:val="22"/>
        </w:rPr>
        <w:t xml:space="preserve">: </w:t>
      </w:r>
      <w:r w:rsidR="00535F0A" w:rsidRPr="00171B62">
        <w:rPr>
          <w:sz w:val="22"/>
          <w:szCs w:val="22"/>
        </w:rPr>
        <w:t xml:space="preserve"> </w:t>
      </w:r>
    </w:p>
    <w:p w14:paraId="04B72B68" w14:textId="77777777" w:rsidR="00171B62" w:rsidRPr="00171B62" w:rsidRDefault="00171B62" w:rsidP="00171B62">
      <w:pPr>
        <w:pStyle w:val="Bullets1"/>
        <w:numPr>
          <w:ilvl w:val="1"/>
          <w:numId w:val="10"/>
        </w:numPr>
        <w:rPr>
          <w:sz w:val="22"/>
          <w:szCs w:val="22"/>
        </w:rPr>
      </w:pPr>
      <w:r w:rsidRPr="00171B62">
        <w:rPr>
          <w:sz w:val="22"/>
          <w:szCs w:val="22"/>
        </w:rPr>
        <w:t xml:space="preserve">Disaster Recovery and Business Continuity </w:t>
      </w:r>
    </w:p>
    <w:p w14:paraId="0208D8C0" w14:textId="77777777" w:rsidR="00171B62" w:rsidRPr="00171B62" w:rsidRDefault="00171B62" w:rsidP="00171B62">
      <w:pPr>
        <w:pStyle w:val="Bullets1"/>
        <w:numPr>
          <w:ilvl w:val="1"/>
          <w:numId w:val="10"/>
        </w:numPr>
        <w:rPr>
          <w:sz w:val="22"/>
          <w:szCs w:val="22"/>
        </w:rPr>
      </w:pPr>
      <w:r w:rsidRPr="00171B62">
        <w:rPr>
          <w:sz w:val="22"/>
          <w:szCs w:val="22"/>
        </w:rPr>
        <w:t>Service providers’ relations management</w:t>
      </w:r>
    </w:p>
    <w:p w14:paraId="286FF86C" w14:textId="77777777" w:rsidR="00171B62" w:rsidRPr="00171B62" w:rsidRDefault="00171B62" w:rsidP="00171B62">
      <w:pPr>
        <w:pStyle w:val="Bullets1"/>
        <w:numPr>
          <w:ilvl w:val="1"/>
          <w:numId w:val="10"/>
        </w:numPr>
        <w:rPr>
          <w:sz w:val="22"/>
          <w:szCs w:val="22"/>
        </w:rPr>
      </w:pPr>
      <w:r w:rsidRPr="00171B62">
        <w:rPr>
          <w:sz w:val="22"/>
          <w:szCs w:val="22"/>
        </w:rPr>
        <w:t>Equipment suppliers’ relations management</w:t>
      </w:r>
    </w:p>
    <w:p w14:paraId="6A9A0354" w14:textId="77777777" w:rsidR="00171B62" w:rsidRPr="00171B62" w:rsidRDefault="00171B62" w:rsidP="00171B62">
      <w:pPr>
        <w:pStyle w:val="Bullets1"/>
        <w:numPr>
          <w:ilvl w:val="1"/>
          <w:numId w:val="10"/>
        </w:numPr>
        <w:rPr>
          <w:sz w:val="22"/>
          <w:szCs w:val="22"/>
        </w:rPr>
      </w:pPr>
      <w:r w:rsidRPr="00171B62">
        <w:rPr>
          <w:sz w:val="22"/>
          <w:szCs w:val="22"/>
        </w:rPr>
        <w:t>Configuration management</w:t>
      </w:r>
    </w:p>
    <w:p w14:paraId="317E91EC" w14:textId="77777777" w:rsidR="00171B62" w:rsidRPr="00171B62" w:rsidRDefault="00171B62" w:rsidP="00171B62">
      <w:pPr>
        <w:pStyle w:val="Bullets1"/>
        <w:numPr>
          <w:ilvl w:val="1"/>
          <w:numId w:val="10"/>
        </w:numPr>
        <w:rPr>
          <w:sz w:val="22"/>
          <w:szCs w:val="22"/>
        </w:rPr>
      </w:pPr>
      <w:r w:rsidRPr="00171B62">
        <w:rPr>
          <w:sz w:val="22"/>
          <w:szCs w:val="22"/>
        </w:rPr>
        <w:t>Incidents management</w:t>
      </w:r>
    </w:p>
    <w:p w14:paraId="735ED92A" w14:textId="5FB0CD7E" w:rsidR="00171B62" w:rsidRPr="00171B62" w:rsidRDefault="00171B62" w:rsidP="00171B62">
      <w:pPr>
        <w:pStyle w:val="Bullets1"/>
        <w:numPr>
          <w:ilvl w:val="1"/>
          <w:numId w:val="10"/>
        </w:numPr>
        <w:rPr>
          <w:sz w:val="22"/>
          <w:szCs w:val="22"/>
        </w:rPr>
      </w:pPr>
      <w:r w:rsidRPr="00171B62">
        <w:rPr>
          <w:sz w:val="22"/>
          <w:szCs w:val="22"/>
        </w:rPr>
        <w:t>Business Process Evaluation and Risk Management</w:t>
      </w:r>
    </w:p>
    <w:p w14:paraId="3B4217A5" w14:textId="77777777" w:rsidR="00535F0A" w:rsidRDefault="00535F0A" w:rsidP="00535F0A">
      <w:pPr>
        <w:pStyle w:val="Bullets1"/>
        <w:numPr>
          <w:ilvl w:val="0"/>
          <w:numId w:val="0"/>
        </w:numPr>
        <w:ind w:left="360"/>
        <w:rPr>
          <w:iCs w:val="0"/>
          <w:sz w:val="22"/>
          <w:szCs w:val="22"/>
        </w:rPr>
      </w:pPr>
    </w:p>
    <w:p w14:paraId="2C7EC5B8" w14:textId="77777777" w:rsidR="0037553C" w:rsidRPr="0088257C" w:rsidRDefault="0037553C" w:rsidP="0088257C">
      <w:pPr>
        <w:pStyle w:val="Heading1"/>
        <w:numPr>
          <w:ilvl w:val="0"/>
          <w:numId w:val="1"/>
        </w:numPr>
        <w:rPr>
          <w:sz w:val="22"/>
          <w:szCs w:val="22"/>
        </w:rPr>
      </w:pPr>
      <w:r w:rsidRPr="0088257C">
        <w:rPr>
          <w:sz w:val="22"/>
          <w:szCs w:val="22"/>
        </w:rPr>
        <w:t>Outputs</w:t>
      </w:r>
    </w:p>
    <w:p w14:paraId="1673F119" w14:textId="23083C37" w:rsidR="0037553C" w:rsidRDefault="00124284" w:rsidP="0088257C">
      <w:pPr>
        <w:rPr>
          <w:sz w:val="22"/>
          <w:szCs w:val="22"/>
        </w:rPr>
      </w:pPr>
      <w:r w:rsidRPr="0088257C">
        <w:rPr>
          <w:sz w:val="22"/>
          <w:szCs w:val="22"/>
        </w:rPr>
        <w:t xml:space="preserve">Upon completion of the above Scope of Work, the Consultant </w:t>
      </w:r>
      <w:r w:rsidR="00C664C3" w:rsidRPr="0088257C">
        <w:rPr>
          <w:sz w:val="22"/>
          <w:szCs w:val="22"/>
        </w:rPr>
        <w:t>should issue the EB</w:t>
      </w:r>
      <w:r w:rsidRPr="0088257C">
        <w:rPr>
          <w:sz w:val="22"/>
          <w:szCs w:val="22"/>
        </w:rPr>
        <w:t xml:space="preserve">RD a </w:t>
      </w:r>
      <w:r w:rsidR="00270CC7">
        <w:rPr>
          <w:sz w:val="22"/>
          <w:szCs w:val="22"/>
        </w:rPr>
        <w:t xml:space="preserve">Draft </w:t>
      </w:r>
      <w:r w:rsidRPr="0088257C">
        <w:rPr>
          <w:sz w:val="22"/>
          <w:szCs w:val="22"/>
        </w:rPr>
        <w:t>Audit Report detailing key findings, risks</w:t>
      </w:r>
      <w:r w:rsidR="000F4434" w:rsidRPr="0088257C">
        <w:rPr>
          <w:sz w:val="22"/>
          <w:szCs w:val="22"/>
        </w:rPr>
        <w:t xml:space="preserve">, </w:t>
      </w:r>
      <w:r w:rsidRPr="0088257C">
        <w:rPr>
          <w:sz w:val="22"/>
          <w:szCs w:val="22"/>
        </w:rPr>
        <w:t>practical recommendations</w:t>
      </w:r>
      <w:r w:rsidR="000F4434" w:rsidRPr="0088257C">
        <w:rPr>
          <w:sz w:val="22"/>
          <w:szCs w:val="22"/>
        </w:rPr>
        <w:t xml:space="preserve"> and conclusions</w:t>
      </w:r>
      <w:r w:rsidRPr="0088257C">
        <w:rPr>
          <w:sz w:val="22"/>
          <w:szCs w:val="22"/>
        </w:rPr>
        <w:t xml:space="preserve"> for </w:t>
      </w:r>
      <w:r w:rsidR="00073D15" w:rsidRPr="0088257C">
        <w:rPr>
          <w:sz w:val="22"/>
          <w:szCs w:val="22"/>
        </w:rPr>
        <w:t>mitigating risks</w:t>
      </w:r>
      <w:r w:rsidR="000F4434" w:rsidRPr="0088257C">
        <w:rPr>
          <w:sz w:val="22"/>
          <w:szCs w:val="22"/>
        </w:rPr>
        <w:t>,</w:t>
      </w:r>
      <w:r w:rsidR="00073D15" w:rsidRPr="0088257C">
        <w:rPr>
          <w:sz w:val="22"/>
          <w:szCs w:val="22"/>
        </w:rPr>
        <w:t xml:space="preserve"> </w:t>
      </w:r>
      <w:r w:rsidRPr="0088257C">
        <w:rPr>
          <w:sz w:val="22"/>
          <w:szCs w:val="22"/>
        </w:rPr>
        <w:t xml:space="preserve">improving </w:t>
      </w:r>
      <w:r w:rsidR="000F4434" w:rsidRPr="0088257C">
        <w:rPr>
          <w:sz w:val="22"/>
          <w:szCs w:val="22"/>
        </w:rPr>
        <w:t xml:space="preserve">controls, </w:t>
      </w:r>
      <w:r w:rsidR="00DB03C5" w:rsidRPr="0088257C">
        <w:rPr>
          <w:sz w:val="22"/>
          <w:szCs w:val="22"/>
        </w:rPr>
        <w:t xml:space="preserve">quality, security and architectural issues of MTender. The Consultant should also review the </w:t>
      </w:r>
      <w:r w:rsidR="00270CC7">
        <w:rPr>
          <w:sz w:val="22"/>
          <w:szCs w:val="22"/>
        </w:rPr>
        <w:t xml:space="preserve">MTender system documentation, as appropriate for distributed architecture system </w:t>
      </w:r>
      <w:r w:rsidR="00DB03C5" w:rsidRPr="0088257C">
        <w:rPr>
          <w:sz w:val="22"/>
          <w:szCs w:val="22"/>
        </w:rPr>
        <w:t>and identify missing key points and provide recommendations for its improvement.</w:t>
      </w:r>
      <w:r w:rsidR="000F4434" w:rsidRPr="0088257C">
        <w:rPr>
          <w:sz w:val="22"/>
          <w:szCs w:val="22"/>
        </w:rPr>
        <w:t xml:space="preserve"> </w:t>
      </w:r>
    </w:p>
    <w:p w14:paraId="78F509F8" w14:textId="77777777" w:rsidR="00270CC7" w:rsidRDefault="00270CC7" w:rsidP="0088257C">
      <w:pPr>
        <w:rPr>
          <w:sz w:val="22"/>
          <w:szCs w:val="22"/>
        </w:rPr>
      </w:pPr>
      <w:r>
        <w:rPr>
          <w:sz w:val="22"/>
          <w:szCs w:val="22"/>
        </w:rPr>
        <w:t>A Draft Audit Report will be presented to the MTender pilot partners (</w:t>
      </w:r>
      <w:r w:rsidRPr="0088257C">
        <w:rPr>
          <w:sz w:val="22"/>
          <w:szCs w:val="22"/>
        </w:rPr>
        <w:t>Ministry of Finance of Moldova</w:t>
      </w:r>
      <w:r>
        <w:rPr>
          <w:sz w:val="22"/>
          <w:szCs w:val="22"/>
        </w:rPr>
        <w:t>, NEPPs and the MTender Operator</w:t>
      </w:r>
      <w:r w:rsidRPr="0088257C">
        <w:rPr>
          <w:sz w:val="22"/>
          <w:szCs w:val="22"/>
        </w:rPr>
        <w:t>)</w:t>
      </w:r>
      <w:r>
        <w:rPr>
          <w:sz w:val="22"/>
          <w:szCs w:val="22"/>
        </w:rPr>
        <w:t xml:space="preserve"> for review and comments to be provided within 14 calendar days. </w:t>
      </w:r>
    </w:p>
    <w:p w14:paraId="6B8C70A4" w14:textId="77777777" w:rsidR="004142BD" w:rsidRDefault="00270CC7" w:rsidP="0088257C">
      <w:pPr>
        <w:rPr>
          <w:sz w:val="22"/>
          <w:szCs w:val="22"/>
        </w:rPr>
      </w:pPr>
      <w:r>
        <w:rPr>
          <w:sz w:val="22"/>
          <w:szCs w:val="22"/>
        </w:rPr>
        <w:t xml:space="preserve">Upon receiving the feedback, the Consultant will prepare a Final Audit Report </w:t>
      </w:r>
      <w:r w:rsidR="00D174FD">
        <w:rPr>
          <w:sz w:val="22"/>
          <w:szCs w:val="22"/>
        </w:rPr>
        <w:t>and submit it to the EBRD and the MTender pilot partners.</w:t>
      </w:r>
    </w:p>
    <w:p w14:paraId="05CA4608" w14:textId="77777777" w:rsidR="00D174FD" w:rsidRPr="0088257C" w:rsidRDefault="00D174FD" w:rsidP="0088257C">
      <w:pPr>
        <w:rPr>
          <w:sz w:val="22"/>
          <w:szCs w:val="22"/>
        </w:rPr>
      </w:pPr>
    </w:p>
    <w:p w14:paraId="3BED5D86" w14:textId="77777777" w:rsidR="0037553C" w:rsidRPr="0088257C" w:rsidRDefault="0037553C" w:rsidP="0088257C">
      <w:pPr>
        <w:pStyle w:val="Heading1"/>
        <w:numPr>
          <w:ilvl w:val="0"/>
          <w:numId w:val="1"/>
        </w:numPr>
        <w:rPr>
          <w:sz w:val="22"/>
          <w:szCs w:val="22"/>
        </w:rPr>
      </w:pPr>
      <w:r w:rsidRPr="0088257C">
        <w:rPr>
          <w:sz w:val="22"/>
          <w:szCs w:val="22"/>
        </w:rPr>
        <w:t>Institutional arrangements</w:t>
      </w:r>
    </w:p>
    <w:p w14:paraId="1C29B580" w14:textId="77777777" w:rsidR="00D174FD" w:rsidRDefault="002648AC" w:rsidP="0088257C">
      <w:pPr>
        <w:rPr>
          <w:sz w:val="22"/>
          <w:szCs w:val="22"/>
          <w:lang w:eastAsia="zh-CN"/>
        </w:rPr>
      </w:pPr>
      <w:r w:rsidRPr="0088257C">
        <w:rPr>
          <w:sz w:val="22"/>
          <w:szCs w:val="22"/>
        </w:rPr>
        <w:t xml:space="preserve">The </w:t>
      </w:r>
      <w:r w:rsidR="00952900" w:rsidRPr="0088257C">
        <w:rPr>
          <w:sz w:val="22"/>
          <w:szCs w:val="22"/>
        </w:rPr>
        <w:t xml:space="preserve">Consultant </w:t>
      </w:r>
      <w:r w:rsidRPr="0088257C">
        <w:rPr>
          <w:sz w:val="22"/>
          <w:szCs w:val="22"/>
        </w:rPr>
        <w:t xml:space="preserve">will work under the direct supervision of the </w:t>
      </w:r>
      <w:r w:rsidR="00D174FD">
        <w:rPr>
          <w:sz w:val="22"/>
          <w:szCs w:val="22"/>
          <w:lang w:eastAsia="zh-CN"/>
        </w:rPr>
        <w:t>e-Government Agency of Moldova and together with representatives of the Ministry of Finance, the MTender Operator and the EBRD TC project team responsible for the MTender pilot.</w:t>
      </w:r>
    </w:p>
    <w:p w14:paraId="07249E7C" w14:textId="77777777" w:rsidR="0037553C" w:rsidRPr="0088257C" w:rsidRDefault="0037553C" w:rsidP="0088257C">
      <w:pPr>
        <w:rPr>
          <w:sz w:val="22"/>
          <w:szCs w:val="22"/>
        </w:rPr>
      </w:pPr>
    </w:p>
    <w:p w14:paraId="22E0AA41" w14:textId="77777777" w:rsidR="0037553C" w:rsidRPr="0088257C" w:rsidRDefault="0037553C" w:rsidP="0088257C">
      <w:pPr>
        <w:pStyle w:val="Heading1"/>
        <w:numPr>
          <w:ilvl w:val="0"/>
          <w:numId w:val="1"/>
        </w:numPr>
        <w:rPr>
          <w:sz w:val="22"/>
          <w:szCs w:val="22"/>
        </w:rPr>
      </w:pPr>
      <w:r w:rsidRPr="0088257C">
        <w:rPr>
          <w:sz w:val="22"/>
          <w:szCs w:val="22"/>
        </w:rPr>
        <w:t>Resources</w:t>
      </w:r>
    </w:p>
    <w:p w14:paraId="1FF043BA" w14:textId="77777777" w:rsidR="00D174FD" w:rsidRDefault="00271360" w:rsidP="0088257C">
      <w:pPr>
        <w:rPr>
          <w:sz w:val="22"/>
          <w:szCs w:val="22"/>
        </w:rPr>
      </w:pPr>
      <w:r w:rsidRPr="0088257C">
        <w:rPr>
          <w:sz w:val="22"/>
          <w:szCs w:val="22"/>
        </w:rPr>
        <w:t xml:space="preserve">The </w:t>
      </w:r>
      <w:r w:rsidR="00952900" w:rsidRPr="0088257C">
        <w:rPr>
          <w:sz w:val="22"/>
          <w:szCs w:val="22"/>
        </w:rPr>
        <w:t xml:space="preserve">Consultant </w:t>
      </w:r>
      <w:r w:rsidRPr="0088257C">
        <w:rPr>
          <w:sz w:val="22"/>
          <w:szCs w:val="22"/>
        </w:rPr>
        <w:t xml:space="preserve">will use his or her own resources regarding working space, office equipment and communication facilities (including access to the Internet), since this is an off-site position. </w:t>
      </w:r>
    </w:p>
    <w:p w14:paraId="5F62EE51" w14:textId="77777777" w:rsidR="002648AC" w:rsidRPr="0088257C" w:rsidRDefault="00271360" w:rsidP="0088257C">
      <w:pPr>
        <w:rPr>
          <w:sz w:val="22"/>
          <w:szCs w:val="22"/>
        </w:rPr>
      </w:pPr>
      <w:r w:rsidRPr="0088257C">
        <w:rPr>
          <w:sz w:val="22"/>
          <w:szCs w:val="22"/>
        </w:rPr>
        <w:t xml:space="preserve">When the </w:t>
      </w:r>
      <w:r w:rsidR="00952900" w:rsidRPr="0088257C">
        <w:rPr>
          <w:sz w:val="22"/>
          <w:szCs w:val="22"/>
        </w:rPr>
        <w:t xml:space="preserve">Consultant </w:t>
      </w:r>
      <w:r w:rsidRPr="0088257C">
        <w:rPr>
          <w:sz w:val="22"/>
          <w:szCs w:val="22"/>
        </w:rPr>
        <w:t xml:space="preserve">is required to travel, the EBRD will cover the </w:t>
      </w:r>
      <w:r w:rsidR="00D174FD">
        <w:rPr>
          <w:sz w:val="22"/>
          <w:szCs w:val="22"/>
        </w:rPr>
        <w:t xml:space="preserve">travel and accommodation </w:t>
      </w:r>
      <w:r w:rsidRPr="0088257C">
        <w:rPr>
          <w:sz w:val="22"/>
          <w:szCs w:val="22"/>
        </w:rPr>
        <w:t xml:space="preserve">expenses. When work within the premises </w:t>
      </w:r>
      <w:r w:rsidR="00D174FD">
        <w:rPr>
          <w:sz w:val="22"/>
          <w:szCs w:val="22"/>
        </w:rPr>
        <w:t xml:space="preserve">of the MTender Operator </w:t>
      </w:r>
      <w:r w:rsidRPr="0088257C">
        <w:rPr>
          <w:sz w:val="22"/>
          <w:szCs w:val="22"/>
        </w:rPr>
        <w:t xml:space="preserve">is requested, resources will be provided by the </w:t>
      </w:r>
      <w:r w:rsidR="00D174FD">
        <w:rPr>
          <w:sz w:val="22"/>
          <w:szCs w:val="22"/>
          <w:lang w:eastAsia="zh-CN"/>
        </w:rPr>
        <w:t xml:space="preserve">Ministry of Finance of Moldova. </w:t>
      </w:r>
    </w:p>
    <w:p w14:paraId="715D78A8" w14:textId="77777777" w:rsidR="00C946B1" w:rsidRPr="0088257C" w:rsidRDefault="00C946B1" w:rsidP="0088257C">
      <w:pPr>
        <w:rPr>
          <w:sz w:val="22"/>
          <w:szCs w:val="22"/>
        </w:rPr>
      </w:pPr>
    </w:p>
    <w:p w14:paraId="29EAC011" w14:textId="77777777" w:rsidR="0037553C" w:rsidRPr="0088257C" w:rsidRDefault="0037553C" w:rsidP="0088257C">
      <w:pPr>
        <w:pStyle w:val="Heading1"/>
        <w:numPr>
          <w:ilvl w:val="0"/>
          <w:numId w:val="1"/>
        </w:numPr>
        <w:rPr>
          <w:sz w:val="22"/>
          <w:szCs w:val="22"/>
        </w:rPr>
      </w:pPr>
      <w:r w:rsidRPr="0088257C">
        <w:rPr>
          <w:sz w:val="22"/>
          <w:szCs w:val="22"/>
        </w:rPr>
        <w:t>Qualification requirements and evaluation criteria</w:t>
      </w:r>
    </w:p>
    <w:p w14:paraId="2DD7098B" w14:textId="0DFAD85C" w:rsidR="00C664C3" w:rsidRPr="0088257C" w:rsidRDefault="00D174FD" w:rsidP="0088257C">
      <w:pPr>
        <w:pStyle w:val="Bullets1"/>
        <w:rPr>
          <w:rStyle w:val="HTMLTypewriter"/>
          <w:rFonts w:ascii="Times New Roman" w:eastAsia="MS Mincho" w:hAnsi="Times New Roman" w:cs="Times New Roman"/>
          <w:sz w:val="22"/>
          <w:szCs w:val="22"/>
        </w:rPr>
      </w:pPr>
      <w:r>
        <w:rPr>
          <w:rStyle w:val="HTMLTypewriter"/>
          <w:rFonts w:ascii="Times New Roman" w:eastAsia="MS Mincho" w:hAnsi="Times New Roman" w:cs="Times New Roman"/>
          <w:sz w:val="22"/>
          <w:szCs w:val="22"/>
        </w:rPr>
        <w:t xml:space="preserve">The </w:t>
      </w:r>
      <w:r w:rsidR="00C664C3" w:rsidRPr="0088257C">
        <w:rPr>
          <w:rStyle w:val="HTMLTypewriter"/>
          <w:rFonts w:ascii="Times New Roman" w:eastAsia="MS Mincho" w:hAnsi="Times New Roman" w:cs="Times New Roman"/>
          <w:sz w:val="22"/>
          <w:szCs w:val="22"/>
        </w:rPr>
        <w:t xml:space="preserve">Consultant </w:t>
      </w:r>
      <w:r>
        <w:rPr>
          <w:rStyle w:val="HTMLTypewriter"/>
          <w:rFonts w:ascii="Times New Roman" w:eastAsia="MS Mincho" w:hAnsi="Times New Roman" w:cs="Times New Roman"/>
          <w:sz w:val="22"/>
          <w:szCs w:val="22"/>
        </w:rPr>
        <w:t xml:space="preserve">shall be </w:t>
      </w:r>
      <w:r w:rsidR="000A62A1">
        <w:rPr>
          <w:rStyle w:val="HTMLTypewriter"/>
          <w:rFonts w:ascii="Times New Roman" w:eastAsia="MS Mincho" w:hAnsi="Times New Roman" w:cs="Times New Roman"/>
          <w:sz w:val="22"/>
          <w:szCs w:val="22"/>
        </w:rPr>
        <w:t xml:space="preserve">an </w:t>
      </w:r>
      <w:r w:rsidR="00C664C3" w:rsidRPr="0088257C">
        <w:rPr>
          <w:rStyle w:val="HTMLTypewriter"/>
          <w:rFonts w:ascii="Times New Roman" w:eastAsia="MS Mincho" w:hAnsi="Times New Roman" w:cs="Times New Roman"/>
          <w:sz w:val="22"/>
          <w:szCs w:val="22"/>
        </w:rPr>
        <w:t>independent professional</w:t>
      </w:r>
      <w:r>
        <w:rPr>
          <w:rStyle w:val="HTMLTypewriter"/>
          <w:rFonts w:ascii="Times New Roman" w:eastAsia="MS Mincho" w:hAnsi="Times New Roman" w:cs="Times New Roman"/>
          <w:sz w:val="22"/>
          <w:szCs w:val="22"/>
        </w:rPr>
        <w:t xml:space="preserve">, </w:t>
      </w:r>
      <w:r w:rsidR="00C664C3" w:rsidRPr="0088257C">
        <w:rPr>
          <w:rStyle w:val="HTMLTypewriter"/>
          <w:rFonts w:ascii="Times New Roman" w:eastAsia="MS Mincho" w:hAnsi="Times New Roman" w:cs="Times New Roman"/>
          <w:sz w:val="22"/>
          <w:szCs w:val="22"/>
        </w:rPr>
        <w:t xml:space="preserve">with no </w:t>
      </w:r>
      <w:r>
        <w:rPr>
          <w:rStyle w:val="HTMLTypewriter"/>
          <w:rFonts w:ascii="Times New Roman" w:eastAsia="MS Mincho" w:hAnsi="Times New Roman" w:cs="Times New Roman"/>
          <w:sz w:val="22"/>
          <w:szCs w:val="22"/>
        </w:rPr>
        <w:t xml:space="preserve">prior </w:t>
      </w:r>
      <w:r w:rsidR="00C664C3" w:rsidRPr="0088257C">
        <w:rPr>
          <w:rStyle w:val="HTMLTypewriter"/>
          <w:rFonts w:ascii="Times New Roman" w:eastAsia="MS Mincho" w:hAnsi="Times New Roman" w:cs="Times New Roman"/>
          <w:sz w:val="22"/>
          <w:szCs w:val="22"/>
        </w:rPr>
        <w:t xml:space="preserve">involvement in </w:t>
      </w:r>
      <w:r>
        <w:rPr>
          <w:rStyle w:val="HTMLTypewriter"/>
          <w:rFonts w:ascii="Times New Roman" w:eastAsia="MS Mincho" w:hAnsi="Times New Roman" w:cs="Times New Roman"/>
          <w:sz w:val="22"/>
          <w:szCs w:val="22"/>
        </w:rPr>
        <w:t xml:space="preserve">piloting of the </w:t>
      </w:r>
      <w:r w:rsidRPr="0088257C">
        <w:rPr>
          <w:rStyle w:val="HTMLTypewriter"/>
          <w:rFonts w:ascii="Times New Roman" w:eastAsia="MS Mincho" w:hAnsi="Times New Roman" w:cs="Times New Roman"/>
          <w:sz w:val="22"/>
          <w:szCs w:val="22"/>
        </w:rPr>
        <w:t>MTender</w:t>
      </w:r>
      <w:r>
        <w:rPr>
          <w:rStyle w:val="HTMLTypewriter"/>
          <w:rFonts w:ascii="Times New Roman" w:eastAsia="MS Mincho" w:hAnsi="Times New Roman" w:cs="Times New Roman"/>
          <w:sz w:val="22"/>
          <w:szCs w:val="22"/>
        </w:rPr>
        <w:t xml:space="preserve"> nor any other </w:t>
      </w:r>
      <w:r w:rsidR="00C664C3" w:rsidRPr="0088257C">
        <w:rPr>
          <w:rStyle w:val="HTMLTypewriter"/>
          <w:rFonts w:ascii="Times New Roman" w:eastAsia="MS Mincho" w:hAnsi="Times New Roman" w:cs="Times New Roman"/>
          <w:sz w:val="22"/>
          <w:szCs w:val="22"/>
        </w:rPr>
        <w:t xml:space="preserve">eProcurement </w:t>
      </w:r>
      <w:r>
        <w:rPr>
          <w:rStyle w:val="HTMLTypewriter"/>
          <w:rFonts w:ascii="Times New Roman" w:eastAsia="MS Mincho" w:hAnsi="Times New Roman" w:cs="Times New Roman"/>
          <w:sz w:val="22"/>
          <w:szCs w:val="22"/>
        </w:rPr>
        <w:t xml:space="preserve">or OCDS implementation </w:t>
      </w:r>
      <w:r w:rsidR="00C664C3" w:rsidRPr="0088257C">
        <w:rPr>
          <w:rStyle w:val="HTMLTypewriter"/>
          <w:rFonts w:ascii="Times New Roman" w:eastAsia="MS Mincho" w:hAnsi="Times New Roman" w:cs="Times New Roman"/>
          <w:sz w:val="22"/>
          <w:szCs w:val="22"/>
        </w:rPr>
        <w:t>in Moldova and bear</w:t>
      </w:r>
      <w:r>
        <w:rPr>
          <w:rStyle w:val="HTMLTypewriter"/>
          <w:rFonts w:ascii="Times New Roman" w:eastAsia="MS Mincho" w:hAnsi="Times New Roman" w:cs="Times New Roman"/>
          <w:sz w:val="22"/>
          <w:szCs w:val="22"/>
        </w:rPr>
        <w:t xml:space="preserve">ing </w:t>
      </w:r>
      <w:r w:rsidR="00C664C3" w:rsidRPr="0088257C">
        <w:rPr>
          <w:rStyle w:val="HTMLTypewriter"/>
          <w:rFonts w:ascii="Times New Roman" w:eastAsia="MS Mincho" w:hAnsi="Times New Roman" w:cs="Times New Roman"/>
          <w:sz w:val="22"/>
          <w:szCs w:val="22"/>
        </w:rPr>
        <w:t>no conflict of interest for the performance of the audit.</w:t>
      </w:r>
    </w:p>
    <w:p w14:paraId="2D95EA45" w14:textId="77777777" w:rsidR="000F4434" w:rsidRDefault="000F4434"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A good understanding of IT Governance requirements including some experience of performing other similar</w:t>
      </w:r>
      <w:r w:rsidR="00D174FD">
        <w:rPr>
          <w:rStyle w:val="HTMLTypewriter"/>
          <w:rFonts w:ascii="Times New Roman" w:eastAsia="MS Mincho" w:hAnsi="Times New Roman" w:cs="Times New Roman"/>
          <w:sz w:val="22"/>
          <w:szCs w:val="22"/>
        </w:rPr>
        <w:t xml:space="preserve"> a</w:t>
      </w:r>
      <w:r w:rsidRPr="0088257C">
        <w:rPr>
          <w:rStyle w:val="HTMLTypewriter"/>
          <w:rFonts w:ascii="Times New Roman" w:eastAsia="MS Mincho" w:hAnsi="Times New Roman" w:cs="Times New Roman"/>
          <w:sz w:val="22"/>
          <w:szCs w:val="22"/>
        </w:rPr>
        <w:t xml:space="preserve">udit assignments that have involved the use </w:t>
      </w:r>
      <w:r w:rsidR="0001516E" w:rsidRPr="0088257C">
        <w:rPr>
          <w:rStyle w:val="HTMLTypewriter"/>
          <w:rFonts w:ascii="Times New Roman" w:eastAsia="MS Mincho" w:hAnsi="Times New Roman" w:cs="Times New Roman"/>
          <w:sz w:val="22"/>
          <w:szCs w:val="22"/>
        </w:rPr>
        <w:t>‘</w:t>
      </w:r>
      <w:r w:rsidRPr="0088257C">
        <w:rPr>
          <w:rStyle w:val="HTMLTypewriter"/>
          <w:rFonts w:ascii="Times New Roman" w:eastAsia="MS Mincho" w:hAnsi="Times New Roman" w:cs="Times New Roman"/>
          <w:sz w:val="22"/>
          <w:szCs w:val="22"/>
        </w:rPr>
        <w:t>best practice</w:t>
      </w:r>
      <w:r w:rsidR="0001516E" w:rsidRPr="0088257C">
        <w:rPr>
          <w:rStyle w:val="HTMLTypewriter"/>
          <w:rFonts w:ascii="Times New Roman" w:eastAsia="MS Mincho" w:hAnsi="Times New Roman" w:cs="Times New Roman"/>
          <w:sz w:val="22"/>
          <w:szCs w:val="22"/>
        </w:rPr>
        <w:t>’</w:t>
      </w:r>
      <w:r w:rsidRPr="0088257C">
        <w:rPr>
          <w:rStyle w:val="HTMLTypewriter"/>
          <w:rFonts w:ascii="Times New Roman" w:eastAsia="MS Mincho" w:hAnsi="Times New Roman" w:cs="Times New Roman"/>
          <w:sz w:val="22"/>
          <w:szCs w:val="22"/>
        </w:rPr>
        <w:t xml:space="preserve"> i.e. ISACA</w:t>
      </w:r>
      <w:r w:rsidR="0001516E" w:rsidRPr="0088257C">
        <w:rPr>
          <w:rStyle w:val="HTMLTypewriter"/>
          <w:rFonts w:ascii="Times New Roman" w:eastAsia="MS Mincho" w:hAnsi="Times New Roman" w:cs="Times New Roman"/>
          <w:sz w:val="22"/>
          <w:szCs w:val="22"/>
        </w:rPr>
        <w:t>, COBIT;</w:t>
      </w:r>
    </w:p>
    <w:p w14:paraId="6B492B8F" w14:textId="77777777" w:rsidR="00D174FD" w:rsidRPr="0088257C" w:rsidRDefault="00D174FD" w:rsidP="0088257C">
      <w:pPr>
        <w:pStyle w:val="Bullets1"/>
        <w:rPr>
          <w:rStyle w:val="HTMLTypewriter"/>
          <w:rFonts w:ascii="Times New Roman" w:eastAsia="MS Mincho" w:hAnsi="Times New Roman" w:cs="Times New Roman"/>
          <w:sz w:val="22"/>
          <w:szCs w:val="22"/>
        </w:rPr>
      </w:pPr>
      <w:r>
        <w:rPr>
          <w:rStyle w:val="HTMLTypewriter"/>
          <w:rFonts w:ascii="Times New Roman" w:eastAsia="MS Mincho" w:hAnsi="Times New Roman" w:cs="Times New Roman"/>
          <w:sz w:val="22"/>
          <w:szCs w:val="22"/>
        </w:rPr>
        <w:t>A good understanding of open data and open government concepts and their bearing for design and development of digital government services;</w:t>
      </w:r>
    </w:p>
    <w:p w14:paraId="71190CA0" w14:textId="77777777" w:rsidR="0037553C" w:rsidRPr="0088257C" w:rsidRDefault="0037553C"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University degree in areas such as computer sciences, engineering</w:t>
      </w:r>
      <w:r w:rsidR="00C946B1" w:rsidRPr="0088257C">
        <w:rPr>
          <w:rStyle w:val="HTMLTypewriter"/>
          <w:rFonts w:ascii="Times New Roman" w:eastAsia="MS Mincho" w:hAnsi="Times New Roman" w:cs="Times New Roman"/>
          <w:sz w:val="22"/>
          <w:szCs w:val="22"/>
        </w:rPr>
        <w:t xml:space="preserve">, </w:t>
      </w:r>
      <w:r w:rsidRPr="0088257C">
        <w:rPr>
          <w:rStyle w:val="HTMLTypewriter"/>
          <w:rFonts w:ascii="Times New Roman" w:eastAsia="MS Mincho" w:hAnsi="Times New Roman" w:cs="Times New Roman"/>
          <w:sz w:val="22"/>
          <w:szCs w:val="22"/>
        </w:rPr>
        <w:t>telecommunications or related</w:t>
      </w:r>
      <w:r w:rsidR="00C946B1" w:rsidRPr="0088257C">
        <w:rPr>
          <w:rStyle w:val="HTMLTypewriter"/>
          <w:rFonts w:ascii="Times New Roman" w:eastAsia="MS Mincho" w:hAnsi="Times New Roman" w:cs="Times New Roman"/>
          <w:sz w:val="22"/>
          <w:szCs w:val="22"/>
        </w:rPr>
        <w:t>;</w:t>
      </w:r>
    </w:p>
    <w:p w14:paraId="690643BE" w14:textId="77777777" w:rsidR="00952900" w:rsidRPr="0088257C" w:rsidRDefault="00952900"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Demonstrated experience in the audit of complex IT systems and applications (10 years)</w:t>
      </w:r>
    </w:p>
    <w:p w14:paraId="3061C656" w14:textId="77777777" w:rsidR="00952900" w:rsidRPr="0088257C" w:rsidRDefault="00952900"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Extensive knowledge of automated software testing tools (ACL) and the Software Testing Life Cycle (STLC)</w:t>
      </w:r>
    </w:p>
    <w:p w14:paraId="3202A3D0" w14:textId="77777777" w:rsidR="00C946B1" w:rsidRPr="0088257C" w:rsidRDefault="00C946B1"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 xml:space="preserve">Demonstrated experience in </w:t>
      </w:r>
      <w:r w:rsidR="00862C76" w:rsidRPr="0088257C">
        <w:rPr>
          <w:rStyle w:val="HTMLTypewriter"/>
          <w:rFonts w:ascii="Times New Roman" w:eastAsia="MS Mincho" w:hAnsi="Times New Roman" w:cs="Times New Roman"/>
          <w:sz w:val="22"/>
          <w:szCs w:val="22"/>
        </w:rPr>
        <w:t>the implementation of</w:t>
      </w:r>
      <w:r w:rsidRPr="0088257C">
        <w:rPr>
          <w:rStyle w:val="HTMLTypewriter"/>
          <w:rFonts w:ascii="Times New Roman" w:eastAsia="MS Mincho" w:hAnsi="Times New Roman" w:cs="Times New Roman"/>
          <w:sz w:val="22"/>
          <w:szCs w:val="22"/>
        </w:rPr>
        <w:t xml:space="preserve"> ICT systems</w:t>
      </w:r>
      <w:r w:rsidR="00862C76" w:rsidRPr="0088257C">
        <w:rPr>
          <w:rStyle w:val="HTMLTypewriter"/>
          <w:rFonts w:ascii="Times New Roman" w:eastAsia="MS Mincho" w:hAnsi="Times New Roman" w:cs="Times New Roman"/>
          <w:sz w:val="22"/>
          <w:szCs w:val="22"/>
        </w:rPr>
        <w:t xml:space="preserve"> (</w:t>
      </w:r>
      <w:r w:rsidR="00952900" w:rsidRPr="0088257C">
        <w:rPr>
          <w:rStyle w:val="HTMLTypewriter"/>
          <w:rFonts w:ascii="Times New Roman" w:eastAsia="MS Mincho" w:hAnsi="Times New Roman" w:cs="Times New Roman"/>
          <w:sz w:val="22"/>
          <w:szCs w:val="22"/>
        </w:rPr>
        <w:t>1</w:t>
      </w:r>
      <w:r w:rsidR="00D174FD">
        <w:rPr>
          <w:rStyle w:val="HTMLTypewriter"/>
          <w:rFonts w:ascii="Times New Roman" w:eastAsia="MS Mincho" w:hAnsi="Times New Roman" w:cs="Times New Roman"/>
          <w:sz w:val="22"/>
          <w:szCs w:val="22"/>
        </w:rPr>
        <w:t>0</w:t>
      </w:r>
      <w:r w:rsidR="00862C76" w:rsidRPr="0088257C">
        <w:rPr>
          <w:rStyle w:val="HTMLTypewriter"/>
          <w:rFonts w:ascii="Times New Roman" w:eastAsia="MS Mincho" w:hAnsi="Times New Roman" w:cs="Times New Roman"/>
          <w:sz w:val="22"/>
          <w:szCs w:val="22"/>
        </w:rPr>
        <w:t xml:space="preserve"> years)</w:t>
      </w:r>
      <w:r w:rsidRPr="0088257C">
        <w:rPr>
          <w:rStyle w:val="HTMLTypewriter"/>
          <w:rFonts w:ascii="Times New Roman" w:eastAsia="MS Mincho" w:hAnsi="Times New Roman" w:cs="Times New Roman"/>
          <w:sz w:val="22"/>
          <w:szCs w:val="22"/>
        </w:rPr>
        <w:t>;</w:t>
      </w:r>
    </w:p>
    <w:p w14:paraId="2A5342D9" w14:textId="77777777" w:rsidR="00C946B1" w:rsidRPr="0088257C" w:rsidRDefault="00C946B1"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Familiarity with software development lifecycle, enterprise architecture, cloud computing and SOA concepts;</w:t>
      </w:r>
    </w:p>
    <w:p w14:paraId="573841F7" w14:textId="77777777" w:rsidR="00C946B1" w:rsidRPr="0088257C" w:rsidRDefault="00E53E54"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E</w:t>
      </w:r>
      <w:r w:rsidR="00C946B1" w:rsidRPr="0088257C">
        <w:rPr>
          <w:rStyle w:val="HTMLTypewriter"/>
          <w:rFonts w:ascii="Times New Roman" w:eastAsia="MS Mincho" w:hAnsi="Times New Roman" w:cs="Times New Roman"/>
          <w:sz w:val="22"/>
          <w:szCs w:val="22"/>
        </w:rPr>
        <w:t xml:space="preserve">xperience with </w:t>
      </w:r>
      <w:r w:rsidRPr="0088257C">
        <w:rPr>
          <w:rStyle w:val="HTMLTypewriter"/>
          <w:rFonts w:ascii="Times New Roman" w:eastAsia="MS Mincho" w:hAnsi="Times New Roman" w:cs="Times New Roman"/>
          <w:sz w:val="22"/>
          <w:szCs w:val="22"/>
        </w:rPr>
        <w:t>development</w:t>
      </w:r>
      <w:r w:rsidR="00C946B1" w:rsidRPr="0088257C">
        <w:rPr>
          <w:rStyle w:val="HTMLTypewriter"/>
          <w:rFonts w:ascii="Times New Roman" w:eastAsia="MS Mincho" w:hAnsi="Times New Roman" w:cs="Times New Roman"/>
          <w:sz w:val="22"/>
          <w:szCs w:val="22"/>
        </w:rPr>
        <w:t xml:space="preserve"> organizations and public-sector reform</w:t>
      </w:r>
      <w:r w:rsidR="00135269" w:rsidRPr="0088257C">
        <w:rPr>
          <w:rStyle w:val="HTMLTypewriter"/>
          <w:rFonts w:ascii="Times New Roman" w:eastAsia="MS Mincho" w:hAnsi="Times New Roman" w:cs="Times New Roman"/>
          <w:sz w:val="22"/>
          <w:szCs w:val="22"/>
        </w:rPr>
        <w:t xml:space="preserve"> in an international context</w:t>
      </w:r>
      <w:r w:rsidR="00C946B1" w:rsidRPr="0088257C">
        <w:rPr>
          <w:rStyle w:val="HTMLTypewriter"/>
          <w:rFonts w:ascii="Times New Roman" w:eastAsia="MS Mincho" w:hAnsi="Times New Roman" w:cs="Times New Roman"/>
          <w:sz w:val="22"/>
          <w:szCs w:val="22"/>
        </w:rPr>
        <w:t xml:space="preserve"> would be an asset</w:t>
      </w:r>
      <w:r w:rsidRPr="0088257C">
        <w:rPr>
          <w:rStyle w:val="HTMLTypewriter"/>
          <w:rFonts w:ascii="Times New Roman" w:eastAsia="MS Mincho" w:hAnsi="Times New Roman" w:cs="Times New Roman"/>
          <w:sz w:val="22"/>
          <w:szCs w:val="22"/>
        </w:rPr>
        <w:t>;</w:t>
      </w:r>
      <w:r w:rsidR="00C946B1" w:rsidRPr="0088257C">
        <w:rPr>
          <w:rStyle w:val="HTMLTypewriter"/>
          <w:rFonts w:ascii="Times New Roman" w:eastAsia="MS Mincho" w:hAnsi="Times New Roman" w:cs="Times New Roman"/>
          <w:sz w:val="22"/>
          <w:szCs w:val="22"/>
        </w:rPr>
        <w:t xml:space="preserve"> </w:t>
      </w:r>
    </w:p>
    <w:p w14:paraId="24479758" w14:textId="77777777" w:rsidR="00C946B1" w:rsidRPr="0088257C" w:rsidRDefault="00C946B1"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lastRenderedPageBreak/>
        <w:t>Excellent communication</w:t>
      </w:r>
      <w:r w:rsidR="002F0048" w:rsidRPr="0088257C">
        <w:rPr>
          <w:rStyle w:val="HTMLTypewriter"/>
          <w:rFonts w:ascii="Times New Roman" w:eastAsia="MS Mincho" w:hAnsi="Times New Roman" w:cs="Times New Roman"/>
          <w:sz w:val="22"/>
          <w:szCs w:val="22"/>
        </w:rPr>
        <w:t xml:space="preserve"> skills, written and spoken in </w:t>
      </w:r>
      <w:r w:rsidRPr="0088257C">
        <w:rPr>
          <w:rStyle w:val="HTMLTypewriter"/>
          <w:rFonts w:ascii="Times New Roman" w:eastAsia="MS Mincho" w:hAnsi="Times New Roman" w:cs="Times New Roman"/>
          <w:sz w:val="22"/>
          <w:szCs w:val="22"/>
        </w:rPr>
        <w:t>English;</w:t>
      </w:r>
    </w:p>
    <w:p w14:paraId="6985D30C" w14:textId="77777777" w:rsidR="00C946B1" w:rsidRPr="0088257C" w:rsidRDefault="00C946B1"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Excellent time-, team-, meeting- and conflict- management skills;</w:t>
      </w:r>
    </w:p>
    <w:p w14:paraId="4DFE6985" w14:textId="77777777" w:rsidR="00C946B1" w:rsidRPr="0088257C" w:rsidRDefault="00C946B1"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 xml:space="preserve">Strong </w:t>
      </w:r>
      <w:r w:rsidR="00E53E54" w:rsidRPr="0088257C">
        <w:rPr>
          <w:rStyle w:val="HTMLTypewriter"/>
          <w:rFonts w:ascii="Times New Roman" w:eastAsia="MS Mincho" w:hAnsi="Times New Roman" w:cs="Times New Roman"/>
          <w:sz w:val="22"/>
          <w:szCs w:val="22"/>
        </w:rPr>
        <w:t>self-</w:t>
      </w:r>
      <w:r w:rsidRPr="0088257C">
        <w:rPr>
          <w:rStyle w:val="HTMLTypewriter"/>
          <w:rFonts w:ascii="Times New Roman" w:eastAsia="MS Mincho" w:hAnsi="Times New Roman" w:cs="Times New Roman"/>
          <w:sz w:val="22"/>
          <w:szCs w:val="22"/>
        </w:rPr>
        <w:t>organization and planning skills;</w:t>
      </w:r>
    </w:p>
    <w:p w14:paraId="3422FE51" w14:textId="77777777" w:rsidR="0037553C" w:rsidRPr="0088257C" w:rsidRDefault="00E53E54" w:rsidP="0088257C">
      <w:pPr>
        <w:pStyle w:val="Bullets1"/>
        <w:rPr>
          <w:rStyle w:val="HTMLTypewriter"/>
          <w:rFonts w:ascii="Times New Roman" w:eastAsia="MS Mincho" w:hAnsi="Times New Roman" w:cs="Times New Roman"/>
          <w:sz w:val="22"/>
          <w:szCs w:val="22"/>
        </w:rPr>
      </w:pPr>
      <w:r w:rsidRPr="0088257C">
        <w:rPr>
          <w:rStyle w:val="HTMLTypewriter"/>
          <w:rFonts w:ascii="Times New Roman" w:eastAsia="MS Mincho" w:hAnsi="Times New Roman" w:cs="Times New Roman"/>
          <w:sz w:val="22"/>
          <w:szCs w:val="22"/>
        </w:rPr>
        <w:t>Autonomy and ability to work with minimum supervision;</w:t>
      </w:r>
    </w:p>
    <w:sectPr w:rsidR="0037553C" w:rsidRPr="0088257C" w:rsidSect="00725EDF">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29C4B" w14:textId="77777777" w:rsidR="003D5172" w:rsidRDefault="003D5172" w:rsidP="007F0CAD">
      <w:r>
        <w:separator/>
      </w:r>
    </w:p>
  </w:endnote>
  <w:endnote w:type="continuationSeparator" w:id="0">
    <w:p w14:paraId="52357503" w14:textId="77777777" w:rsidR="003D5172" w:rsidRDefault="003D5172" w:rsidP="007F0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A0F85" w14:textId="77777777" w:rsidR="003D5172" w:rsidRDefault="003D5172" w:rsidP="007F0CAD">
      <w:r>
        <w:separator/>
      </w:r>
    </w:p>
  </w:footnote>
  <w:footnote w:type="continuationSeparator" w:id="0">
    <w:p w14:paraId="7F360534" w14:textId="77777777" w:rsidR="003D5172" w:rsidRDefault="003D5172" w:rsidP="007F0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BD9"/>
    <w:multiLevelType w:val="hybridMultilevel"/>
    <w:tmpl w:val="25546EEA"/>
    <w:lvl w:ilvl="0" w:tplc="94CE501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0FA023F"/>
    <w:multiLevelType w:val="hybridMultilevel"/>
    <w:tmpl w:val="B456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AE593C"/>
    <w:multiLevelType w:val="hybridMultilevel"/>
    <w:tmpl w:val="AC608AAA"/>
    <w:lvl w:ilvl="0" w:tplc="3B1C189E">
      <w:start w:val="1"/>
      <w:numFmt w:val="upperRoman"/>
      <w:pStyle w:val="Heading1"/>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5253B6"/>
    <w:multiLevelType w:val="hybridMultilevel"/>
    <w:tmpl w:val="4F46C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662E1"/>
    <w:multiLevelType w:val="hybridMultilevel"/>
    <w:tmpl w:val="BA04C12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ED86022"/>
    <w:multiLevelType w:val="hybridMultilevel"/>
    <w:tmpl w:val="19227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39560F"/>
    <w:multiLevelType w:val="hybridMultilevel"/>
    <w:tmpl w:val="3A4841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E42446"/>
    <w:multiLevelType w:val="hybridMultilevel"/>
    <w:tmpl w:val="3B56A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7B51BA"/>
    <w:multiLevelType w:val="hybridMultilevel"/>
    <w:tmpl w:val="0D1ADA44"/>
    <w:lvl w:ilvl="0" w:tplc="0409000F">
      <w:start w:val="1"/>
      <w:numFmt w:val="decimal"/>
      <w:lvlText w:val="%1."/>
      <w:lvlJc w:val="left"/>
      <w:pPr>
        <w:ind w:left="1080" w:hanging="360"/>
      </w:pPr>
      <w:rPr>
        <w:rFonts w:hint="default"/>
      </w:rPr>
    </w:lvl>
    <w:lvl w:ilvl="1" w:tplc="0C0A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CBD1B71"/>
    <w:multiLevelType w:val="hybridMultilevel"/>
    <w:tmpl w:val="BA04C12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DB928FC"/>
    <w:multiLevelType w:val="hybridMultilevel"/>
    <w:tmpl w:val="2F542AF8"/>
    <w:lvl w:ilvl="0" w:tplc="6E66C62E">
      <w:start w:val="1"/>
      <w:numFmt w:val="bullet"/>
      <w:pStyle w:val="Bullets1"/>
      <w:lvlText w:val=""/>
      <w:lvlJc w:val="left"/>
      <w:pPr>
        <w:ind w:left="360" w:hanging="360"/>
      </w:pPr>
      <w:rPr>
        <w:rFonts w:ascii="Symbol" w:hAnsi="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790B705D"/>
    <w:multiLevelType w:val="hybridMultilevel"/>
    <w:tmpl w:val="DFD6D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C1F72E2"/>
    <w:multiLevelType w:val="hybridMultilevel"/>
    <w:tmpl w:val="32567970"/>
    <w:lvl w:ilvl="0" w:tplc="301872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C7E4F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6C3B6D"/>
    <w:multiLevelType w:val="hybridMultilevel"/>
    <w:tmpl w:val="E4426BD6"/>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4"/>
  </w:num>
  <w:num w:numId="7">
    <w:abstractNumId w:val="13"/>
  </w:num>
  <w:num w:numId="8">
    <w:abstractNumId w:val="11"/>
  </w:num>
  <w:num w:numId="9">
    <w:abstractNumId w:val="1"/>
  </w:num>
  <w:num w:numId="10">
    <w:abstractNumId w:val="10"/>
  </w:num>
  <w:num w:numId="11">
    <w:abstractNumId w:val="8"/>
  </w:num>
  <w:num w:numId="12">
    <w:abstractNumId w:val="9"/>
  </w:num>
  <w:num w:numId="13">
    <w:abstractNumId w:val="14"/>
  </w:num>
  <w:num w:numId="14">
    <w:abstractNumId w:val="6"/>
  </w:num>
  <w:num w:numId="15">
    <w:abstractNumId w:val="3"/>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3C"/>
    <w:rsid w:val="00005821"/>
    <w:rsid w:val="0001516E"/>
    <w:rsid w:val="00073D15"/>
    <w:rsid w:val="00076191"/>
    <w:rsid w:val="00094A30"/>
    <w:rsid w:val="000A62A1"/>
    <w:rsid w:val="000C0BF8"/>
    <w:rsid w:val="000C35FA"/>
    <w:rsid w:val="000D7033"/>
    <w:rsid w:val="000F1B8A"/>
    <w:rsid w:val="000F2BF3"/>
    <w:rsid w:val="000F4434"/>
    <w:rsid w:val="001004A1"/>
    <w:rsid w:val="00117A55"/>
    <w:rsid w:val="00124284"/>
    <w:rsid w:val="00125162"/>
    <w:rsid w:val="001267E7"/>
    <w:rsid w:val="00135269"/>
    <w:rsid w:val="00135CE0"/>
    <w:rsid w:val="00137811"/>
    <w:rsid w:val="00171B62"/>
    <w:rsid w:val="00172750"/>
    <w:rsid w:val="00193D76"/>
    <w:rsid w:val="001E4368"/>
    <w:rsid w:val="001E7238"/>
    <w:rsid w:val="001F7F02"/>
    <w:rsid w:val="00201DC1"/>
    <w:rsid w:val="002648AC"/>
    <w:rsid w:val="00270CC7"/>
    <w:rsid w:val="00271360"/>
    <w:rsid w:val="00285B97"/>
    <w:rsid w:val="002A385A"/>
    <w:rsid w:val="002A6167"/>
    <w:rsid w:val="002B72DE"/>
    <w:rsid w:val="002D6D13"/>
    <w:rsid w:val="002E34A6"/>
    <w:rsid w:val="002F0048"/>
    <w:rsid w:val="003119C0"/>
    <w:rsid w:val="003405FC"/>
    <w:rsid w:val="0037553C"/>
    <w:rsid w:val="003A126C"/>
    <w:rsid w:val="003D5172"/>
    <w:rsid w:val="004142BD"/>
    <w:rsid w:val="0041572E"/>
    <w:rsid w:val="00417179"/>
    <w:rsid w:val="00417DB1"/>
    <w:rsid w:val="00424DAD"/>
    <w:rsid w:val="004253C1"/>
    <w:rsid w:val="004678B7"/>
    <w:rsid w:val="00470B33"/>
    <w:rsid w:val="00490708"/>
    <w:rsid w:val="0049431C"/>
    <w:rsid w:val="004B4F1D"/>
    <w:rsid w:val="004F184F"/>
    <w:rsid w:val="005235A8"/>
    <w:rsid w:val="00527C4B"/>
    <w:rsid w:val="00535F0A"/>
    <w:rsid w:val="00564ED4"/>
    <w:rsid w:val="00574A0D"/>
    <w:rsid w:val="005B34E6"/>
    <w:rsid w:val="005D141E"/>
    <w:rsid w:val="00631C35"/>
    <w:rsid w:val="0063546E"/>
    <w:rsid w:val="00644AC2"/>
    <w:rsid w:val="0066089B"/>
    <w:rsid w:val="00662915"/>
    <w:rsid w:val="006A14B8"/>
    <w:rsid w:val="006C402F"/>
    <w:rsid w:val="006D10E3"/>
    <w:rsid w:val="006E343B"/>
    <w:rsid w:val="006E5A19"/>
    <w:rsid w:val="007007C3"/>
    <w:rsid w:val="00711283"/>
    <w:rsid w:val="00723B81"/>
    <w:rsid w:val="00725EDF"/>
    <w:rsid w:val="00735F02"/>
    <w:rsid w:val="007406C6"/>
    <w:rsid w:val="007705D4"/>
    <w:rsid w:val="00777120"/>
    <w:rsid w:val="00786B3D"/>
    <w:rsid w:val="00790295"/>
    <w:rsid w:val="007A051B"/>
    <w:rsid w:val="007A14A2"/>
    <w:rsid w:val="007B1C98"/>
    <w:rsid w:val="007C275D"/>
    <w:rsid w:val="007D193E"/>
    <w:rsid w:val="007E4505"/>
    <w:rsid w:val="007F0CAD"/>
    <w:rsid w:val="00817E0D"/>
    <w:rsid w:val="0083055C"/>
    <w:rsid w:val="00854156"/>
    <w:rsid w:val="008554AE"/>
    <w:rsid w:val="00862C76"/>
    <w:rsid w:val="0088257C"/>
    <w:rsid w:val="00886B85"/>
    <w:rsid w:val="0089605D"/>
    <w:rsid w:val="008C0721"/>
    <w:rsid w:val="008E5913"/>
    <w:rsid w:val="008F14D0"/>
    <w:rsid w:val="00904C5D"/>
    <w:rsid w:val="00915EB0"/>
    <w:rsid w:val="00943C95"/>
    <w:rsid w:val="00947758"/>
    <w:rsid w:val="00952900"/>
    <w:rsid w:val="00956EED"/>
    <w:rsid w:val="00960D87"/>
    <w:rsid w:val="00960EF1"/>
    <w:rsid w:val="009D0564"/>
    <w:rsid w:val="009D3D5E"/>
    <w:rsid w:val="009E2F86"/>
    <w:rsid w:val="009E6A49"/>
    <w:rsid w:val="00A03156"/>
    <w:rsid w:val="00A10D23"/>
    <w:rsid w:val="00A16A55"/>
    <w:rsid w:val="00A4283C"/>
    <w:rsid w:val="00A53BC7"/>
    <w:rsid w:val="00A57D4C"/>
    <w:rsid w:val="00A85E86"/>
    <w:rsid w:val="00AA4E8F"/>
    <w:rsid w:val="00AC2BE0"/>
    <w:rsid w:val="00AC579E"/>
    <w:rsid w:val="00AE2240"/>
    <w:rsid w:val="00B11926"/>
    <w:rsid w:val="00B12464"/>
    <w:rsid w:val="00B13C4C"/>
    <w:rsid w:val="00B26B61"/>
    <w:rsid w:val="00B61AF5"/>
    <w:rsid w:val="00B64D52"/>
    <w:rsid w:val="00B7555D"/>
    <w:rsid w:val="00B75B3D"/>
    <w:rsid w:val="00BA2B65"/>
    <w:rsid w:val="00BC02A8"/>
    <w:rsid w:val="00BC7483"/>
    <w:rsid w:val="00BE7C91"/>
    <w:rsid w:val="00BF1C11"/>
    <w:rsid w:val="00BF21F1"/>
    <w:rsid w:val="00C664C3"/>
    <w:rsid w:val="00C919B6"/>
    <w:rsid w:val="00C946B1"/>
    <w:rsid w:val="00CA6EA5"/>
    <w:rsid w:val="00CB6F3E"/>
    <w:rsid w:val="00CD7AF3"/>
    <w:rsid w:val="00D06382"/>
    <w:rsid w:val="00D134F7"/>
    <w:rsid w:val="00D174FD"/>
    <w:rsid w:val="00D35012"/>
    <w:rsid w:val="00D67101"/>
    <w:rsid w:val="00D70F94"/>
    <w:rsid w:val="00D90019"/>
    <w:rsid w:val="00DA11D1"/>
    <w:rsid w:val="00DA2EC5"/>
    <w:rsid w:val="00DA5AAC"/>
    <w:rsid w:val="00DB03C5"/>
    <w:rsid w:val="00DC41A9"/>
    <w:rsid w:val="00DE327A"/>
    <w:rsid w:val="00DF1DCC"/>
    <w:rsid w:val="00E14A6D"/>
    <w:rsid w:val="00E307C8"/>
    <w:rsid w:val="00E364E9"/>
    <w:rsid w:val="00E42C78"/>
    <w:rsid w:val="00E53E54"/>
    <w:rsid w:val="00E61CE9"/>
    <w:rsid w:val="00E91809"/>
    <w:rsid w:val="00EC119A"/>
    <w:rsid w:val="00EE4C28"/>
    <w:rsid w:val="00F11167"/>
    <w:rsid w:val="00F354CE"/>
    <w:rsid w:val="00F40295"/>
    <w:rsid w:val="00F7193A"/>
    <w:rsid w:val="00FC05FA"/>
    <w:rsid w:val="00FE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2D0A4"/>
  <w15:docId w15:val="{99B89BF1-8259-4E2E-B9B1-C73858CA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CAD"/>
    <w:pPr>
      <w:spacing w:before="60" w:after="60" w:line="264" w:lineRule="auto"/>
      <w:jc w:val="both"/>
    </w:pPr>
    <w:rPr>
      <w:rFonts w:ascii="Times New Roman" w:eastAsia="MS Mincho" w:hAnsi="Times New Roman" w:cs="Times New Roman"/>
      <w:sz w:val="24"/>
      <w:szCs w:val="24"/>
      <w:lang w:val="en-GB" w:eastAsia="en-US"/>
    </w:rPr>
  </w:style>
  <w:style w:type="paragraph" w:styleId="Heading1">
    <w:name w:val="heading 1"/>
    <w:basedOn w:val="ListParagraph"/>
    <w:next w:val="Normal"/>
    <w:link w:val="Heading1Char"/>
    <w:qFormat/>
    <w:rsid w:val="007F0CAD"/>
    <w:pPr>
      <w:numPr>
        <w:numId w:val="5"/>
      </w:numPr>
      <w:spacing w:after="0" w:line="240" w:lineRule="auto"/>
      <w:outlineLvl w:val="0"/>
    </w:pPr>
    <w:rPr>
      <w:rFonts w:ascii="Times New Roman" w:eastAsia="MS Mincho"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CAD"/>
    <w:rPr>
      <w:rFonts w:ascii="Times New Roman" w:eastAsia="MS Mincho" w:hAnsi="Times New Roman" w:cs="Times New Roman"/>
      <w:b/>
      <w:sz w:val="24"/>
      <w:szCs w:val="24"/>
      <w:lang w:val="en-GB" w:eastAsia="en-US"/>
    </w:rPr>
  </w:style>
  <w:style w:type="character" w:styleId="HTMLTypewriter">
    <w:name w:val="HTML Typewriter"/>
    <w:semiHidden/>
    <w:unhideWhenUsed/>
    <w:rsid w:val="0037553C"/>
    <w:rPr>
      <w:rFonts w:ascii="Courier New" w:eastAsia="Times New Roman" w:hAnsi="Courier New" w:cs="Courier New" w:hint="default"/>
      <w:sz w:val="20"/>
      <w:szCs w:val="20"/>
    </w:rPr>
  </w:style>
  <w:style w:type="paragraph" w:styleId="ListParagraph">
    <w:name w:val="List Paragraph"/>
    <w:basedOn w:val="Normal"/>
    <w:uiPriority w:val="34"/>
    <w:qFormat/>
    <w:rsid w:val="0037553C"/>
    <w:pPr>
      <w:spacing w:after="200" w:line="276" w:lineRule="auto"/>
      <w:ind w:left="720"/>
      <w:contextualSpacing/>
    </w:pPr>
    <w:rPr>
      <w:rFonts w:ascii="Calibri" w:eastAsia="Calibri" w:hAnsi="Calibri"/>
      <w:sz w:val="22"/>
      <w:szCs w:val="22"/>
    </w:rPr>
  </w:style>
  <w:style w:type="paragraph" w:customStyle="1" w:styleId="a">
    <w:name w:val="a"/>
    <w:basedOn w:val="Normal"/>
    <w:rsid w:val="0037553C"/>
    <w:pPr>
      <w:spacing w:line="220" w:lineRule="atLeast"/>
    </w:pPr>
    <w:rPr>
      <w:rFonts w:ascii="Arial Black" w:hAnsi="Arial Black"/>
      <w:spacing w:val="-10"/>
    </w:rPr>
  </w:style>
  <w:style w:type="paragraph" w:customStyle="1" w:styleId="NormalIndent1">
    <w:name w:val="Normal Indent1"/>
    <w:basedOn w:val="Normal"/>
    <w:rsid w:val="0037553C"/>
    <w:pPr>
      <w:spacing w:line="240" w:lineRule="atLeast"/>
      <w:ind w:left="540" w:hanging="540"/>
    </w:pPr>
    <w:rPr>
      <w:sz w:val="22"/>
    </w:rPr>
  </w:style>
  <w:style w:type="paragraph" w:styleId="FootnoteText">
    <w:name w:val="footnote text"/>
    <w:basedOn w:val="Normal"/>
    <w:link w:val="FootnoteTextChar"/>
    <w:uiPriority w:val="99"/>
    <w:unhideWhenUsed/>
    <w:rsid w:val="009D0564"/>
  </w:style>
  <w:style w:type="character" w:customStyle="1" w:styleId="FootnoteTextChar">
    <w:name w:val="Footnote Text Char"/>
    <w:basedOn w:val="DefaultParagraphFont"/>
    <w:link w:val="FootnoteText"/>
    <w:uiPriority w:val="99"/>
    <w:rsid w:val="009D0564"/>
    <w:rPr>
      <w:rFonts w:ascii="Times New Roman" w:eastAsia="Times New Roman" w:hAnsi="Times New Roman" w:cs="Times New Roman"/>
      <w:sz w:val="20"/>
      <w:szCs w:val="20"/>
      <w:lang w:eastAsia="en-US"/>
    </w:rPr>
  </w:style>
  <w:style w:type="character" w:styleId="FootnoteReference">
    <w:name w:val="footnote reference"/>
    <w:aliases w:val="ftref,ftref Char,Footnote Char,BVI fnr Char,BVI fnr Car Char,Char Char Car Char,Char Char Char Char Char Char Char Char Char Char Char Char Char Char Char Char Char Char Char Char Car Char,16 Point Char"/>
    <w:basedOn w:val="DefaultParagraphFont"/>
    <w:uiPriority w:val="99"/>
    <w:unhideWhenUsed/>
    <w:rsid w:val="009D0564"/>
    <w:rPr>
      <w:vertAlign w:val="superscript"/>
    </w:rPr>
  </w:style>
  <w:style w:type="character" w:styleId="Hyperlink">
    <w:name w:val="Hyperlink"/>
    <w:basedOn w:val="DefaultParagraphFont"/>
    <w:uiPriority w:val="99"/>
    <w:unhideWhenUsed/>
    <w:rsid w:val="00854156"/>
    <w:rPr>
      <w:color w:val="0000FF" w:themeColor="hyperlink"/>
      <w:u w:val="single"/>
    </w:rPr>
  </w:style>
  <w:style w:type="character" w:customStyle="1" w:styleId="UnresolvedMention1">
    <w:name w:val="Unresolved Mention1"/>
    <w:basedOn w:val="DefaultParagraphFont"/>
    <w:uiPriority w:val="99"/>
    <w:semiHidden/>
    <w:unhideWhenUsed/>
    <w:rsid w:val="00854156"/>
    <w:rPr>
      <w:color w:val="808080"/>
      <w:shd w:val="clear" w:color="auto" w:fill="E6E6E6"/>
    </w:rPr>
  </w:style>
  <w:style w:type="character" w:styleId="CommentReference">
    <w:name w:val="annotation reference"/>
    <w:basedOn w:val="DefaultParagraphFont"/>
    <w:uiPriority w:val="99"/>
    <w:semiHidden/>
    <w:unhideWhenUsed/>
    <w:rsid w:val="000D7033"/>
    <w:rPr>
      <w:sz w:val="16"/>
      <w:szCs w:val="16"/>
    </w:rPr>
  </w:style>
  <w:style w:type="paragraph" w:styleId="CommentText">
    <w:name w:val="annotation text"/>
    <w:basedOn w:val="Normal"/>
    <w:link w:val="CommentTextChar"/>
    <w:uiPriority w:val="99"/>
    <w:semiHidden/>
    <w:unhideWhenUsed/>
    <w:rsid w:val="000D7033"/>
  </w:style>
  <w:style w:type="character" w:customStyle="1" w:styleId="CommentTextChar">
    <w:name w:val="Comment Text Char"/>
    <w:basedOn w:val="DefaultParagraphFont"/>
    <w:link w:val="CommentText"/>
    <w:uiPriority w:val="99"/>
    <w:semiHidden/>
    <w:rsid w:val="000D703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D7033"/>
    <w:rPr>
      <w:b/>
      <w:bCs/>
    </w:rPr>
  </w:style>
  <w:style w:type="character" w:customStyle="1" w:styleId="CommentSubjectChar">
    <w:name w:val="Comment Subject Char"/>
    <w:basedOn w:val="CommentTextChar"/>
    <w:link w:val="CommentSubject"/>
    <w:uiPriority w:val="99"/>
    <w:semiHidden/>
    <w:rsid w:val="000D703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0D7033"/>
    <w:rPr>
      <w:rFonts w:ascii="Tahoma" w:hAnsi="Tahoma" w:cs="Tahoma"/>
      <w:sz w:val="16"/>
      <w:szCs w:val="16"/>
    </w:rPr>
  </w:style>
  <w:style w:type="character" w:customStyle="1" w:styleId="BalloonTextChar">
    <w:name w:val="Balloon Text Char"/>
    <w:basedOn w:val="DefaultParagraphFont"/>
    <w:link w:val="BalloonText"/>
    <w:uiPriority w:val="99"/>
    <w:semiHidden/>
    <w:rsid w:val="000D7033"/>
    <w:rPr>
      <w:rFonts w:ascii="Tahoma" w:eastAsia="Times New Roman" w:hAnsi="Tahoma" w:cs="Tahoma"/>
      <w:sz w:val="16"/>
      <w:szCs w:val="16"/>
      <w:lang w:eastAsia="en-US"/>
    </w:rPr>
  </w:style>
  <w:style w:type="paragraph" w:styleId="BodyText">
    <w:name w:val="Body Text"/>
    <w:basedOn w:val="Normal"/>
    <w:link w:val="BodyTextChar"/>
    <w:rsid w:val="002F0048"/>
    <w:pPr>
      <w:spacing w:before="120" w:after="120" w:line="276" w:lineRule="auto"/>
    </w:pPr>
    <w:rPr>
      <w:rFonts w:ascii="Arial" w:hAnsi="Arial"/>
      <w:color w:val="000000" w:themeColor="text1"/>
      <w:sz w:val="22"/>
      <w:lang w:eastAsia="en-GB"/>
    </w:rPr>
  </w:style>
  <w:style w:type="character" w:customStyle="1" w:styleId="BodyTextChar">
    <w:name w:val="Body Text Char"/>
    <w:basedOn w:val="DefaultParagraphFont"/>
    <w:link w:val="BodyText"/>
    <w:rsid w:val="002F0048"/>
    <w:rPr>
      <w:rFonts w:ascii="Arial" w:eastAsia="Times New Roman" w:hAnsi="Arial" w:cs="Times New Roman"/>
      <w:color w:val="000000" w:themeColor="text1"/>
      <w:szCs w:val="24"/>
      <w:lang w:val="en-GB" w:eastAsia="en-GB"/>
    </w:rPr>
  </w:style>
  <w:style w:type="paragraph" w:customStyle="1" w:styleId="Bullets1">
    <w:name w:val="Bullets 1"/>
    <w:basedOn w:val="ListParagraph"/>
    <w:link w:val="Bullets1Car"/>
    <w:qFormat/>
    <w:rsid w:val="00124284"/>
    <w:pPr>
      <w:numPr>
        <w:numId w:val="10"/>
      </w:numPr>
      <w:spacing w:after="60"/>
      <w:contextualSpacing w:val="0"/>
    </w:pPr>
    <w:rPr>
      <w:rFonts w:ascii="Times New Roman" w:eastAsia="Times New Roman" w:hAnsi="Times New Roman"/>
      <w:iCs/>
      <w:color w:val="000000" w:themeColor="text1"/>
      <w:sz w:val="24"/>
      <w:szCs w:val="24"/>
      <w:lang w:eastAsia="en-GB"/>
    </w:rPr>
  </w:style>
  <w:style w:type="character" w:customStyle="1" w:styleId="Bullets1Car">
    <w:name w:val="Bullets 1 Car"/>
    <w:basedOn w:val="DefaultParagraphFont"/>
    <w:link w:val="Bullets1"/>
    <w:rsid w:val="00124284"/>
    <w:rPr>
      <w:rFonts w:ascii="Times New Roman" w:eastAsia="Times New Roman" w:hAnsi="Times New Roman" w:cs="Times New Roman"/>
      <w:iCs/>
      <w:color w:val="000000" w:themeColor="text1"/>
      <w:sz w:val="24"/>
      <w:szCs w:val="24"/>
      <w:lang w:val="en-GB" w:eastAsia="en-GB"/>
    </w:rPr>
  </w:style>
  <w:style w:type="paragraph" w:customStyle="1" w:styleId="footnote">
    <w:name w:val="footnote"/>
    <w:basedOn w:val="FootnoteText"/>
    <w:link w:val="footnoteCar"/>
    <w:qFormat/>
    <w:rsid w:val="002F0048"/>
    <w:pPr>
      <w:spacing w:line="276" w:lineRule="auto"/>
    </w:pPr>
    <w:rPr>
      <w:rFonts w:ascii="Arial" w:hAnsi="Arial"/>
      <w:color w:val="000000" w:themeColor="text1"/>
      <w:sz w:val="18"/>
      <w:szCs w:val="16"/>
      <w:lang w:eastAsia="en-GB"/>
    </w:rPr>
  </w:style>
  <w:style w:type="character" w:customStyle="1" w:styleId="footnoteCar">
    <w:name w:val="footnote Car"/>
    <w:basedOn w:val="FootnoteTextChar"/>
    <w:link w:val="footnote"/>
    <w:rsid w:val="002F0048"/>
    <w:rPr>
      <w:rFonts w:ascii="Arial" w:eastAsia="Times New Roman" w:hAnsi="Arial" w:cs="Times New Roman"/>
      <w:color w:val="000000" w:themeColor="text1"/>
      <w:sz w:val="18"/>
      <w:szCs w:val="16"/>
      <w:lang w:val="en-GB" w:eastAsia="en-GB"/>
    </w:rPr>
  </w:style>
  <w:style w:type="paragraph" w:styleId="Title">
    <w:name w:val="Title"/>
    <w:basedOn w:val="Normal"/>
    <w:link w:val="TitleChar"/>
    <w:qFormat/>
    <w:rsid w:val="002F0048"/>
    <w:pPr>
      <w:spacing w:before="240" w:after="240" w:line="288" w:lineRule="auto"/>
      <w:jc w:val="center"/>
      <w:outlineLvl w:val="0"/>
    </w:pPr>
    <w:rPr>
      <w:rFonts w:ascii="Arial" w:hAnsi="Arial" w:cs="Arial"/>
      <w:b/>
      <w:bCs/>
      <w:caps/>
      <w:color w:val="9AAE04"/>
      <w:kern w:val="28"/>
      <w:sz w:val="32"/>
      <w:szCs w:val="32"/>
      <w:lang w:eastAsia="fr-FR"/>
    </w:rPr>
  </w:style>
  <w:style w:type="character" w:customStyle="1" w:styleId="TitleChar">
    <w:name w:val="Title Char"/>
    <w:basedOn w:val="DefaultParagraphFont"/>
    <w:link w:val="Title"/>
    <w:rsid w:val="002F0048"/>
    <w:rPr>
      <w:rFonts w:ascii="Arial" w:eastAsia="Times New Roman" w:hAnsi="Arial" w:cs="Arial"/>
      <w:b/>
      <w:bCs/>
      <w:caps/>
      <w:color w:val="9AAE04"/>
      <w:kern w:val="28"/>
      <w:sz w:val="32"/>
      <w:szCs w:val="32"/>
      <w:lang w:val="en-GB" w:eastAsia="fr-FR"/>
    </w:rPr>
  </w:style>
  <w:style w:type="paragraph" w:styleId="Header">
    <w:name w:val="header"/>
    <w:basedOn w:val="Normal"/>
    <w:link w:val="HeaderChar"/>
    <w:uiPriority w:val="99"/>
    <w:unhideWhenUsed/>
    <w:rsid w:val="0088257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257C"/>
    <w:rPr>
      <w:rFonts w:ascii="Times New Roman" w:eastAsia="MS Mincho" w:hAnsi="Times New Roman" w:cs="Times New Roman"/>
      <w:sz w:val="24"/>
      <w:szCs w:val="24"/>
      <w:lang w:val="en-GB" w:eastAsia="en-US"/>
    </w:rPr>
  </w:style>
  <w:style w:type="paragraph" w:styleId="Footer">
    <w:name w:val="footer"/>
    <w:basedOn w:val="Normal"/>
    <w:link w:val="FooterChar"/>
    <w:uiPriority w:val="99"/>
    <w:unhideWhenUsed/>
    <w:rsid w:val="0088257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257C"/>
    <w:rPr>
      <w:rFonts w:ascii="Times New Roman" w:eastAsia="MS Mincho"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8138">
      <w:bodyDiv w:val="1"/>
      <w:marLeft w:val="0"/>
      <w:marRight w:val="0"/>
      <w:marTop w:val="0"/>
      <w:marBottom w:val="0"/>
      <w:divBdr>
        <w:top w:val="none" w:sz="0" w:space="0" w:color="auto"/>
        <w:left w:val="none" w:sz="0" w:space="0" w:color="auto"/>
        <w:bottom w:val="none" w:sz="0" w:space="0" w:color="auto"/>
        <w:right w:val="none" w:sz="0" w:space="0" w:color="auto"/>
      </w:divBdr>
    </w:div>
    <w:div w:id="288634127">
      <w:bodyDiv w:val="1"/>
      <w:marLeft w:val="0"/>
      <w:marRight w:val="0"/>
      <w:marTop w:val="0"/>
      <w:marBottom w:val="0"/>
      <w:divBdr>
        <w:top w:val="none" w:sz="0" w:space="0" w:color="auto"/>
        <w:left w:val="none" w:sz="0" w:space="0" w:color="auto"/>
        <w:bottom w:val="none" w:sz="0" w:space="0" w:color="auto"/>
        <w:right w:val="none" w:sz="0" w:space="0" w:color="auto"/>
      </w:divBdr>
    </w:div>
    <w:div w:id="1414669257">
      <w:bodyDiv w:val="1"/>
      <w:marLeft w:val="0"/>
      <w:marRight w:val="0"/>
      <w:marTop w:val="0"/>
      <w:marBottom w:val="0"/>
      <w:divBdr>
        <w:top w:val="none" w:sz="0" w:space="0" w:color="auto"/>
        <w:left w:val="none" w:sz="0" w:space="0" w:color="auto"/>
        <w:bottom w:val="none" w:sz="0" w:space="0" w:color="auto"/>
        <w:right w:val="none" w:sz="0" w:space="0" w:color="auto"/>
      </w:divBdr>
    </w:div>
    <w:div w:id="1435051186">
      <w:bodyDiv w:val="1"/>
      <w:marLeft w:val="0"/>
      <w:marRight w:val="0"/>
      <w:marTop w:val="0"/>
      <w:marBottom w:val="0"/>
      <w:divBdr>
        <w:top w:val="none" w:sz="0" w:space="0" w:color="auto"/>
        <w:left w:val="none" w:sz="0" w:space="0" w:color="auto"/>
        <w:bottom w:val="none" w:sz="0" w:space="0" w:color="auto"/>
        <w:right w:val="none" w:sz="0" w:space="0" w:color="auto"/>
      </w:divBdr>
      <w:divsChild>
        <w:div w:id="1906984946">
          <w:marLeft w:val="0"/>
          <w:marRight w:val="0"/>
          <w:marTop w:val="0"/>
          <w:marBottom w:val="0"/>
          <w:divBdr>
            <w:top w:val="none" w:sz="0" w:space="0" w:color="auto"/>
            <w:left w:val="none" w:sz="0" w:space="0" w:color="auto"/>
            <w:bottom w:val="none" w:sz="0" w:space="0" w:color="auto"/>
            <w:right w:val="single" w:sz="6" w:space="31" w:color="2383C5"/>
          </w:divBdr>
          <w:divsChild>
            <w:div w:id="1172986349">
              <w:marLeft w:val="0"/>
              <w:marRight w:val="0"/>
              <w:marTop w:val="0"/>
              <w:marBottom w:val="0"/>
              <w:divBdr>
                <w:top w:val="none" w:sz="0" w:space="0" w:color="auto"/>
                <w:left w:val="none" w:sz="0" w:space="0" w:color="auto"/>
                <w:bottom w:val="none" w:sz="0" w:space="0" w:color="auto"/>
                <w:right w:val="none" w:sz="0" w:space="0" w:color="auto"/>
              </w:divBdr>
            </w:div>
          </w:divsChild>
        </w:div>
        <w:div w:id="1328902154">
          <w:marLeft w:val="0"/>
          <w:marRight w:val="0"/>
          <w:marTop w:val="0"/>
          <w:marBottom w:val="0"/>
          <w:divBdr>
            <w:top w:val="single" w:sz="12" w:space="0" w:color="FFFFFF"/>
            <w:left w:val="single" w:sz="12" w:space="31" w:color="FFFFFF"/>
            <w:bottom w:val="single" w:sz="12" w:space="0" w:color="FFFFFF"/>
            <w:right w:val="single" w:sz="12" w:space="0" w:color="FFFFFF"/>
          </w:divBdr>
          <w:divsChild>
            <w:div w:id="7877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BF385EECCB0BF4B8C8810DF94C7B4EC" ma:contentTypeVersion="4" ma:contentTypeDescription="Create a new document." ma:contentTypeScope="" ma:versionID="c0b1eaa065676ccf48a2d67fb91de864">
  <xsd:schema xmlns:xsd="http://www.w3.org/2001/XMLSchema" xmlns:xs="http://www.w3.org/2001/XMLSchema" xmlns:p="http://schemas.microsoft.com/office/2006/metadata/properties" xmlns:ns2="d8a7e07a-f887-49d3-8841-a40563731b99" xmlns:ns3="0cb9cdea-76fa-4366-8ca1-8a2290ad56c6" targetNamespace="http://schemas.microsoft.com/office/2006/metadata/properties" ma:root="true" ma:fieldsID="3f00195ce553ce2b865880d9ecf55e55" ns2:_="" ns3:_="">
    <xsd:import namespace="d8a7e07a-f887-49d3-8841-a40563731b99"/>
    <xsd:import namespace="0cb9cdea-76fa-4366-8ca1-8a2290ad56c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7e07a-f887-49d3-8841-a40563731b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b9cdea-76fa-4366-8ca1-8a2290ad56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8a7e07a-f887-49d3-8841-a40563731b99">MVC5733RMHN2-332742482-5902</_dlc_DocId>
    <_dlc_DocIdUrl xmlns="d8a7e07a-f887-49d3-8841-a40563731b99">
      <Url>https://eguv.sharepoint.com/Projects/egc-mgsp-01/_layouts/15/DocIdRedir.aspx?ID=MVC5733RMHN2-332742482-5902</Url>
      <Description>MVC5733RMHN2-332742482-5902</Description>
    </_dlc_DocIdUrl>
  </documentManagement>
</p:properties>
</file>

<file path=customXml/item4.xml><?xml version="1.0" encoding="utf-8"?>
<sisl xmlns:xsi="http://www.w3.org/2001/XMLSchema-instance" xmlns:xsd="http://www.w3.org/2001/XMLSchema" xmlns="http://www.boldonjames.com/2008/01/sie/internal/label" sislVersion="0" policy="1d45786f-a737-4735-8af6-df12fb6939a2" origin="defaultValu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D130-009D-4E5E-93CF-B365D8A94495}">
  <ds:schemaRefs>
    <ds:schemaRef ds:uri="http://schemas.microsoft.com/sharepoint/events"/>
  </ds:schemaRefs>
</ds:datastoreItem>
</file>

<file path=customXml/itemProps2.xml><?xml version="1.0" encoding="utf-8"?>
<ds:datastoreItem xmlns:ds="http://schemas.openxmlformats.org/officeDocument/2006/customXml" ds:itemID="{903E5DA8-68EF-49DB-8A79-E241CE1FE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7e07a-f887-49d3-8841-a40563731b99"/>
    <ds:schemaRef ds:uri="0cb9cdea-76fa-4366-8ca1-8a2290ad5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247313-3B13-4427-856A-20BBA978B9B1}">
  <ds:schemaRefs>
    <ds:schemaRef ds:uri="http://schemas.microsoft.com/office/2006/metadata/properties"/>
    <ds:schemaRef ds:uri="http://schemas.microsoft.com/office/infopath/2007/PartnerControls"/>
    <ds:schemaRef ds:uri="d8a7e07a-f887-49d3-8841-a40563731b99"/>
  </ds:schemaRefs>
</ds:datastoreItem>
</file>

<file path=customXml/itemProps4.xml><?xml version="1.0" encoding="utf-8"?>
<ds:datastoreItem xmlns:ds="http://schemas.openxmlformats.org/officeDocument/2006/customXml" ds:itemID="{597F46B1-0853-4BDA-A909-0ED00518E1E5}">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745DDCFA-0E02-4222-91C3-E864E16F38CC}">
  <ds:schemaRefs>
    <ds:schemaRef ds:uri="http://schemas.microsoft.com/sharepoint/v3/contenttype/forms"/>
  </ds:schemaRefs>
</ds:datastoreItem>
</file>

<file path=customXml/itemProps6.xml><?xml version="1.0" encoding="utf-8"?>
<ds:datastoreItem xmlns:ds="http://schemas.openxmlformats.org/officeDocument/2006/customXml" ds:itemID="{B13F85F8-B067-41FF-AB09-B5CCB188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1702</Words>
  <Characters>9705</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everis</dc:creator>
  <cp:keywords>[EBRD]</cp:keywords>
  <cp:lastModifiedBy>Пользователь</cp:lastModifiedBy>
  <cp:revision>2</cp:revision>
  <dcterms:created xsi:type="dcterms:W3CDTF">2019-09-25T20:04:00Z</dcterms:created>
  <dcterms:modified xsi:type="dcterms:W3CDTF">2019-09-25T20:04:00Z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0x0101003BF385EECCB0BF4B8C8810DF94C7B4EC</vt:lpwstr>
  </property>
  <property fmtid="{D5CDD505-2E9C-101B-9397-08002B2CF9AE}" pid="3" name="_dlc_DocIdItemGuid">
    <vt:lpwstr>f9f32256-24cf-4aad-8b09-48160a747e8f</vt:lpwstr>
  </property>
  <property fmtid="{D5CDD505-2E9C-101B-9397-08002B2CF9AE}" pid="4" name="docIndexRef">
    <vt:lpwstr>5958a313-a09c-43da-8951-a726e4150280</vt:lpwstr>
  </property>
  <property fmtid="{D5CDD505-2E9C-101B-9397-08002B2CF9AE}" pid="5" name="bjSaver">
    <vt:lpwstr>Vfo6On/DUR2ICtNKVl+F1QO05tqdsI0j</vt:lpwstr>
  </property>
  <property fmtid="{D5CDD505-2E9C-101B-9397-08002B2CF9AE}" pid="6" name="bjDocumentSecurityLabel">
    <vt:lpwstr>This item has no classification</vt:lpwstr>
  </property>
</Properties>
</file>