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PROJECT 1</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b/>
          <w:bCs/>
          <w:color w:val="000000"/>
          <w:sz w:val="34"/>
          <w:szCs w:val="34"/>
        </w:rPr>
        <w:t>The Meteoric Rise of BRC-20 Token Trading Volumes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Within the ever-evolving realm of cryptocurrencies, the BRC-20 token—a unique standard on the Bitcoin network—has gained immense popularity. An extraordinary spike in trade volume has been seen since November 2023, which is a big turning point for the cryptocurrency market. Analysts and investors alike are paying attention to this event because it points to a turning point in the history of Bitcoin and its allied tokens.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The Paris-based blo</w:t>
      </w:r>
      <w:bookmarkStart w:id="0" w:name="_GoBack"/>
      <w:bookmarkEnd w:id="0"/>
      <w:r w:rsidRPr="00B242CC">
        <w:rPr>
          <w:rFonts w:ascii="Arial" w:eastAsia="Times New Roman" w:hAnsi="Arial" w:cs="Arial"/>
          <w:color w:val="000000"/>
        </w:rPr>
        <w:t>ckchain analytics startup Kaiko has published enlightening statistics demonstrating the rapid growth of BRC-20 token trading volumes. From a modest $10-15 million, these volumes have surged to more than $500 million, indicating a significant rise in investor interest and activity. This trend is not only notable, but it also represents a shift in the crypto ecosystem, indicating a wider acceptance and use of Bitcoin-based tokens.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b/>
          <w:bCs/>
          <w:color w:val="000000"/>
        </w:rPr>
        <w:t>Binance's Pivotal Role in Market Expansion</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Binance, the world's most famous cryptocurrency exchange, has played an important role in this astonishing expansion. Binance has played a significant role in increasing BRC-20 token volumes, particularly with the listing of ORDI, SATS, and RATS tokens. These listings have boosted trade volume above the $2 billion level, demonstrating Binance's dominance in the cryptocurrency market. Binance initially controlled the market with a 63% share, which was eventually reduced to about 50% following the debut of these coins.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OKX, another large cryptocurrency exchange, was the first to add the BRC-20 token ORDI. It has now emerged as the second-largest spot market for these tokens, with a 35% market share. The rivalry among exchanges has benefited the market by increasing liquidity and offering investors with additional options.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b/>
          <w:bCs/>
          <w:color w:val="000000"/>
        </w:rPr>
        <w:t>New Era for Bitcoin: BRC-20 Tokens and Network Effects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BRC-20 tokens have ushered in what many refer to as a "new era" for Bitcoin. Binance Research's most recent analysis highlighted the enormous impact of these tokens on Bitcoin's growth and market domination. According to the survey, Bitcoin's market dominance has climbed from 40.4% to more than 50%, surpassing half of the total market capitalization in the cryptocurrency ecosystem.</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This expansion is strongly tied to the Ordinals inscriptions and the introduction of BRC-20 tokens, which have increased network activity, particularly in the mempool transaction count. The economic consequences are enormous, with greater transaction fees benefiting miners, particularly in the lead-up to the expected Bitcoin halving in 2024.</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However, this expansion has not been without hurdles. Luke Dashjr, a Bitcoin Core developer, highlighted concern about potential weaknesses in data inscription, which might lead to Bitcoin blockchain spam. This has prompted a controversy in the community, with developers encouraging them to address these flaws to ensure the network's stability.</w:t>
      </w: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lastRenderedPageBreak/>
        <w:t>The BRC-20 standard, which was introduced in March 2023, makes use of the Ordinals protocol to enable for data inscription on satoshis, the smallest unit of Bitcoin. This invention has increased the usability of Bitcoin by enabling for a wider range of applications and use cases.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The exponential surge of BRC-20 token trade volumes marks a watershed point in the cryptocurrency business. It demonstrates an increasing investor desire for Bitcoin-based tokens and highlights the cryptocurrency market's changing characteristics. Moving forward, it will be critical to examine how these changes impact the future of Bitcoin and the broader digital currency market.</w:t>
      </w:r>
    </w:p>
    <w:p w:rsidR="00B242CC" w:rsidRPr="00B242CC" w:rsidRDefault="00B242CC" w:rsidP="00B242CC">
      <w:pPr>
        <w:spacing w:after="240" w:line="240" w:lineRule="auto"/>
        <w:rPr>
          <w:rFonts w:ascii="Times New Roman" w:eastAsia="Times New Roman" w:hAnsi="Times New Roman" w:cs="Times New Roman"/>
          <w:sz w:val="24"/>
          <w:szCs w:val="24"/>
        </w:rPr>
      </w:pPr>
      <w:r w:rsidRPr="00B242CC">
        <w:rPr>
          <w:rFonts w:ascii="Times New Roman" w:eastAsia="Times New Roman" w:hAnsi="Times New Roman" w:cs="Times New Roman"/>
          <w:sz w:val="24"/>
          <w:szCs w:val="24"/>
        </w:rPr>
        <w:br/>
      </w:r>
      <w:r w:rsidRPr="00B242CC">
        <w:rPr>
          <w:rFonts w:ascii="Times New Roman" w:eastAsia="Times New Roman" w:hAnsi="Times New Roman" w:cs="Times New Roman"/>
          <w:sz w:val="24"/>
          <w:szCs w:val="24"/>
        </w:rPr>
        <w:br/>
      </w:r>
      <w:r w:rsidRPr="00B242CC">
        <w:rPr>
          <w:rFonts w:ascii="Times New Roman" w:eastAsia="Times New Roman" w:hAnsi="Times New Roman" w:cs="Times New Roman"/>
          <w:sz w:val="24"/>
          <w:szCs w:val="24"/>
        </w:rPr>
        <w:br/>
      </w:r>
      <w:r w:rsidRPr="00B242CC">
        <w:rPr>
          <w:rFonts w:ascii="Times New Roman" w:eastAsia="Times New Roman" w:hAnsi="Times New Roman" w:cs="Times New Roman"/>
          <w:sz w:val="24"/>
          <w:szCs w:val="24"/>
        </w:rPr>
        <w:br/>
      </w: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PROJECT 2</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32"/>
          <w:szCs w:val="32"/>
        </w:rPr>
        <w:t>Massive DOGE Movement: Unleashing 1 Billion Coins Sparks Market Buzz</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In an astonishing development in the cryptocurrency world, the Dogecoin (DOGE) community observed a significant movement in funds that has captured attention and prompted active discussions on the internet. A staggering 990 million DOGE, valued at approximately $79.2 million, was transferred in a sequence of massive transactions. This astonishing incident has not only enthralled the DOGE community, but has also sparked interest across the crypto world.</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The intriguing transfer came to light through Whale Alert, a widely-respected blockchain tracking service. The transaction was detailed in a flurry of tweets, with 11 individual transfers totaling 90 million DOGE apiece. This is not the first time such a large transaction has taken place in the DOGE ecosystem. Similar movements occurred on December 26th and January 9th, when approximately a billion DOGE were transferred, including a significant withdrawal from the cryptocurrency exchange Binance.</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b/>
          <w:bCs/>
          <w:color w:val="000000"/>
        </w:rPr>
        <w:t> Deciphering the DOGE Dynamics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As information of this enormous transfer became public, the DOGE community and market experts began on an expedition to discover the reasons behind it. The transaction's size sparked a variety of theories, with some seeing it as a sign of institutional activity or a planned move by large holders to rebalance their portfolios. </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However, amid the optimism, there is a lurking dread. Fears of a "DOGE dump" have emerged, with some community members concerned that this may result in a market sell-off, lowering the coin's value. Dogecoin, which is already struggling in the market after an almost 5% drop since Sunday, is currently trading around $0.0803. The coin has been striving to break through the resistance level of $0.0816, but its efforts have yet to bear fruit.</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b/>
          <w:bCs/>
          <w:color w:val="000000"/>
        </w:rPr>
        <w:t>The Musk Factor and Utah’s Regulatory Move</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lastRenderedPageBreak/>
        <w:t>Elon Musk's ongoing support for Dogecoin only adds to the mystery. The software billionaire, who is well-known for his influence in crypto markets, recently confirmed on a podcast that he still holds DOGE. Musk's steadfast support for the meme-inspired cryptocurrency has historically influenced both its value and market sentiment.</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In a related development, Utah became the 15th state in the United States to issue a money-transmitter licence to Elon Musk's social media network, X (previously known as Twitter). Approved on Friday, Utah's move might pave the road for the platform to incorporate new payment functionalities. The approval, which was confirmed by the Nationwide Multistate Licencing System &amp; Registry, is a significant step towards the integration of social media and digital currency transactions.</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The aftermath of the 990 million DOGE transfer remains shrouded in uncertainty. The market's response to this event is yet to be fully realized, but it undoubtedly highlights the volatile nature of Dogecoin and the fervent engagement of its community. As the cryptocurrency landscape continues to evolve, events like these serve as a reminder of the dynamic and unpredictable nature of this digital frontier.</w:t>
      </w:r>
    </w:p>
    <w:p w:rsidR="00B242CC" w:rsidRPr="00B242CC" w:rsidRDefault="00B242CC" w:rsidP="00B242CC">
      <w:pPr>
        <w:spacing w:after="24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PROJECT 3</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300" w:line="480" w:lineRule="auto"/>
        <w:rPr>
          <w:rFonts w:ascii="Times New Roman" w:eastAsia="Times New Roman" w:hAnsi="Times New Roman" w:cs="Times New Roman"/>
          <w:sz w:val="24"/>
          <w:szCs w:val="24"/>
        </w:rPr>
      </w:pPr>
      <w:r w:rsidRPr="00B242CC">
        <w:rPr>
          <w:rFonts w:ascii="Roboto" w:eastAsia="Times New Roman" w:hAnsi="Roboto" w:cs="Times New Roman"/>
          <w:b/>
          <w:bCs/>
          <w:color w:val="111827"/>
          <w:sz w:val="30"/>
          <w:szCs w:val="30"/>
        </w:rPr>
        <w:t>The Coinbase Impersonation Scheme: A Cautionary Tale in Cryptocurrency Security</w:t>
      </w:r>
    </w:p>
    <w:p w:rsidR="00B242CC" w:rsidRPr="00B242CC" w:rsidRDefault="00B242CC" w:rsidP="00B242CC">
      <w:pPr>
        <w:spacing w:before="300"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Amidst the constant digital advancements and innovations in the cryptocurrency landscape, a shadowy underbelly of cybercrime persists. Recently, a deceitful malware operation that impersonated Coinbase, a well-known cryptocurrency exchange, has caused shockwaves throughout the crypto industry. The increasing sophistication of cybercriminals and the pressing need for increased vigilance among owners of digital assets are highlighted by this scary incident.</w:t>
      </w:r>
    </w:p>
    <w:p w:rsidR="00B242CC" w:rsidRPr="00B242CC" w:rsidRDefault="00B242CC" w:rsidP="00B242CC">
      <w:pPr>
        <w:spacing w:before="300"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 xml:space="preserve">A comprehensive analysis from Group-IB's cybersecurity </w:t>
      </w:r>
      <w:proofErr w:type="gramStart"/>
      <w:r w:rsidRPr="00B242CC">
        <w:rPr>
          <w:rFonts w:ascii="Roboto" w:eastAsia="Times New Roman" w:hAnsi="Roboto" w:cs="Times New Roman"/>
          <w:color w:val="0F0F0F"/>
          <w:sz w:val="24"/>
          <w:szCs w:val="24"/>
        </w:rPr>
        <w:t>experts</w:t>
      </w:r>
      <w:proofErr w:type="gramEnd"/>
      <w:r w:rsidRPr="00B242CC">
        <w:rPr>
          <w:rFonts w:ascii="Roboto" w:eastAsia="Times New Roman" w:hAnsi="Roboto" w:cs="Times New Roman"/>
          <w:color w:val="0F0F0F"/>
          <w:sz w:val="24"/>
          <w:szCs w:val="24"/>
        </w:rPr>
        <w:t xml:space="preserve"> claims that between November 2022 and 2023, a malicious malware-as-a-service operation called Inferno Drainer rocked the cryptocurrency industry. This malware's sole, terrible purpose was to remove all money—both fungible and non-fungible tokens (NFTs)—from the wallets of </w:t>
      </w:r>
      <w:r w:rsidRPr="00B242CC">
        <w:rPr>
          <w:rFonts w:ascii="Roboto" w:eastAsia="Times New Roman" w:hAnsi="Roboto" w:cs="Times New Roman"/>
          <w:color w:val="0F0F0F"/>
          <w:sz w:val="24"/>
          <w:szCs w:val="24"/>
        </w:rPr>
        <w:lastRenderedPageBreak/>
        <w:t>unwary victims who had fallen victim to it. The Inferno Drainer operation demonstrates a notable increase in the strategies employed by cybercriminals to target the cryptocurrency industry.</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111827"/>
          <w:sz w:val="35"/>
          <w:szCs w:val="35"/>
        </w:rPr>
        <w:t>The Mechanics of the Malware</w:t>
      </w:r>
    </w:p>
    <w:p w:rsidR="00B242CC" w:rsidRPr="00B242CC" w:rsidRDefault="00B242CC" w:rsidP="00B242CC">
      <w:pPr>
        <w:spacing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When it came to its nefarious activities, Inferno Drainer wasn't acting alone. It used a malware-as-a-service approach, allowing other malicious actors to take money out of victims' wallets by using the drainer. In return, 20% of the stolen profits were kicked back to the operators of Inferno Drainer. This cybercrime business model demonstrates a troubling trend of hackers working together to maximise their illegal profits.</w:t>
      </w:r>
    </w:p>
    <w:p w:rsidR="00B242CC" w:rsidRPr="00B242CC" w:rsidRDefault="00B242CC" w:rsidP="00B242CC">
      <w:pPr>
        <w:spacing w:before="300"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This scam was executed with terrifying efficiency. Phishing websites that were painstakingly designed to mimic Coinbase's official website were used to trick victims. These pages were the crux of the operation, designed to deceive users into believing they were engaging with the authentic Coinbase platform. After conducting an investigation, Group-IB discovered that this phishing campaign was connected to a vast network of over 16,000 distinct domains, impersonating over 100 different cryptocurrency brands.</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111827"/>
          <w:sz w:val="35"/>
          <w:szCs w:val="35"/>
        </w:rPr>
        <w:t>The Airdrop Deception and Its Aftermath</w:t>
      </w:r>
    </w:p>
    <w:p w:rsidR="00B242CC" w:rsidRPr="00B242CC" w:rsidRDefault="00B242CC" w:rsidP="00B242CC">
      <w:pPr>
        <w:spacing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 xml:space="preserve">The bait used to ensnare victims was the promise of an airdrop, a common practice in the crypto world where new projects distribute tokens to build a community and generate buzz. This was the bait used to entice victims. Through the promise of an airdrop, victims were tricked into linking their wallets to the attackers' network in this fraud. They were made to feel as though they were authorising a transaction in order to obtain the airdrop. </w:t>
      </w:r>
      <w:r w:rsidRPr="00B242CC">
        <w:rPr>
          <w:rFonts w:ascii="Roboto" w:eastAsia="Times New Roman" w:hAnsi="Roboto" w:cs="Times New Roman"/>
          <w:color w:val="0F0F0F"/>
          <w:sz w:val="24"/>
          <w:szCs w:val="24"/>
        </w:rPr>
        <w:lastRenderedPageBreak/>
        <w:t>But because blockchain technology is unchangeable, once they connected their wallets, the drainer would activate and transfer all of the victims' funds irreversibly.</w:t>
      </w:r>
    </w:p>
    <w:p w:rsidR="00B242CC" w:rsidRPr="00B242CC" w:rsidRDefault="00B242CC" w:rsidP="00B242CC">
      <w:pPr>
        <w:spacing w:before="300"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This operation was enormous in scope. According to Group-IB estimates, over 130,000 people were duped by this operation, stealing in excess of $80 million. According to reports, the Inferno Drainer was shut down in November 2023, yet surprisingly, as of mid-January of this year, its user panel was still operational.</w:t>
      </w:r>
    </w:p>
    <w:p w:rsidR="00B242CC" w:rsidRPr="00B242CC" w:rsidRDefault="00B242CC" w:rsidP="00B242CC">
      <w:pPr>
        <w:spacing w:before="300" w:after="300" w:line="480" w:lineRule="auto"/>
        <w:rPr>
          <w:rFonts w:ascii="Times New Roman" w:eastAsia="Times New Roman" w:hAnsi="Times New Roman" w:cs="Times New Roman"/>
          <w:sz w:val="24"/>
          <w:szCs w:val="24"/>
        </w:rPr>
      </w:pPr>
      <w:r w:rsidRPr="00B242CC">
        <w:rPr>
          <w:rFonts w:ascii="Roboto" w:eastAsia="Times New Roman" w:hAnsi="Roboto" w:cs="Times New Roman"/>
          <w:color w:val="0F0F0F"/>
          <w:sz w:val="24"/>
          <w:szCs w:val="24"/>
        </w:rPr>
        <w:t>This incident is a clear warning of the risks associated with working with digital currencies. It emphasises how crucial it is for cryptocurrency users to exercise increased diligence and awareness. Strong security measures and informed, watchful users are more important than ever as the crypto community grows and so do the sophisticated threats against it.</w:t>
      </w:r>
    </w:p>
    <w:p w:rsidR="00B242CC" w:rsidRPr="00B242CC" w:rsidRDefault="00B242CC" w:rsidP="00B242CC">
      <w:pPr>
        <w:spacing w:after="240" w:line="240" w:lineRule="auto"/>
        <w:rPr>
          <w:rFonts w:ascii="Times New Roman" w:eastAsia="Times New Roman" w:hAnsi="Times New Roman" w:cs="Times New Roman"/>
          <w:sz w:val="24"/>
          <w:szCs w:val="24"/>
        </w:rPr>
      </w:pPr>
      <w:r w:rsidRPr="00B242CC">
        <w:rPr>
          <w:rFonts w:ascii="Times New Roman" w:eastAsia="Times New Roman" w:hAnsi="Times New Roman" w:cs="Times New Roman"/>
          <w:sz w:val="24"/>
          <w:szCs w:val="24"/>
        </w:rPr>
        <w:br/>
      </w: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PROJECT 4</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32"/>
          <w:szCs w:val="32"/>
        </w:rPr>
        <w:t>AI Emerges as a Front-Runner at Davos 2024, Overshadowing Bitcoin ETFs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A startling shift in emphasis was noticed during the 2024 World Economic Forum (WEF) in Davos, indicating a possible transformation in the fields of technology and investment. Though the cryptocurrency world was anxious to see how the US launch of spot Bitcoin ETFs would play out, artificial intelligence (AI) took centre stage instead of the expected spotlight. This trend has caused investors and analysts to reevaluate their goals and make assumptions about potential shifts in investor interest.</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Even while spot Bitcoin ETFs created a lot of noise when they first launched, AI's dominance overshadowed their introduction to some extent. Compared to prior years, there was a lower presence of crypto-related companies at the WEF this year. On the </w:t>
      </w:r>
      <w:r w:rsidRPr="00B242CC">
        <w:rPr>
          <w:rFonts w:ascii="Roboto" w:eastAsia="Times New Roman" w:hAnsi="Roboto" w:cs="Times New Roman"/>
          <w:color w:val="374151"/>
          <w:sz w:val="24"/>
          <w:szCs w:val="24"/>
        </w:rPr>
        <w:lastRenderedPageBreak/>
        <w:t>other hand, artificial intelligence (AI) took front stage in the talks and display areas, emphasising its increasing importance and capacity to transform diverse sectors.</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t>AI's Ascendancy in the Tech World</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rise of AI at Davos 2024 was undeniable. Tech businesses and innovators were loud about the far-reaching ramifications of AI, positioning it as the next major frontier in technological growth. The focus on AI eclipsed the cryptocurrency industry, which had previously received major attention at the meeting. This shift in focus was not only visible in the debates, but also in the form of exhibition displays and AI-focused lectures.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subdued enthusiasm for cryptocurrencies, especially in the wake of the launch of spot Bitcoin ETFs, added to the narrative. Instead of the projected increase in Bitcoin prices following the ETF's debut, the market reaction was very modest. This measured response reinforced AI's status as the new focus point for investors and technology enthusiasts at Davos 2024.</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t>Integrating AI and Crypto: A Future Perspective</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While AI and cryptocurrency have separate characteristics, there is a growing tendency of interaction between these two fields. Innovators in the Web3 ecosystem are actively investigating the synergies between AI and blockchain technology. Projects like Cardano's AI chatbot Girolamo and Bad Idea AI, connected with Shiba Inu, are good examples of this creative convergence.</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Circle's chief strategy officer, Dante Disparte, provides a perceptive analysis of this trend. He views the shift in focus towards AI not as a setback for the crypto industry but as a sign of its maturation. According to Disparte, cryptocurrencies are now a well-established component of the larger technical environment. The convergence of AI and crypto technologies is projected to intensify, driven by the shared goal of furthering human evolution through cutting-edge technology.</w:t>
      </w: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2024 World Economic Forum at Davos marked a notable shift in the technological and investment landscape, with AI taking precedence over cryptocurrencies. While this may suggest a shift in investor mood, it also opens up new opportunities for the integration of AI and crypto technology, promising revolutionary advances in the future.</w:t>
      </w:r>
    </w:p>
    <w:p w:rsidR="00B242CC" w:rsidRPr="00B242CC" w:rsidRDefault="00B242CC" w:rsidP="00B242CC">
      <w:pPr>
        <w:spacing w:after="240" w:line="240" w:lineRule="auto"/>
        <w:rPr>
          <w:rFonts w:ascii="Times New Roman" w:eastAsia="Times New Roman" w:hAnsi="Times New Roman" w:cs="Times New Roman"/>
          <w:sz w:val="24"/>
          <w:szCs w:val="24"/>
        </w:rPr>
      </w:pPr>
      <w:r w:rsidRPr="00B242CC">
        <w:rPr>
          <w:rFonts w:ascii="Times New Roman" w:eastAsia="Times New Roman" w:hAnsi="Times New Roman" w:cs="Times New Roman"/>
          <w:sz w:val="24"/>
          <w:szCs w:val="24"/>
        </w:rPr>
        <w:br/>
      </w: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PROJECT 5</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24"/>
          <w:szCs w:val="24"/>
        </w:rPr>
        <w:t>Insights and Innovations: Key Takeaways from the Cryptocurrency Symposium</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The latest Cryptocurrency Symposium was a hive of talks, ideas, and inventions that will influence digital assets in the future. Leaders in the industry and specialists gathered to </w:t>
      </w:r>
      <w:r w:rsidRPr="00B242CC">
        <w:rPr>
          <w:rFonts w:ascii="Roboto" w:eastAsia="Times New Roman" w:hAnsi="Roboto" w:cs="Times New Roman"/>
          <w:color w:val="374151"/>
          <w:sz w:val="24"/>
          <w:szCs w:val="24"/>
        </w:rPr>
        <w:lastRenderedPageBreak/>
        <w:t>discuss several facets of the cryptocurrency space, with an emphasis on how cryptocurrencies fit into traditional financial products like exchange-traded funds (ETFs). The symposium addressed the potential and challenges that lay ahead in addition to acknowledging the advancements made in the field of cryptocurrency.</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symposium focused heavily on the rising significance of spot Bitcoin ETFs in the market. Discussions led by important personalities such as Tom Lydon, vice chairman of VettaFi, Jonathan Steinberg, founder and CEO of WisdomTree, and Matt Hougan, chief investment officer at Bitwise Investments, delved into how new ETFs are changing investment techniques. They emphasised the importance of giving financial advisors with exposure to digital currencies via ETFs, which would broaden the reach and acceptance of cryptocurrencies.</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t>The Evolution of Bitcoin ETFs</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approval and subsequent release of spot Bitcoin ETFs was a watershed moment in the cryptocurrency business, attracting a lot of attention at the conference. Industry experts Paul Cappelli of Galaxy Asset Management and David LaValle of Grayscale Investments debated the influence of these ETFs on the larger exchange-traded fund market. Their insights into the effective use of these products in investing portfolios provided a fresh perspective on bitcoin investments.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A special session with Bloomberg's Eric Balchunas offered a thorough examination of the spot bitcoin ETF saga. Lydon and Rosenbluth moderated the debate, which focused on the parameters that advisers evaluate when choosing between several spot bitcoin ETF choices. Balchunas offered light on the items' long-term ramifications for the cryptocurrency business, pointing to a potential upheaval in the landscape.</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t>Beyond Investments: Mining and Blockchain Technology</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symposium also covered the technical aspects of cryptocurrencies, with a focus on mining and blockchain technology. Frank Holmes, executive chairman of HIVE Digital Technologies, joined Tom Lydon to explore the nuances of mining digital currencies. Their discussion included the possibilities of crypto mining stocks as well as future Bitcoin price predictions.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Jay Jacobs of BlackRock broadened the scope of the discussion by examining the role of blockchain technology in the cryptocurrency ecosystem. He emphasized the transformative power of blockchain and its potential impact on the cryptocurrency landscape. This segment underscored the importance of understanding the technological foundations of digital assets, beyond just their investment potential.</w:t>
      </w: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The Cryptocurrency Symposium provided unique insights into the dynamic and growing nature of the cryptocurrency market. From the incorporation of digital assets into traditional financial products such as ETFs to the technological foundations of </w:t>
      </w:r>
      <w:r w:rsidRPr="00B242CC">
        <w:rPr>
          <w:rFonts w:ascii="Roboto" w:eastAsia="Times New Roman" w:hAnsi="Roboto" w:cs="Times New Roman"/>
          <w:color w:val="374151"/>
          <w:sz w:val="24"/>
          <w:szCs w:val="24"/>
        </w:rPr>
        <w:lastRenderedPageBreak/>
        <w:t>blockchain and mining, the event emphasised the many facets of this emerging industry. As the world of digital currencies grows and matures, events like these become increasingly important in helping investors, advisors, and enthusiasts through the ever-changing cryptocurrency ecosystem.</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PROJECT 6</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24"/>
          <w:szCs w:val="24"/>
        </w:rPr>
        <w:t>Surge in Crypto Investment Products: Bitcoin Leads the Charge</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Recent data show that the bitcoin investing market is experiencing a significant influx of funds. Last week, investment products focused on cryptocurrencies saw inflows of $1.18 billion. This surge is predominantly attributed to products focused on Bitcoin, although considerable investments were also made in vehicles related to Ethereum, XRP, and a number of other digital currencies.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This pattern is shown in CoinShares' most recent Digital Asset Fund Flows report, which shows that $1.14 billion of the overall inflows came from investment products with a Bitcoin concentration alone. Following the U.S. Securities and Exchange Commission's approval of eleven spot Bitcoin exchange-traded funds (ETFs), there was a spike in investment. Even while these inflows are significant, they fell short of the record $1.5 billion set when futures-based Bitcoin ETFs started trading in October 2021.</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374151"/>
          <w:sz w:val="33"/>
          <w:szCs w:val="33"/>
        </w:rPr>
        <w:t>Record-Breaking Trading Volumes and Geographical Variations</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enthusiasm for cryptocurrency investment products is further evidenced by the exchange-traded product (ETP) trading volumes, which reached a new peak last week. The volumes soared to $17.5 billion, a significant increase from the average weekly volume of $2 billion witnessed in 2022. This increase in trading activity reflects increased investor interest in cryptocurrency products.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Geographically, the United States accounted for $1.24 billion of the inflows, with Switzerland witnessing a noteworthy $21 million inflow. On the other hand, some European regions had outflows; Canada and Germany reported outflows of $44 million and $27 million, respectively. These regional variations draw attention to the various worldwide viewpoints and methods for investing in cryptocurrencies.</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374151"/>
          <w:sz w:val="33"/>
          <w:szCs w:val="33"/>
        </w:rPr>
        <w:t>Altcoins Gaining Traction and Long-Term Bitcoin Prospects</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Along with Bitcoin, other cryptocurrencies are gaining popularity in the investment community. Inflows to Ethereum-focused products totaled $25.7 million, while multi-asset products received $5.6 million. Altcoins such as XRP and Cardano are not far behind, with investment products linked to them seeing inflows of $2.2 million and $1.4 million, respectively. This diversity of investing choices reflects a growing interest in the cryptocurrency market beyond Bitcoin.</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lastRenderedPageBreak/>
        <w:t>According to CCData's comparison analysis, there are similarities between the historical impact of the first gold ETF introduction in the US in November 2004 and the present trend in cryptocurrency investing. According to the analysis, Bitcoin's price may follow gold's historical pattern of large inflows and then experience a series of price changes. This similarity extends to Bitcoin's potential to compete with gold as an alternative asset class and store of value. The long-term growth potential for Bitcoin, as evidenced by its recent performance and comparison to historical gold trends, continue to pique the interest and speculation of the investment world.</w:t>
      </w: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To sum up, the current surge in investments in cryptocurrency products—which include both Bitcoin and other digital assets—marks an important turning point in the development of the crypto sector. A maturing and more widely accepted asset class is depicted by the record-breaking trade volumes, varied geographic investment patterns, and rising interest in altcoins. It will be interesting to watch how the cryptocurrency market develops going forward and any potential long-term repercussions for investors and the larger financial system.</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PROJECT 7</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24"/>
          <w:szCs w:val="24"/>
        </w:rPr>
        <w:t>Sui Blockchain: A Rising Star in the DeFi Ecosystem</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Sui, a top Layer 1 blockchain, is ushering in a new era of growth and innovation for the decentralised finance (DeFi) industry. Sui, which was created by the same team that worked on Meta's Diem stablecoin project, just passed $300 million in Total Value Locked (TVL), which is a noteworthy milestone. With this accomplishment, Sui not only solidifies its status as a strong competitor in the DeFi market but also surpasses Bitcoin in TVL, placing it as the 13th-largest blockchain according to DefiLlama's leaderboard.</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Sui's incredible growth, as indicated by a more than 2000% increase in TVL since the mainnet's inception, demonstrates the blockchain's solid technology and growing popularity among developers. Greg Siourounis, Managing Director of the Sui Foundation, sees this rise as a reflection of the community's efforts and the blockchain's potential to lead the industry. The increase in TVL is a sign of market confidence and a growing focus on the fundamentals of blockchain technology.</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374151"/>
          <w:sz w:val="33"/>
          <w:szCs w:val="33"/>
        </w:rPr>
        <w:t>Technological Advancements and Ecosystem Expansion</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Sui's technological prowess has played a pivotal role in its rapid growth. The blockchain has demonstrated its scalability and efficiency by handling a record number of transactions in a single day and achieving a transaction speed of 297,000 transactions per second without network disruptions or fee spikes. These achievements underscore Sui's capability to handle large-scale operations, making it an attractive platform for developers and users alike.</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lastRenderedPageBreak/>
        <w:t>The DeFi protocols contributing to Sui's TVL include the Decentralized Exchange (DEX) Cetus with $62 million locked in, followed by Navi Protocol, Scallop Lend, DeepBook, and FlowX Finance. These protocols reflect the diverse range of applications and services available within the Sui ecosystem, from lending and borrowing to trading and liquidity provision.</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374151"/>
          <w:sz w:val="33"/>
          <w:szCs w:val="33"/>
        </w:rPr>
        <w:t>Strategic Partnerships and Future Outlook</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Strategic expansions and alliances have also contributed to the Sui ecosystem's growth. Notably, Solend, a key lending protocol on Solana, has announced ambitions to expand to Sui, demonstrating the blockchain's expanding significance. Similarly, Bluefin, a well-known derivatives trading protocol, has transferred its whole attention to Sui, using the platform's performance characteristics. These developments point to a growing trend of projects using Sui because of its unique features and potential for widespread adoption.</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In addition to its DeFi accomplishments, Sui has made significant strides in technology and infrastructure. The release of zkLogin and zkSend marks ground-breaking attempts to simplify Web3 interactions. zkLogin allows users to establish and access Web3 wallets using their existing web2 social credentials, whilst zkSend seeks to make Web3 transactions as simple as sending an email.</w:t>
      </w: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Sui's achievements in the DeFi space are attributed to its strong ecology, strategic alliances, and technology advancements. The object-centric paradigm, scalability, and user-friendliness of the blockchain continue to draw developers and users, indicating that it has the potential to be widely adopted and have a significant impact on the cryptocurrency environment. The path of the Sui blockchain is evidence of the dynamic and ever-changing DeFi sector, where advancements in growth and innovation are redefining the potential of decentralised finance.</w:t>
      </w:r>
    </w:p>
    <w:p w:rsidR="00B242CC" w:rsidRPr="00B242CC" w:rsidRDefault="00B242CC" w:rsidP="00B242CC">
      <w:pPr>
        <w:spacing w:after="0" w:line="240" w:lineRule="auto"/>
        <w:rPr>
          <w:rFonts w:ascii="Times New Roman" w:eastAsia="Times New Roman" w:hAnsi="Times New Roman" w:cs="Times New Roman"/>
          <w:sz w:val="24"/>
          <w:szCs w:val="24"/>
        </w:rPr>
      </w:pPr>
    </w:p>
    <w:p w:rsidR="00B242CC" w:rsidRPr="00B242CC" w:rsidRDefault="00B242CC" w:rsidP="00B242CC">
      <w:pPr>
        <w:spacing w:after="0" w:line="240" w:lineRule="auto"/>
        <w:rPr>
          <w:rFonts w:ascii="Times New Roman" w:eastAsia="Times New Roman" w:hAnsi="Times New Roman" w:cs="Times New Roman"/>
          <w:sz w:val="24"/>
          <w:szCs w:val="24"/>
        </w:rPr>
      </w:pPr>
      <w:r w:rsidRPr="00B242CC">
        <w:rPr>
          <w:rFonts w:ascii="Arial" w:eastAsia="Times New Roman" w:hAnsi="Arial" w:cs="Arial"/>
          <w:color w:val="000000"/>
        </w:rPr>
        <w:t>PROJECT 8</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b/>
          <w:bCs/>
          <w:color w:val="374151"/>
          <w:sz w:val="24"/>
          <w:szCs w:val="24"/>
        </w:rPr>
        <w:t>A Decade in the Making: SEC Approves 11 Bitcoin Spot ETFs</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Bitcoin has accomplished a significant turning point in its financial history. The U.S. Securities and Exchange Commission (SEC) has approved not one, not two, but eleven Bitcoin Spot Exchange-Traded Funds (ETFs) following ten years of expectation and multiple proposals. This momentous decision is expected to have a huge impact on Bitcoin's future and represents a turning point in the cryptocurrency's history. Now that institutional and retail investors in the US have direct, regulated access to Bitcoin through investment vehicles, a new era of acceptance and adoption of this top digital asset may be about to begin.</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 xml:space="preserve">The SEC's decision, while historic, was not without controversy. The clearance process revealed divergent views among the commissioners, highlighting the complicated and frequently contentious nature of cryptocurrency regulation. Despite these disparities, the permission acknowledges Bitcoin's expanding importance in the broader financial </w:t>
      </w:r>
      <w:r w:rsidRPr="00B242CC">
        <w:rPr>
          <w:rFonts w:ascii="Roboto" w:eastAsia="Times New Roman" w:hAnsi="Roboto" w:cs="Times New Roman"/>
          <w:color w:val="374151"/>
          <w:sz w:val="24"/>
          <w:szCs w:val="24"/>
        </w:rPr>
        <w:lastRenderedPageBreak/>
        <w:t>system. The SEC Chair's statements hinted that external considerations, such as court rulings, may have influenced the timing of the approvals, adding to the suspense around this landmark event.</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t>The Immediate Impact and Market Response</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introduction of Bitcoin Spot ETFs had an immediate impact on the financial markets. Although Bitcoin's price suffered considerable volatility after its inception, the long-term consequences of these ETFs for Bitcoin's valuation could be significant. ETFs provide a more accessible and regulated alternative for a broader spectrum of investors to obtain exposure to bitcoin. This accessibility is especially crucial for investors who have historically faced security, accounting, or tax issues when making direct cryptocurrency investments. The ETFs are intended to permit a significant influx of wealth into the Bitcoin network, despite the fact that they do not change the core characteristics of Bitcoin.</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Despite some traders' predictions of lower valuation levels for Bitcoin, others hold a contrarian stance, anticipating an upward trend in its price. This optimism is confirmed by early indicators, such as strong capital inflows into these ETFs, which exceeded $1.4 billion in just three days of trading. The persistent inflows over the next few weeks and months will be essential to monitor, as they could signify the larger market's trust in Bitcoin.</w:t>
      </w:r>
    </w:p>
    <w:p w:rsidR="00B242CC" w:rsidRPr="00B242CC" w:rsidRDefault="00B242CC" w:rsidP="00B242CC">
      <w:pPr>
        <w:spacing w:before="280" w:after="80" w:line="240" w:lineRule="auto"/>
        <w:outlineLvl w:val="2"/>
        <w:rPr>
          <w:rFonts w:ascii="Times New Roman" w:eastAsia="Times New Roman" w:hAnsi="Times New Roman" w:cs="Times New Roman"/>
          <w:b/>
          <w:bCs/>
          <w:sz w:val="27"/>
          <w:szCs w:val="27"/>
        </w:rPr>
      </w:pPr>
      <w:r w:rsidRPr="00B242CC">
        <w:rPr>
          <w:rFonts w:ascii="Roboto" w:eastAsia="Times New Roman" w:hAnsi="Roboto" w:cs="Times New Roman"/>
          <w:b/>
          <w:bCs/>
          <w:color w:val="000000"/>
          <w:sz w:val="33"/>
          <w:szCs w:val="33"/>
        </w:rPr>
        <w:t>Long-Term Prospects and Investor Sentiment</w:t>
      </w:r>
    </w:p>
    <w:p w:rsidR="00B242CC" w:rsidRPr="00B242CC" w:rsidRDefault="00B242CC" w:rsidP="00B242CC">
      <w:pPr>
        <w:spacing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launch of Bitcoin Spot ETFs in the United States is more than simply a new investment vehicle; it also marks the maturing of Bitcoin as a financial asset. The introduction of ETFs may result in more public adoption and inclusion of Bitcoin into broad financial portfolios. Hester Pierce, often known as 'Crypto Mom' in the crypto world, echoed this emotion, rejoicing the end of what she called a 'unnecessary yet consequential drama'.</w:t>
      </w:r>
    </w:p>
    <w:p w:rsidR="00B242CC" w:rsidRPr="00B242CC" w:rsidRDefault="00B242CC" w:rsidP="00B242CC">
      <w:pPr>
        <w:spacing w:before="300" w:after="30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long-term growth prospects of Bitcoin, now bolstered by the presence of these ETFs, remain a topic of much debate and speculation. As the cryptocurrency market evolves, the impact of Bitcoin ETFs on investor sentiment and market dynamics will be constantly scrutinised. The question now is not only about the immediate price changes, but also about how these ETFs will affect Bitcoin's adoption and incorporation into the global financial system.</w:t>
      </w:r>
    </w:p>
    <w:p w:rsidR="00B242CC" w:rsidRPr="00B242CC" w:rsidRDefault="00B242CC" w:rsidP="00B242CC">
      <w:pPr>
        <w:spacing w:before="300" w:after="0" w:line="240" w:lineRule="auto"/>
        <w:rPr>
          <w:rFonts w:ascii="Times New Roman" w:eastAsia="Times New Roman" w:hAnsi="Times New Roman" w:cs="Times New Roman"/>
          <w:sz w:val="24"/>
          <w:szCs w:val="24"/>
        </w:rPr>
      </w:pPr>
      <w:r w:rsidRPr="00B242CC">
        <w:rPr>
          <w:rFonts w:ascii="Roboto" w:eastAsia="Times New Roman" w:hAnsi="Roboto" w:cs="Times New Roman"/>
          <w:color w:val="374151"/>
          <w:sz w:val="24"/>
          <w:szCs w:val="24"/>
        </w:rPr>
        <w:t>The SEC's approval of eleven Bitcoin Spot ETFs represents a turning point for the cryptocurrency and could signal the beginning of a new phase of expansion and widespread use. The effect of these ETFs on investor behaviour and market dynamics will be a crucial topic of research as the cryptocurrency ecosystem develops, attracting the attention of both enthusiasts and detractors equally.</w:t>
      </w:r>
    </w:p>
    <w:p w:rsidR="008E232E" w:rsidRDefault="00B242CC"/>
    <w:sectPr w:rsidR="008E23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2CC"/>
    <w:rsid w:val="00505822"/>
    <w:rsid w:val="00B242CC"/>
    <w:rsid w:val="00EA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960FA-FC32-4041-BDA4-73AD4F31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42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2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42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20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4082</Words>
  <Characters>23272</Characters>
  <Application>Microsoft Office Word</Application>
  <DocSecurity>0</DocSecurity>
  <Lines>193</Lines>
  <Paragraphs>54</Paragraphs>
  <ScaleCrop>false</ScaleCrop>
  <Company/>
  <LinksUpToDate>false</LinksUpToDate>
  <CharactersWithSpaces>27300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2024-02-19T14:57:00Z</dcterms:created>
  <dcterms:modified xsi:type="dcterms:W3CDTF">2024-02-19T15:00:00Z</dcterms:modified>
</cp:coreProperties>
</file>