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E5FB" w14:textId="5DD558F1" w:rsidR="00FD0D05" w:rsidRDefault="00FD0D05" w:rsidP="00FD0D05">
      <w:r>
        <w:t xml:space="preserve">Your discussion effectively highlights the limitations of large language models and the ethical concerns associated with their increasing adoption. I agree that describing these models as "stochastic parrots" provides a useful perspective on why AI-generated content should not be assumed to represent genuine understanding or reasoning </w:t>
      </w:r>
      <w:sdt>
        <w:sdtPr>
          <w:id w:val="-1798136529"/>
          <w:citation/>
        </w:sdtPr>
        <w:sdtContent>
          <w:r>
            <w:fldChar w:fldCharType="begin"/>
          </w:r>
          <w:r>
            <w:instrText xml:space="preserve"> CITATION Hut211 \l 1033 </w:instrText>
          </w:r>
          <w:r>
            <w:fldChar w:fldCharType="separate"/>
          </w:r>
          <w:r w:rsidRPr="00FD0D05">
            <w:rPr>
              <w:noProof/>
            </w:rPr>
            <w:t>(Hutson, 2021)</w:t>
          </w:r>
          <w:r>
            <w:fldChar w:fldCharType="end"/>
          </w:r>
        </w:sdtContent>
      </w:sdt>
      <w:r>
        <w:t>.</w:t>
      </w:r>
    </w:p>
    <w:p w14:paraId="4DFBA82C" w14:textId="77777777" w:rsidR="00FD0D05" w:rsidRDefault="00FD0D05" w:rsidP="00FD0D05"/>
    <w:p w14:paraId="4A6F7F98" w14:textId="1EE955FD" w:rsidR="00FD0D05" w:rsidRDefault="00FD0D05" w:rsidP="00FD0D05">
      <w:r>
        <w:t xml:space="preserve">However, I believe the discussion could be strengthened by considering the practical benefits of these systems alongside their limitations. Whilst large language models rely on statistical patterns rather than true comprehension, they have demonstrated considerable value in supporting administrative tasks, knowledge management and content generation, thereby improving productivity across many industries </w:t>
      </w:r>
      <w:sdt>
        <w:sdtPr>
          <w:id w:val="692882799"/>
          <w:citation/>
        </w:sdtPr>
        <w:sdtContent>
          <w:r>
            <w:fldChar w:fldCharType="begin"/>
          </w:r>
          <w:r>
            <w:instrText xml:space="preserve"> CITATION Dwi231 \l 1033 </w:instrText>
          </w:r>
          <w:r>
            <w:fldChar w:fldCharType="separate"/>
          </w:r>
          <w:r w:rsidRPr="00FD0D05">
            <w:rPr>
              <w:noProof/>
            </w:rPr>
            <w:t>(Dwivedi, 2023)</w:t>
          </w:r>
          <w:r>
            <w:fldChar w:fldCharType="end"/>
          </w:r>
        </w:sdtContent>
      </w:sdt>
      <w:r>
        <w:t xml:space="preserve">. Consequently, the key challenge is not whether AI can think like humans, but whether </w:t>
      </w:r>
      <w:proofErr w:type="spellStart"/>
      <w:r>
        <w:t>organisations</w:t>
      </w:r>
      <w:proofErr w:type="spellEnd"/>
      <w:r>
        <w:t xml:space="preserve"> establish appropriate governance to ensure its outputs are critically evaluated before use.</w:t>
      </w:r>
    </w:p>
    <w:p w14:paraId="327EBB5E" w14:textId="77777777" w:rsidR="00FD0D05" w:rsidRDefault="00FD0D05" w:rsidP="00FD0D05"/>
    <w:p w14:paraId="42E6D41F" w14:textId="77777777" w:rsidR="00FD0D05" w:rsidRDefault="00FD0D05" w:rsidP="00FD0D05">
      <w:r>
        <w:t xml:space="preserve">Furthermore, although bias, misinformation and the potential misuse of AI are legitimate concerns, these issues reinforce the need for transparent AI policies, human oversight and continuous monitoring rather than restricting technological adoption. In my view, the greatest </w:t>
      </w:r>
      <w:proofErr w:type="spellStart"/>
      <w:r>
        <w:t>organisational</w:t>
      </w:r>
      <w:proofErr w:type="spellEnd"/>
      <w:r>
        <w:t xml:space="preserve"> risk arises when users accept AI-generated content without verification. Therefore, AI should be regarded as a collaborative decision-support tool that complements human expertise rather than replacing professional judgement. Balancing technological innovation with ethical accountability will enable </w:t>
      </w:r>
      <w:proofErr w:type="spellStart"/>
      <w:r>
        <w:t>organisations</w:t>
      </w:r>
      <w:proofErr w:type="spellEnd"/>
      <w:r>
        <w:t xml:space="preserve"> to </w:t>
      </w:r>
      <w:proofErr w:type="spellStart"/>
      <w:r>
        <w:t>maximise</w:t>
      </w:r>
      <w:proofErr w:type="spellEnd"/>
      <w:r>
        <w:t xml:space="preserve"> the benefits of AI whilst </w:t>
      </w:r>
      <w:proofErr w:type="spellStart"/>
      <w:r>
        <w:t>minimising</w:t>
      </w:r>
      <w:proofErr w:type="spellEnd"/>
      <w:r>
        <w:t xml:space="preserve"> its associated risks.</w:t>
      </w:r>
    </w:p>
    <w:p w14:paraId="55CA5AD7" w14:textId="0A85B9E7" w:rsidR="00FD0D05" w:rsidRDefault="00FD0D05" w:rsidP="00FD0D05"/>
    <w:sdt>
      <w:sdtPr>
        <w:id w:val="-144517326"/>
        <w:docPartObj>
          <w:docPartGallery w:val="Bibliographies"/>
          <w:docPartUnique/>
        </w:docPartObj>
      </w:sdtPr>
      <w:sdtEndPr>
        <w:rPr>
          <w:rFonts w:asciiTheme="minorHAnsi" w:eastAsiaTheme="minorHAnsi" w:hAnsiTheme="minorHAnsi" w:cstheme="minorBidi"/>
          <w:color w:val="auto"/>
          <w:sz w:val="24"/>
          <w:szCs w:val="24"/>
        </w:rPr>
      </w:sdtEndPr>
      <w:sdtContent>
        <w:p w14:paraId="4F0BC55E" w14:textId="7A111078" w:rsidR="00FD0D05" w:rsidRDefault="00FD0D05">
          <w:pPr>
            <w:pStyle w:val="Heading1"/>
          </w:pPr>
          <w:r>
            <w:t>References</w:t>
          </w:r>
        </w:p>
        <w:sdt>
          <w:sdtPr>
            <w:id w:val="-573587230"/>
            <w:bibliography/>
          </w:sdtPr>
          <w:sdtContent>
            <w:p w14:paraId="298CAFA0" w14:textId="77777777" w:rsidR="00FD0D05" w:rsidRDefault="00FD0D05" w:rsidP="00FD0D05">
              <w:pPr>
                <w:pStyle w:val="Bibliography"/>
                <w:rPr>
                  <w:noProof/>
                  <w:kern w:val="0"/>
                  <w14:ligatures w14:val="none"/>
                </w:rPr>
              </w:pPr>
              <w:r>
                <w:fldChar w:fldCharType="begin"/>
              </w:r>
              <w:r>
                <w:instrText xml:space="preserve"> BIBLIOGRAPHY </w:instrText>
              </w:r>
              <w:r>
                <w:fldChar w:fldCharType="separate"/>
              </w:r>
              <w:r>
                <w:rPr>
                  <w:noProof/>
                </w:rPr>
                <w:t xml:space="preserve">Dwivedi, Y. K., 2023. So what if ChatGPT wrote it? Multidisciplinary perspectives on opportunities, challenges and implications of generative conversational AI for research, practice and policy. </w:t>
              </w:r>
              <w:r>
                <w:rPr>
                  <w:i/>
                  <w:iCs/>
                  <w:noProof/>
                </w:rPr>
                <w:t xml:space="preserve">International Journal of Information Management, </w:t>
              </w:r>
              <w:r>
                <w:rPr>
                  <w:noProof/>
                </w:rPr>
                <w:t>Volume 71, p. 102642.</w:t>
              </w:r>
            </w:p>
            <w:p w14:paraId="153A5B6E" w14:textId="77777777" w:rsidR="00FD0D05" w:rsidRDefault="00FD0D05" w:rsidP="00FD0D05">
              <w:pPr>
                <w:pStyle w:val="Bibliography"/>
                <w:rPr>
                  <w:noProof/>
                </w:rPr>
              </w:pPr>
              <w:r>
                <w:rPr>
                  <w:noProof/>
                </w:rPr>
                <w:t xml:space="preserve">Hutson, M., 2021. Robo-writers: The rise and risks of language-generating AI. </w:t>
              </w:r>
              <w:r>
                <w:rPr>
                  <w:i/>
                  <w:iCs/>
                  <w:noProof/>
                </w:rPr>
                <w:t xml:space="preserve">Nature, </w:t>
              </w:r>
              <w:r>
                <w:rPr>
                  <w:noProof/>
                </w:rPr>
                <w:t>591(7848), pp. 22-25.</w:t>
              </w:r>
            </w:p>
            <w:p w14:paraId="119F8A22" w14:textId="566EF746" w:rsidR="00FD0D05" w:rsidRDefault="00FD0D05" w:rsidP="00FD0D05">
              <w:r>
                <w:rPr>
                  <w:b/>
                  <w:bCs/>
                  <w:noProof/>
                </w:rPr>
                <w:fldChar w:fldCharType="end"/>
              </w:r>
            </w:p>
          </w:sdtContent>
        </w:sdt>
      </w:sdtContent>
    </w:sdt>
    <w:p w14:paraId="2C649456" w14:textId="45B1EC7D" w:rsidR="00FD0D05" w:rsidRDefault="00FD0D05" w:rsidP="00FD0D05"/>
    <w:p w14:paraId="2C076FB0" w14:textId="1552792F" w:rsidR="00965CAD" w:rsidRDefault="00965CAD" w:rsidP="00FD0D05"/>
    <w:sectPr w:rsidR="0096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D05"/>
    <w:rsid w:val="0014761B"/>
    <w:rsid w:val="006A02F5"/>
    <w:rsid w:val="00751D9E"/>
    <w:rsid w:val="00765D90"/>
    <w:rsid w:val="00965CAD"/>
    <w:rsid w:val="00C1008B"/>
    <w:rsid w:val="00D55383"/>
    <w:rsid w:val="00D8463E"/>
    <w:rsid w:val="00F31027"/>
    <w:rsid w:val="00FD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B0FC"/>
  <w15:chartTrackingRefBased/>
  <w15:docId w15:val="{6194B01C-35C7-4305-925A-09982FF47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D05"/>
    <w:rPr>
      <w:rFonts w:eastAsiaTheme="majorEastAsia" w:cstheme="majorBidi"/>
      <w:color w:val="272727" w:themeColor="text1" w:themeTint="D8"/>
    </w:rPr>
  </w:style>
  <w:style w:type="paragraph" w:styleId="Title">
    <w:name w:val="Title"/>
    <w:basedOn w:val="Normal"/>
    <w:next w:val="Normal"/>
    <w:link w:val="TitleChar"/>
    <w:uiPriority w:val="10"/>
    <w:qFormat/>
    <w:rsid w:val="00FD0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D05"/>
    <w:pPr>
      <w:spacing w:before="160"/>
      <w:jc w:val="center"/>
    </w:pPr>
    <w:rPr>
      <w:i/>
      <w:iCs/>
      <w:color w:val="404040" w:themeColor="text1" w:themeTint="BF"/>
    </w:rPr>
  </w:style>
  <w:style w:type="character" w:customStyle="1" w:styleId="QuoteChar">
    <w:name w:val="Quote Char"/>
    <w:basedOn w:val="DefaultParagraphFont"/>
    <w:link w:val="Quote"/>
    <w:uiPriority w:val="29"/>
    <w:rsid w:val="00FD0D05"/>
    <w:rPr>
      <w:i/>
      <w:iCs/>
      <w:color w:val="404040" w:themeColor="text1" w:themeTint="BF"/>
    </w:rPr>
  </w:style>
  <w:style w:type="paragraph" w:styleId="ListParagraph">
    <w:name w:val="List Paragraph"/>
    <w:basedOn w:val="Normal"/>
    <w:uiPriority w:val="34"/>
    <w:qFormat/>
    <w:rsid w:val="00FD0D05"/>
    <w:pPr>
      <w:ind w:left="720"/>
      <w:contextualSpacing/>
    </w:pPr>
  </w:style>
  <w:style w:type="character" w:styleId="IntenseEmphasis">
    <w:name w:val="Intense Emphasis"/>
    <w:basedOn w:val="DefaultParagraphFont"/>
    <w:uiPriority w:val="21"/>
    <w:qFormat/>
    <w:rsid w:val="00FD0D05"/>
    <w:rPr>
      <w:i/>
      <w:iCs/>
      <w:color w:val="2F5496" w:themeColor="accent1" w:themeShade="BF"/>
    </w:rPr>
  </w:style>
  <w:style w:type="paragraph" w:styleId="IntenseQuote">
    <w:name w:val="Intense Quote"/>
    <w:basedOn w:val="Normal"/>
    <w:next w:val="Normal"/>
    <w:link w:val="IntenseQuoteChar"/>
    <w:uiPriority w:val="30"/>
    <w:qFormat/>
    <w:rsid w:val="00FD0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D05"/>
    <w:rPr>
      <w:i/>
      <w:iCs/>
      <w:color w:val="2F5496" w:themeColor="accent1" w:themeShade="BF"/>
    </w:rPr>
  </w:style>
  <w:style w:type="character" w:styleId="IntenseReference">
    <w:name w:val="Intense Reference"/>
    <w:basedOn w:val="DefaultParagraphFont"/>
    <w:uiPriority w:val="32"/>
    <w:qFormat/>
    <w:rsid w:val="00FD0D05"/>
    <w:rPr>
      <w:b/>
      <w:bCs/>
      <w:smallCaps/>
      <w:color w:val="2F5496" w:themeColor="accent1" w:themeShade="BF"/>
      <w:spacing w:val="5"/>
    </w:rPr>
  </w:style>
  <w:style w:type="paragraph" w:styleId="Bibliography">
    <w:name w:val="Bibliography"/>
    <w:basedOn w:val="Normal"/>
    <w:next w:val="Normal"/>
    <w:uiPriority w:val="37"/>
    <w:unhideWhenUsed/>
    <w:rsid w:val="00FD0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20825">
      <w:bodyDiv w:val="1"/>
      <w:marLeft w:val="0"/>
      <w:marRight w:val="0"/>
      <w:marTop w:val="0"/>
      <w:marBottom w:val="0"/>
      <w:divBdr>
        <w:top w:val="none" w:sz="0" w:space="0" w:color="auto"/>
        <w:left w:val="none" w:sz="0" w:space="0" w:color="auto"/>
        <w:bottom w:val="none" w:sz="0" w:space="0" w:color="auto"/>
        <w:right w:val="none" w:sz="0" w:space="0" w:color="auto"/>
      </w:divBdr>
    </w:div>
    <w:div w:id="838082096">
      <w:bodyDiv w:val="1"/>
      <w:marLeft w:val="0"/>
      <w:marRight w:val="0"/>
      <w:marTop w:val="0"/>
      <w:marBottom w:val="0"/>
      <w:divBdr>
        <w:top w:val="none" w:sz="0" w:space="0" w:color="auto"/>
        <w:left w:val="none" w:sz="0" w:space="0" w:color="auto"/>
        <w:bottom w:val="none" w:sz="0" w:space="0" w:color="auto"/>
        <w:right w:val="none" w:sz="0" w:space="0" w:color="auto"/>
      </w:divBdr>
    </w:div>
    <w:div w:id="118851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Hut211</b:Tag>
    <b:SourceType>JournalArticle</b:SourceType>
    <b:Guid>{1B45A2D9-3F28-4997-922F-A939537AC952}</b:Guid>
    <b:Author>
      <b:Author>
        <b:NameList>
          <b:Person>
            <b:Last>Hutson</b:Last>
            <b:First>Matthew</b:First>
          </b:Person>
        </b:NameList>
      </b:Author>
    </b:Author>
    <b:Title>Robo-writers: The rise and risks of language-generating AI</b:Title>
    <b:JournalName>Nature</b:JournalName>
    <b:Year>2021</b:Year>
    <b:Pages>22-25</b:Pages>
    <b:Volume>591</b:Volume>
    <b:Issue>7848</b:Issue>
    <b:RefOrder>1</b:RefOrder>
  </b:Source>
  <b:Source>
    <b:Tag>Dwi231</b:Tag>
    <b:SourceType>JournalArticle</b:SourceType>
    <b:Guid>{DB8273F8-6C02-42B6-A2C3-8CCBFD285A9B}</b:Guid>
    <b:Author>
      <b:Author>
        <b:NameList>
          <b:Person>
            <b:Last>Dwivedi</b:Last>
            <b:First>Yogesh</b:First>
            <b:Middle>K.</b:Middle>
          </b:Person>
        </b:NameList>
      </b:Author>
    </b:Author>
    <b:Title>So what if ChatGPT wrote it? Multidisciplinary perspectives on opportunities, challenges and implications of generative conversational AI for research, practice and policy</b:Title>
    <b:JournalName>International Journal of Information Management</b:JournalName>
    <b:Year>2023</b:Year>
    <b:Pages>102642</b:Pages>
    <b:Volume>71</b:Volume>
    <b:RefOrder>2</b:RefOrder>
  </b:Source>
</b:Sources>
</file>

<file path=customXml/itemProps1.xml><?xml version="1.0" encoding="utf-8"?>
<ds:datastoreItem xmlns:ds="http://schemas.openxmlformats.org/officeDocument/2006/customXml" ds:itemID="{5693C398-FFB2-4B2A-80D7-C320F6AEF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1</cp:revision>
  <dcterms:created xsi:type="dcterms:W3CDTF">2026-07-19T17:02:00Z</dcterms:created>
  <dcterms:modified xsi:type="dcterms:W3CDTF">2026-07-19T17:07:00Z</dcterms:modified>
</cp:coreProperties>
</file>