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182CE" w:sz="20"/>
              <w:bottom w:val="none"/>
              <w:right w:val="none"/>
            </w:tcBorders>
            <w:shd w:fill="1A365D" w:val="clear"/>
            <w:tcMar>
              <w:top w:type="dxa" w:w="480"/>
              <w:left w:type="dxa" w:w="400"/>
              <w:bottom w:type="dxa" w:w="480"/>
              <w:right w:type="dxa" w:w="400"/>
            </w:tcMar>
          </w:tcPr>
          <w:p>
            <w:pPr>
              <w:spacing w:after="80" w:before="160"/>
              <w:jc w:val="center"/>
            </w:pPr>
            <w:r>
              <w:rPr>
                <w:rFonts w:ascii="Arial" w:cs="Arial" w:eastAsia="Arial" w:hAnsi="Arial"/>
                <w:b/>
                <w:bCs/>
                <w:color w:val="FFFFFF"/>
                <w:sz w:val="56"/>
                <w:szCs w:val="56"/>
              </w:rPr>
              <w:t xml:space="preserve">CMCHT-XAI</w:t>
            </w:r>
          </w:p>
          <w:p>
            <w:pPr>
              <w:spacing w:after="40" w:before="40"/>
              <w:jc w:val="center"/>
            </w:pPr>
            <w:r>
              <w:rPr>
                <w:rFonts w:ascii="Arial" w:cs="Arial" w:eastAsia="Arial" w:hAnsi="Arial"/>
                <w:color w:val="BEE3F8"/>
                <w:sz w:val="30"/>
                <w:szCs w:val="30"/>
              </w:rPr>
              <w:t xml:space="preserve">Dataset Reference Document</w:t>
            </w:r>
          </w:p>
          <w:p>
            <w:pPr>
              <w:spacing w:after="40" w:before="80"/>
              <w:jc w:val="center"/>
            </w:pPr>
            <w:r>
              <w:rPr>
                <w:rFonts w:ascii="Arial" w:cs="Arial" w:eastAsia="Arial" w:hAnsi="Arial"/>
                <w:i/>
                <w:iCs/>
                <w:color w:val="90CDF4"/>
                <w:sz w:val="22"/>
                <w:szCs w:val="22"/>
              </w:rPr>
              <w:t xml:space="preserve">Cross-Modal Contrastive Hybrid Transformer Framework for Liver Disease Prediction</w:t>
            </w:r>
          </w:p>
          <w:p>
            <w:pPr>
              <w:spacing w:after="0" w:before="80"/>
              <w:jc w:val="center"/>
            </w:pPr>
            <w:r>
              <w:rPr>
                <w:rFonts w:ascii="Arial" w:cs="Arial" w:eastAsia="Arial" w:hAnsi="Arial"/>
                <w:color w:val="90CDF4"/>
                <w:sz w:val="20"/>
                <w:szCs w:val="20"/>
              </w:rPr>
              <w:t xml:space="preserve">B.Tech Final Year Project  |  AI &amp; Data Science  |  SKCET Coimbatore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416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Dataset</w:t>
            </w:r>
          </w:p>
        </w:tc>
        <w:tc>
          <w:tcPr>
            <w:tcW w:type="dxa" w:w="260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Verdict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76749"/>
                <w:sz w:val="20"/>
                <w:szCs w:val="20"/>
              </w:rPr>
              <w:t xml:space="preserve">Tabular — Use</w:t>
            </w:r>
          </w:p>
        </w:tc>
        <w:tc>
          <w:tcPr>
            <w:tcW w:type="dxa" w:w="41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ILPD (Indian Liver Patient Dataset)</w:t>
            </w:r>
          </w:p>
        </w:tc>
        <w:tc>
          <w:tcPr>
            <w:tcW w:type="dxa" w:w="2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val="false"/>
                <w:bCs w:val="false"/>
                <w:color w:val="276749"/>
                <w:sz w:val="20"/>
                <w:szCs w:val="20"/>
              </w:rPr>
              <w:t xml:space="preserve">✓ Ready — apply SMOTE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76749"/>
                <w:sz w:val="20"/>
                <w:szCs w:val="20"/>
              </w:rPr>
              <w:t xml:space="preserve">Tabular — Use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HCC Survival Dataset (UCI)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76749"/>
                <w:sz w:val="20"/>
                <w:szCs w:val="20"/>
              </w:rPr>
              <w:t xml:space="preserve">✓ Ready — use MICE imputation</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76749"/>
                <w:sz w:val="20"/>
                <w:szCs w:val="20"/>
              </w:rPr>
              <w:t xml:space="preserve">Tabular — Use</w:t>
            </w:r>
          </w:p>
        </w:tc>
        <w:tc>
          <w:tcPr>
            <w:tcW w:type="dxa" w:w="41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Cirrhosis Prediction — Kaggle</w:t>
            </w:r>
          </w:p>
        </w:tc>
        <w:tc>
          <w:tcPr>
            <w:tcW w:type="dxa" w:w="2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val="false"/>
                <w:bCs w:val="false"/>
                <w:color w:val="276749"/>
                <w:sz w:val="20"/>
                <w:szCs w:val="20"/>
              </w:rPr>
              <w:t xml:space="preserve">✓ Ready — reshape target column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76749"/>
                <w:sz w:val="20"/>
                <w:szCs w:val="20"/>
              </w:rPr>
              <w:t xml:space="preserve">Imaging — Use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NAFLD Ultrasound + Clinical (Mendeley V3)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76749"/>
                <w:sz w:val="20"/>
                <w:szCs w:val="20"/>
              </w:rPr>
              <w:t xml:space="preserve">✓ Ready — split at patient level</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76749"/>
                <w:sz w:val="20"/>
                <w:szCs w:val="20"/>
              </w:rPr>
              <w:t xml:space="preserve">Imaging — Use</w:t>
            </w:r>
          </w:p>
        </w:tc>
        <w:tc>
          <w:tcPr>
            <w:tcW w:type="dxa" w:w="41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LiTS CT Segmentation</w:t>
            </w:r>
          </w:p>
        </w:tc>
        <w:tc>
          <w:tcPr>
            <w:tcW w:type="dxa" w:w="2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val="false"/>
                <w:bCs w:val="false"/>
                <w:color w:val="276749"/>
                <w:sz w:val="20"/>
                <w:szCs w:val="20"/>
              </w:rPr>
              <w:t xml:space="preserve">✓ Register on CodaLab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76749"/>
                <w:sz w:val="20"/>
                <w:szCs w:val="20"/>
              </w:rPr>
              <w:t xml:space="preserve">Imaging — Use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Duke Liver Dataset (DLDS)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76749"/>
                <w:sz w:val="20"/>
                <w:szCs w:val="20"/>
              </w:rPr>
              <w:t xml:space="preserve">✓ Submit Zenodo access form</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76749"/>
                <w:sz w:val="20"/>
                <w:szCs w:val="20"/>
              </w:rPr>
              <w:t xml:space="preserve">Imaging — Use</w:t>
            </w:r>
          </w:p>
        </w:tc>
        <w:tc>
          <w:tcPr>
            <w:tcW w:type="dxa" w:w="41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MSD-Liver (Task03)</w:t>
            </w:r>
          </w:p>
        </w:tc>
        <w:tc>
          <w:tcPr>
            <w:tcW w:type="dxa" w:w="2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val="false"/>
                <w:bCs w:val="false"/>
                <w:color w:val="92400E"/>
                <w:sz w:val="20"/>
                <w:szCs w:val="20"/>
              </w:rPr>
              <w:t xml:space="preserve">⚠ Use OR LiTS — not both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53030"/>
                <w:sz w:val="20"/>
                <w:szCs w:val="20"/>
              </w:rPr>
              <w:t xml:space="preserve">🚨 REMOVE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BUPA Liver Disorders (UCI)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C53030"/>
                <w:sz w:val="20"/>
                <w:szCs w:val="20"/>
              </w:rPr>
              <w:t xml:space="preserve">✗ No disease label — remove entirely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B6CB0"/>
                <w:sz w:val="20"/>
                <w:szCs w:val="20"/>
              </w:rPr>
              <w:t xml:space="preserve">Additional — Add</w:t>
            </w:r>
          </w:p>
        </w:tc>
        <w:tc>
          <w:tcPr>
            <w:tcW w:type="dxa" w:w="41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HCC-TACE-Seg (TCIA)</w:t>
            </w:r>
          </w:p>
        </w:tc>
        <w:tc>
          <w:tcPr>
            <w:tcW w:type="dxa" w:w="2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val="false"/>
                <w:bCs w:val="false"/>
                <w:color w:val="2B6CB0"/>
                <w:sz w:val="20"/>
                <w:szCs w:val="20"/>
              </w:rPr>
              <w:t xml:space="preserve">✓ CC BY 4.0 — register on TCIA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B6CB0"/>
                <w:sz w:val="20"/>
                <w:szCs w:val="20"/>
              </w:rPr>
              <w:t xml:space="preserve">Additional — Add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CirrMRI600+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B6CB0"/>
                <w:sz w:val="20"/>
                <w:szCs w:val="20"/>
              </w:rPr>
              <w:t xml:space="preserve">✓ Check GitHub for release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B6CB0"/>
                <w:sz w:val="20"/>
                <w:szCs w:val="20"/>
              </w:rPr>
              <w:t xml:space="preserve">Additional — Add</w:t>
            </w:r>
          </w:p>
        </w:tc>
        <w:tc>
          <w:tcPr>
            <w:tcW w:type="dxa" w:w="41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CHAOS Dataset</w:t>
            </w:r>
          </w:p>
        </w:tc>
        <w:tc>
          <w:tcPr>
            <w:tcW w:type="dxa" w:w="2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val="false"/>
                <w:bCs w:val="false"/>
                <w:color w:val="2B6CB0"/>
                <w:sz w:val="20"/>
                <w:szCs w:val="20"/>
              </w:rPr>
              <w:t xml:space="preserve">✓ Free — synapse.org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3C9A"/>
                <w:sz w:val="20"/>
                <w:szCs w:val="20"/>
              </w:rPr>
              <w:t xml:space="preserve">Phase II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LiQA Dataset (MICCAI 2024)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3C9A"/>
                <w:sz w:val="20"/>
                <w:szCs w:val="20"/>
              </w:rPr>
              <w:t xml:space="preserve">○ Contact challenge organisers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553C9A"/>
                <w:sz w:val="20"/>
                <w:szCs w:val="20"/>
              </w:rPr>
              <w:t xml:space="preserve">Phase II only</w:t>
            </w:r>
          </w:p>
        </w:tc>
        <w:tc>
          <w:tcPr>
            <w:tcW w:type="dxa" w:w="41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TCGA-LIHC (Genomic)</w:t>
            </w:r>
          </w:p>
        </w:tc>
        <w:tc>
          <w:tcPr>
            <w:tcW w:type="dxa" w:w="2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val="false"/>
                <w:bCs w:val="false"/>
                <w:color w:val="553C9A"/>
                <w:sz w:val="20"/>
                <w:szCs w:val="20"/>
              </w:rPr>
              <w:t xml:space="preserve">○ Free via GDC portal — Phase II</w:t>
            </w:r>
          </w:p>
        </w:tc>
      </w:tr>
    </w:tbl>
    <w:p>
      <w:pPr>
        <w:spacing w:after="0" w:before="200"/>
      </w:pPr>
      <w:r>
        <w:t xml:space="preserve"/>
      </w:r>
    </w:p>
    <w:p>
      <w:pPr>
        <w:pBdr>
          <w:bottom w:val="single" w:color="CBD5E0" w:sz="4" w:space="1"/>
        </w:pBdr>
        <w:spacing w:after="160" w:before="160"/>
      </w:pPr>
      <w:r>
        <w:t xml:space="preserve"/>
      </w:r>
    </w:p>
    <w:p>
      <w:pPr>
        <w:pStyle w:val="Heading1"/>
        <w:spacing w:after="160" w:before="320"/>
      </w:pPr>
      <w:r>
        <w:rPr>
          <w:rFonts w:ascii="Arial" w:cs="Arial" w:eastAsia="Arial" w:hAnsi="Arial"/>
          <w:b/>
          <w:bCs/>
          <w:color w:val="1A365D"/>
          <w:sz w:val="30"/>
          <w:szCs w:val="30"/>
        </w:rPr>
        <w:t xml:space="preserve">1.  Datasets to Use</w:t>
      </w:r>
    </w:p>
    <w:p>
      <w:pPr>
        <w:spacing w:after="100" w:before="60"/>
      </w:pPr>
      <w:r>
        <w:rPr>
          <w:rFonts w:ascii="Arial" w:cs="Arial" w:eastAsia="Arial" w:hAnsi="Arial"/>
          <w:sz w:val="22"/>
          <w:szCs w:val="22"/>
        </w:rPr>
        <w:t xml:space="preserve">These datasets are confirmed accessible, correctly labelled, and aligned to your project tasks. Each entry covers exact contents, data type, known issues, and the specific action you must take before using it.</w:t>
      </w:r>
    </w:p>
    <w:p>
      <w:pPr>
        <w:spacing w:after="0" w:before="100"/>
      </w:pPr>
      <w:r>
        <w:t xml:space="preserve"/>
      </w:r>
    </w:p>
    <w:p>
      <w:pPr>
        <w:pStyle w:val="Heading2"/>
        <w:spacing w:after="120" w:before="240"/>
      </w:pPr>
      <w:r>
        <w:rPr>
          <w:rFonts w:ascii="Arial" w:cs="Arial" w:eastAsia="Arial" w:hAnsi="Arial"/>
          <w:b/>
          <w:bCs/>
          <w:color w:val="2C5282"/>
          <w:sz w:val="26"/>
          <w:szCs w:val="26"/>
        </w:rPr>
        <w:t xml:space="preserve">1.1  ILPD — Indian Liver Patient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Source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UCI Machine Learning Repository — archive.ics.uci.edu/dataset/225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Licence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CC BY 4.0 — free for academic use, attribution required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Size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583 patients  |  416 liver disease (71%)  |  167 healthy (29%)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Modality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Tabular — blood test features only, no imaging</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Format</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CSV — loadable via ucimlrepo: fetch_ucirepo(id=225)</w:t>
            </w:r>
          </w:p>
        </w:tc>
      </w:tr>
    </w:tbl>
    <w:p>
      <w:pPr>
        <w:spacing w:after="0" w:before="120"/>
      </w:pPr>
      <w:r>
        <w:t xml:space="preserve"/>
      </w:r>
    </w:p>
    <w:p>
      <w:pPr>
        <w:pStyle w:val="Heading3"/>
        <w:spacing w:after="80" w:before="180"/>
      </w:pPr>
      <w:r>
        <w:rPr>
          <w:rFonts w:ascii="Arial" w:cs="Arial" w:eastAsia="Arial" w:hAnsi="Arial"/>
          <w:b/>
          <w:bCs/>
          <w:color w:val="2D3748"/>
          <w:sz w:val="23"/>
          <w:szCs w:val="23"/>
        </w:rPr>
        <w:t xml:space="preserve">Exact features (10 input + 1 label)</w:t>
      </w:r>
    </w:p>
    <w:p>
      <w:pPr>
        <w:pStyle w:val="ListParagraph"/>
        <w:numPr>
          <w:ilvl w:val="0"/>
          <w:numId w:val="2"/>
        </w:numPr>
        <w:spacing w:after="60" w:before="40"/>
      </w:pPr>
      <w:r>
        <w:rPr>
          <w:rFonts w:ascii="Arial" w:cs="Arial" w:eastAsia="Arial" w:hAnsi="Arial"/>
          <w:b/>
          <w:bCs/>
          <w:sz w:val="22"/>
          <w:szCs w:val="22"/>
        </w:rPr>
        <w:t xml:space="preserve">Age</w:t>
      </w:r>
      <w:r>
        <w:rPr>
          <w:rFonts w:ascii="Arial" w:cs="Arial" w:eastAsia="Arial" w:hAnsi="Arial"/>
          <w:sz w:val="22"/>
          <w:szCs w:val="22"/>
        </w:rPr>
        <w:t xml:space="preserve"> — patient age in years</w:t>
      </w:r>
    </w:p>
    <w:p>
      <w:pPr>
        <w:pStyle w:val="ListParagraph"/>
        <w:numPr>
          <w:ilvl w:val="0"/>
          <w:numId w:val="2"/>
        </w:numPr>
        <w:spacing w:after="60" w:before="40"/>
      </w:pPr>
      <w:r>
        <w:rPr>
          <w:rFonts w:ascii="Arial" w:cs="Arial" w:eastAsia="Arial" w:hAnsi="Arial"/>
          <w:b/>
          <w:bCs/>
          <w:sz w:val="22"/>
          <w:szCs w:val="22"/>
        </w:rPr>
        <w:t xml:space="preserve">Gender</w:t>
      </w:r>
      <w:r>
        <w:rPr>
          <w:rFonts w:ascii="Arial" w:cs="Arial" w:eastAsia="Arial" w:hAnsi="Arial"/>
          <w:sz w:val="22"/>
          <w:szCs w:val="22"/>
        </w:rPr>
        <w:t xml:space="preserve"> — Male / Female (441 M, 142 F — male-heavy skew)</w:t>
      </w:r>
    </w:p>
    <w:p>
      <w:pPr>
        <w:pStyle w:val="ListParagraph"/>
        <w:numPr>
          <w:ilvl w:val="0"/>
          <w:numId w:val="2"/>
        </w:numPr>
        <w:spacing w:after="60" w:before="40"/>
      </w:pPr>
      <w:r>
        <w:rPr>
          <w:rFonts w:ascii="Arial" w:cs="Arial" w:eastAsia="Arial" w:hAnsi="Arial"/>
          <w:b/>
          <w:bCs/>
          <w:sz w:val="22"/>
          <w:szCs w:val="22"/>
        </w:rPr>
        <w:t xml:space="preserve">Total Bilirubin</w:t>
      </w:r>
      <w:r>
        <w:rPr>
          <w:rFonts w:ascii="Arial" w:cs="Arial" w:eastAsia="Arial" w:hAnsi="Arial"/>
          <w:sz w:val="22"/>
          <w:szCs w:val="22"/>
        </w:rPr>
        <w:t xml:space="preserve"> — liver filtration marker, heavily right-skewed</w:t>
      </w:r>
    </w:p>
    <w:p>
      <w:pPr>
        <w:pStyle w:val="ListParagraph"/>
        <w:numPr>
          <w:ilvl w:val="0"/>
          <w:numId w:val="2"/>
        </w:numPr>
        <w:spacing w:after="60" w:before="40"/>
      </w:pPr>
      <w:r>
        <w:rPr>
          <w:rFonts w:ascii="Arial" w:cs="Arial" w:eastAsia="Arial" w:hAnsi="Arial"/>
          <w:b/>
          <w:bCs/>
          <w:sz w:val="22"/>
          <w:szCs w:val="22"/>
        </w:rPr>
        <w:t xml:space="preserve">Direct Bilirubin</w:t>
      </w:r>
      <w:r>
        <w:rPr>
          <w:rFonts w:ascii="Arial" w:cs="Arial" w:eastAsia="Arial" w:hAnsi="Arial"/>
          <w:sz w:val="22"/>
          <w:szCs w:val="22"/>
        </w:rPr>
        <w:t xml:space="preserve"> — sub-fraction of total bilirubin</w:t>
      </w:r>
    </w:p>
    <w:p>
      <w:pPr>
        <w:pStyle w:val="ListParagraph"/>
        <w:numPr>
          <w:ilvl w:val="0"/>
          <w:numId w:val="2"/>
        </w:numPr>
        <w:spacing w:after="60" w:before="40"/>
      </w:pPr>
      <w:r>
        <w:rPr>
          <w:rFonts w:ascii="Arial" w:cs="Arial" w:eastAsia="Arial" w:hAnsi="Arial"/>
          <w:b/>
          <w:bCs/>
          <w:sz w:val="22"/>
          <w:szCs w:val="22"/>
        </w:rPr>
        <w:t xml:space="preserve">Alkaline Phosphatase (ALP)</w:t>
      </w:r>
      <w:r>
        <w:rPr>
          <w:rFonts w:ascii="Arial" w:cs="Arial" w:eastAsia="Arial" w:hAnsi="Arial"/>
          <w:sz w:val="22"/>
          <w:szCs w:val="22"/>
        </w:rPr>
        <w:t xml:space="preserve"> — enzyme, elevated in liver/bone disease, right-skewed</w:t>
      </w:r>
    </w:p>
    <w:p>
      <w:pPr>
        <w:pStyle w:val="ListParagraph"/>
        <w:numPr>
          <w:ilvl w:val="0"/>
          <w:numId w:val="2"/>
        </w:numPr>
        <w:spacing w:after="60" w:before="40"/>
      </w:pPr>
      <w:r>
        <w:rPr>
          <w:rFonts w:ascii="Arial" w:cs="Arial" w:eastAsia="Arial" w:hAnsi="Arial"/>
          <w:b/>
          <w:bCs/>
          <w:sz w:val="22"/>
          <w:szCs w:val="22"/>
        </w:rPr>
        <w:t xml:space="preserve">Alanine Transaminase (SGPT/ALT)</w:t>
      </w:r>
      <w:r>
        <w:rPr>
          <w:rFonts w:ascii="Arial" w:cs="Arial" w:eastAsia="Arial" w:hAnsi="Arial"/>
          <w:sz w:val="22"/>
          <w:szCs w:val="22"/>
        </w:rPr>
        <w:t xml:space="preserve"> — liver cell damage marker</w:t>
      </w:r>
    </w:p>
    <w:p>
      <w:pPr>
        <w:pStyle w:val="ListParagraph"/>
        <w:numPr>
          <w:ilvl w:val="0"/>
          <w:numId w:val="2"/>
        </w:numPr>
        <w:spacing w:after="60" w:before="40"/>
      </w:pPr>
      <w:r>
        <w:rPr>
          <w:rFonts w:ascii="Arial" w:cs="Arial" w:eastAsia="Arial" w:hAnsi="Arial"/>
          <w:b/>
          <w:bCs/>
          <w:sz w:val="22"/>
          <w:szCs w:val="22"/>
        </w:rPr>
        <w:t xml:space="preserve">Aspartate Transaminase (SGOT/AST)</w:t>
      </w:r>
      <w:r>
        <w:rPr>
          <w:rFonts w:ascii="Arial" w:cs="Arial" w:eastAsia="Arial" w:hAnsi="Arial"/>
          <w:sz w:val="22"/>
          <w:szCs w:val="22"/>
        </w:rPr>
        <w:t xml:space="preserve"> — liver and heart damage marker</w:t>
      </w:r>
    </w:p>
    <w:p>
      <w:pPr>
        <w:pStyle w:val="ListParagraph"/>
        <w:numPr>
          <w:ilvl w:val="0"/>
          <w:numId w:val="2"/>
        </w:numPr>
        <w:spacing w:after="60" w:before="40"/>
      </w:pPr>
      <w:r>
        <w:rPr>
          <w:rFonts w:ascii="Arial" w:cs="Arial" w:eastAsia="Arial" w:hAnsi="Arial"/>
          <w:b/>
          <w:bCs/>
          <w:sz w:val="22"/>
          <w:szCs w:val="22"/>
        </w:rPr>
        <w:t xml:space="preserve">Total Protein</w:t>
      </w:r>
      <w:r>
        <w:rPr>
          <w:rFonts w:ascii="Arial" w:cs="Arial" w:eastAsia="Arial" w:hAnsi="Arial"/>
          <w:sz w:val="22"/>
          <w:szCs w:val="22"/>
        </w:rPr>
        <w:t xml:space="preserve"> — normally distributed</w:t>
      </w:r>
    </w:p>
    <w:p>
      <w:pPr>
        <w:pStyle w:val="ListParagraph"/>
        <w:numPr>
          <w:ilvl w:val="0"/>
          <w:numId w:val="2"/>
        </w:numPr>
        <w:spacing w:after="60" w:before="40"/>
      </w:pPr>
      <w:r>
        <w:rPr>
          <w:rFonts w:ascii="Arial" w:cs="Arial" w:eastAsia="Arial" w:hAnsi="Arial"/>
          <w:b/>
          <w:bCs/>
          <w:sz w:val="22"/>
          <w:szCs w:val="22"/>
        </w:rPr>
        <w:t xml:space="preserve">Albumin</w:t>
      </w:r>
      <w:r>
        <w:rPr>
          <w:rFonts w:ascii="Arial" w:cs="Arial" w:eastAsia="Arial" w:hAnsi="Arial"/>
          <w:sz w:val="22"/>
          <w:szCs w:val="22"/>
        </w:rPr>
        <w:t xml:space="preserve"> — protein made by liver, 4 missing values in this column</w:t>
      </w:r>
    </w:p>
    <w:p>
      <w:pPr>
        <w:pStyle w:val="ListParagraph"/>
        <w:numPr>
          <w:ilvl w:val="0"/>
          <w:numId w:val="2"/>
        </w:numPr>
        <w:spacing w:after="60" w:before="40"/>
      </w:pPr>
      <w:r>
        <w:rPr>
          <w:rFonts w:ascii="Arial" w:cs="Arial" w:eastAsia="Arial" w:hAnsi="Arial"/>
          <w:b/>
          <w:bCs/>
          <w:sz w:val="22"/>
          <w:szCs w:val="22"/>
        </w:rPr>
        <w:t xml:space="preserve">Albumin/Globulin Ratio (A/G Ratio)</w:t>
      </w:r>
      <w:r>
        <w:rPr>
          <w:rFonts w:ascii="Arial" w:cs="Arial" w:eastAsia="Arial" w:hAnsi="Arial"/>
          <w:sz w:val="22"/>
          <w:szCs w:val="22"/>
        </w:rPr>
        <w:t xml:space="preserve"> — 4 missing values</w:t>
      </w:r>
    </w:p>
    <w:p>
      <w:pPr>
        <w:pStyle w:val="ListParagraph"/>
        <w:numPr>
          <w:ilvl w:val="0"/>
          <w:numId w:val="2"/>
        </w:numPr>
        <w:spacing w:after="60" w:before="40"/>
      </w:pPr>
      <w:r>
        <w:rPr>
          <w:rFonts w:ascii="Arial" w:cs="Arial" w:eastAsia="Arial" w:hAnsi="Arial"/>
          <w:b/>
          <w:bCs/>
          <w:sz w:val="22"/>
          <w:szCs w:val="22"/>
        </w:rPr>
        <w:t xml:space="preserve">Class Label</w:t>
      </w:r>
      <w:r>
        <w:rPr>
          <w:rFonts w:ascii="Arial" w:cs="Arial" w:eastAsia="Arial" w:hAnsi="Arial"/>
          <w:sz w:val="22"/>
          <w:szCs w:val="22"/>
        </w:rPr>
        <w:t xml:space="preserve"> — 1 = liver disease, 2 = healthy (binary)</w:t>
      </w:r>
    </w:p>
    <w:p>
      <w:pPr>
        <w:spacing w:after="0" w:before="120"/>
      </w:pPr>
      <w:r>
        <w:t xml:space="preserve"/>
      </w:r>
    </w:p>
    <w:p>
      <w:pPr>
        <w:pStyle w:val="Heading3"/>
        <w:spacing w:after="80" w:before="180"/>
      </w:pPr>
      <w:r>
        <w:rPr>
          <w:rFonts w:ascii="Arial" w:cs="Arial" w:eastAsia="Arial" w:hAnsi="Arial"/>
          <w:b/>
          <w:bCs/>
          <w:color w:val="2D3748"/>
          <w:sz w:val="23"/>
          <w:szCs w:val="23"/>
        </w:rPr>
        <w:t xml:space="preserve">Use in your project</w:t>
      </w:r>
    </w:p>
    <w:p>
      <w:pPr>
        <w:pStyle w:val="ListParagraph"/>
        <w:numPr>
          <w:ilvl w:val="0"/>
          <w:numId w:val="2"/>
        </w:numPr>
        <w:spacing w:after="60" w:before="40"/>
      </w:pPr>
      <w:r>
        <w:rPr>
          <w:rFonts w:ascii="Arial" w:cs="Arial" w:eastAsia="Arial" w:hAnsi="Arial"/>
          <w:sz w:val="22"/>
          <w:szCs w:val="22"/>
        </w:rPr>
        <w:t xml:space="preserve">FT-Transformer tabular encoder training and ablation</w:t>
      </w:r>
    </w:p>
    <w:p>
      <w:pPr>
        <w:pStyle w:val="ListParagraph"/>
        <w:numPr>
          <w:ilvl w:val="0"/>
          <w:numId w:val="2"/>
        </w:numPr>
        <w:spacing w:after="60" w:before="40"/>
      </w:pPr>
      <w:r>
        <w:rPr>
          <w:rFonts w:ascii="Arial" w:cs="Arial" w:eastAsia="Arial" w:hAnsi="Arial"/>
          <w:sz w:val="22"/>
          <w:szCs w:val="22"/>
        </w:rPr>
        <w:t xml:space="preserve">Binary disease detection task head — your Phase I baseline</w:t>
      </w:r>
    </w:p>
    <w:p>
      <w:pPr>
        <w:pStyle w:val="ListParagraph"/>
        <w:numPr>
          <w:ilvl w:val="0"/>
          <w:numId w:val="2"/>
        </w:numPr>
        <w:spacing w:after="60" w:before="40"/>
      </w:pPr>
      <w:r>
        <w:rPr>
          <w:rFonts w:ascii="Arial" w:cs="Arial" w:eastAsia="Arial" w:hAnsi="Arial"/>
          <w:sz w:val="22"/>
          <w:szCs w:val="22"/>
        </w:rPr>
        <w:t xml:space="preserve">Pre-training tabular features before multimodal fusion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4"/>
              <w:left w:val="single" w:color="276749" w:sz="16"/>
              <w:bottom w:val="single" w:color="276749" w:sz="4"/>
              <w:right w:val="single" w:color="276749" w:sz="4"/>
            </w:tcBorders>
            <w:shd w:fill="F0FFF4" w:val="clear"/>
            <w:tcMar>
              <w:top w:type="dxa" w:w="120"/>
              <w:left w:type="dxa" w:w="200"/>
              <w:bottom w:type="dxa" w:w="120"/>
              <w:right w:type="dxa" w:w="200"/>
            </w:tcMar>
          </w:tcPr>
          <w:p>
            <w:r>
              <w:rPr>
                <w:rFonts w:ascii="Arial" w:cs="Arial" w:eastAsia="Arial" w:hAnsi="Arial"/>
                <w:b/>
                <w:bCs/>
                <w:color w:val="276749"/>
                <w:sz w:val="20"/>
                <w:szCs w:val="20"/>
              </w:rPr>
              <w:t xml:space="preserve">Actions before use</w:t>
            </w:r>
          </w:p>
          <w:p>
            <w:pPr>
              <w:spacing w:after="0" w:before="40"/>
            </w:pPr>
            <w:r>
              <w:rPr>
                <w:rFonts w:ascii="Arial" w:cs="Arial" w:eastAsia="Arial" w:hAnsi="Arial"/>
                <w:color w:val="2D3748"/>
                <w:sz w:val="20"/>
                <w:szCs w:val="20"/>
              </w:rPr>
              <w:t xml:space="preserve">1. Impute 4 missing values in albumin_globulin_ratio using median imputation (only 4 rows — safe to impute simply).</w:t>
            </w:r>
          </w:p>
          <w:p>
            <w:pPr>
              <w:spacing w:after="0" w:before="40"/>
            </w:pPr>
            <w:r>
              <w:rPr>
                <w:rFonts w:ascii="Arial" w:cs="Arial" w:eastAsia="Arial" w:hAnsi="Arial"/>
                <w:color w:val="2D3748"/>
                <w:sz w:val="20"/>
                <w:szCs w:val="20"/>
              </w:rPr>
              <w:t xml:space="preserve">2. Apply SMOTE from imbalanced-learn to correct the 71/29 class imbalance before training any classifier.</w:t>
            </w:r>
          </w:p>
          <w:p>
            <w:pPr>
              <w:spacing w:after="0" w:before="40"/>
            </w:pPr>
            <w:r>
              <w:rPr>
                <w:rFonts w:ascii="Arial" w:cs="Arial" w:eastAsia="Arial" w:hAnsi="Arial"/>
                <w:color w:val="2D3748"/>
                <w:sz w:val="20"/>
                <w:szCs w:val="20"/>
              </w:rPr>
              <w:t xml:space="preserve">3. Normalise bilirubin and ALP columns — both are heavily right-skewed, apply log1p transform.</w:t>
            </w:r>
          </w:p>
        </w:tc>
      </w:tr>
    </w:tbl>
    <w:p>
      <w:pPr>
        <w:spacing w:after="0" w:before="100"/>
      </w:pPr>
      <w:r>
        <w:t xml:space="preserve"/>
      </w:r>
    </w:p>
    <w:p>
      <w:pPr>
        <w:pStyle w:val="Heading2"/>
        <w:spacing w:after="120" w:before="240"/>
      </w:pPr>
      <w:r>
        <w:rPr>
          <w:rFonts w:ascii="Arial" w:cs="Arial" w:eastAsia="Arial" w:hAnsi="Arial"/>
          <w:b/>
          <w:bCs/>
          <w:color w:val="2C5282"/>
          <w:sz w:val="26"/>
          <w:szCs w:val="26"/>
        </w:rPr>
        <w:t xml:space="preserve">1.2  HCC Survival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Source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UCI Machine Learning Repository — archive.ics.uci.edu/dataset/423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Licence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CC BY 4.0 — free, citable DOI: 10.24432/C5TS4S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Size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165 patients  |  49 features  |  63 deaths, 102 survived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Modality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Tabular — clinical, demographic, lab values, tumour features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Format</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CSV — fetch_ucirepo(id=423)</w:t>
            </w:r>
          </w:p>
        </w:tc>
      </w:tr>
    </w:tbl>
    <w:p>
      <w:pPr>
        <w:spacing w:after="0" w:before="120"/>
      </w:pPr>
      <w:r>
        <w:t xml:space="preserve"/>
      </w:r>
    </w:p>
    <w:p>
      <w:pPr>
        <w:pStyle w:val="Heading3"/>
        <w:spacing w:after="80" w:before="180"/>
      </w:pPr>
      <w:r>
        <w:rPr>
          <w:rFonts w:ascii="Arial" w:cs="Arial" w:eastAsia="Arial" w:hAnsi="Arial"/>
          <w:b/>
          <w:bCs/>
          <w:color w:val="2D3748"/>
          <w:sz w:val="23"/>
          <w:szCs w:val="23"/>
        </w:rPr>
        <w:t xml:space="preserve">What it contains</w:t>
      </w:r>
    </w:p>
    <w:p>
      <w:pPr>
        <w:pStyle w:val="ListParagraph"/>
        <w:numPr>
          <w:ilvl w:val="0"/>
          <w:numId w:val="2"/>
        </w:numPr>
        <w:spacing w:after="60" w:before="40"/>
      </w:pPr>
      <w:r>
        <w:rPr>
          <w:rFonts w:ascii="Arial" w:cs="Arial" w:eastAsia="Arial" w:hAnsi="Arial"/>
          <w:sz w:val="22"/>
          <w:szCs w:val="22"/>
        </w:rPr>
        <w:t xml:space="preserve">Demographics: age, gender, ethnicity</w:t>
      </w:r>
    </w:p>
    <w:p>
      <w:pPr>
        <w:pStyle w:val="ListParagraph"/>
        <w:numPr>
          <w:ilvl w:val="0"/>
          <w:numId w:val="2"/>
        </w:numPr>
        <w:spacing w:after="60" w:before="40"/>
      </w:pPr>
      <w:r>
        <w:rPr>
          <w:rFonts w:ascii="Arial" w:cs="Arial" w:eastAsia="Arial" w:hAnsi="Arial"/>
          <w:sz w:val="22"/>
          <w:szCs w:val="22"/>
        </w:rPr>
        <w:t xml:space="preserve">Risk factors: hepatitis B/C status, alcohol history, cirrhosis, portal hypertension</w:t>
      </w:r>
    </w:p>
    <w:p>
      <w:pPr>
        <w:pStyle w:val="ListParagraph"/>
        <w:numPr>
          <w:ilvl w:val="0"/>
          <w:numId w:val="2"/>
        </w:numPr>
        <w:spacing w:after="60" w:before="40"/>
      </w:pPr>
      <w:r>
        <w:rPr>
          <w:rFonts w:ascii="Arial" w:cs="Arial" w:eastAsia="Arial" w:hAnsi="Arial"/>
          <w:sz w:val="22"/>
          <w:szCs w:val="22"/>
        </w:rPr>
        <w:t xml:space="preserve">Laboratory values: AFP (alpha-fetoprotein), bilirubin, creatinine, AST, ALT, albumin, INR</w:t>
      </w:r>
    </w:p>
    <w:p>
      <w:pPr>
        <w:pStyle w:val="ListParagraph"/>
        <w:numPr>
          <w:ilvl w:val="0"/>
          <w:numId w:val="2"/>
        </w:numPr>
        <w:spacing w:after="60" w:before="40"/>
      </w:pPr>
      <w:r>
        <w:rPr>
          <w:rFonts w:ascii="Arial" w:cs="Arial" w:eastAsia="Arial" w:hAnsi="Arial"/>
          <w:sz w:val="22"/>
          <w:szCs w:val="22"/>
        </w:rPr>
        <w:t xml:space="preserve">Tumour features: tumour size, number of nodules, vascular invasion, satellite nodules, BCLC stage</w:t>
      </w:r>
    </w:p>
    <w:p>
      <w:pPr>
        <w:pStyle w:val="ListParagraph"/>
        <w:numPr>
          <w:ilvl w:val="0"/>
          <w:numId w:val="2"/>
        </w:numPr>
        <w:spacing w:after="60" w:before="40"/>
      </w:pPr>
      <w:r>
        <w:rPr>
          <w:rFonts w:ascii="Arial" w:cs="Arial" w:eastAsia="Arial" w:hAnsi="Arial"/>
          <w:sz w:val="22"/>
          <w:szCs w:val="22"/>
        </w:rPr>
        <w:t xml:space="preserve">Treatment history: prior surgery, ablation, TACE, systemic therapy</w:t>
      </w:r>
    </w:p>
    <w:p>
      <w:pPr>
        <w:pStyle w:val="ListParagraph"/>
        <w:numPr>
          <w:ilvl w:val="0"/>
          <w:numId w:val="2"/>
        </w:numPr>
        <w:spacing w:after="60" w:before="40"/>
      </w:pPr>
      <w:r>
        <w:rPr>
          <w:rFonts w:ascii="Arial" w:cs="Arial" w:eastAsia="Arial" w:hAnsi="Arial"/>
          <w:b/>
          <w:bCs/>
          <w:sz w:val="22"/>
          <w:szCs w:val="22"/>
        </w:rPr>
        <w:t xml:space="preserve">Target: </w:t>
      </w:r>
      <w:r>
        <w:rPr>
          <w:rFonts w:ascii="Arial" w:cs="Arial" w:eastAsia="Arial" w:hAnsi="Arial"/>
          <w:sz w:val="22"/>
          <w:szCs w:val="22"/>
        </w:rPr>
        <w:t xml:space="preserve">1-year survival — binary (0 = died, 1 = survived)</w:t>
      </w:r>
    </w:p>
    <w:p>
      <w:pPr>
        <w:spacing w:after="0" w:before="120"/>
      </w:pPr>
      <w:r>
        <w:t xml:space="preserve"/>
      </w:r>
    </w:p>
    <w:p>
      <w:pPr>
        <w:pStyle w:val="Heading3"/>
        <w:spacing w:after="80" w:before="180"/>
      </w:pPr>
      <w:r>
        <w:rPr>
          <w:rFonts w:ascii="Arial" w:cs="Arial" w:eastAsia="Arial" w:hAnsi="Arial"/>
          <w:b/>
          <w:bCs/>
          <w:color w:val="2D3748"/>
          <w:sz w:val="23"/>
          <w:szCs w:val="23"/>
        </w:rPr>
        <w:t xml:space="preserve">Use in your project</w:t>
      </w:r>
    </w:p>
    <w:p>
      <w:pPr>
        <w:pStyle w:val="ListParagraph"/>
        <w:numPr>
          <w:ilvl w:val="0"/>
          <w:numId w:val="2"/>
        </w:numPr>
        <w:spacing w:after="60" w:before="40"/>
      </w:pPr>
      <w:r>
        <w:rPr>
          <w:rFonts w:ascii="Arial" w:cs="Arial" w:eastAsia="Arial" w:hAnsi="Arial"/>
          <w:sz w:val="22"/>
          <w:szCs w:val="22"/>
        </w:rPr>
        <w:t xml:space="preserve">HCC-specific severity scoring — your multi-task severity head</w:t>
      </w:r>
    </w:p>
    <w:p>
      <w:pPr>
        <w:pStyle w:val="ListParagraph"/>
        <w:numPr>
          <w:ilvl w:val="0"/>
          <w:numId w:val="2"/>
        </w:numPr>
        <w:spacing w:after="60" w:before="40"/>
      </w:pPr>
      <w:r>
        <w:rPr>
          <w:rFonts w:ascii="Arial" w:cs="Arial" w:eastAsia="Arial" w:hAnsi="Arial"/>
          <w:sz w:val="22"/>
          <w:szCs w:val="22"/>
        </w:rPr>
        <w:t xml:space="preserve">Ablation testing of your FT-Transformer tabular encoder</w:t>
      </w:r>
    </w:p>
    <w:p>
      <w:pPr>
        <w:pStyle w:val="ListParagraph"/>
        <w:numPr>
          <w:ilvl w:val="0"/>
          <w:numId w:val="2"/>
        </w:numPr>
        <w:spacing w:after="60" w:before="40"/>
      </w:pPr>
      <w:r>
        <w:rPr>
          <w:rFonts w:ascii="Arial" w:cs="Arial" w:eastAsia="Arial" w:hAnsi="Arial"/>
          <w:sz w:val="22"/>
          <w:szCs w:val="22"/>
        </w:rPr>
        <w:t xml:space="preserve">Standalone pre-training before multimodal fusion experiments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4"/>
              <w:left w:val="single" w:color="C53030" w:sz="16"/>
              <w:bottom w:val="single" w:color="C53030" w:sz="4"/>
              <w:right w:val="single" w:color="C53030" w:sz="4"/>
            </w:tcBorders>
            <w:shd w:fill="FFF5F5" w:val="clear"/>
            <w:tcMar>
              <w:top w:type="dxa" w:w="120"/>
              <w:left w:type="dxa" w:w="200"/>
              <w:bottom w:type="dxa" w:w="120"/>
              <w:right w:type="dxa" w:w="200"/>
            </w:tcMar>
          </w:tcPr>
          <w:p>
            <w:r>
              <w:rPr>
                <w:rFonts w:ascii="Arial" w:cs="Arial" w:eastAsia="Arial" w:hAnsi="Arial"/>
                <w:b/>
                <w:bCs/>
                <w:color w:val="C53030"/>
                <w:sz w:val="20"/>
                <w:szCs w:val="20"/>
              </w:rPr>
              <w:t xml:space="preserve">Critical warning — missing data</w:t>
            </w:r>
          </w:p>
          <w:p>
            <w:pPr>
              <w:spacing w:after="0" w:before="40"/>
            </w:pPr>
            <w:r>
              <w:rPr>
                <w:rFonts w:ascii="Arial" w:cs="Arial" w:eastAsia="Arial" w:hAnsi="Arial"/>
                <w:color w:val="2D3748"/>
                <w:sz w:val="20"/>
                <w:szCs w:val="20"/>
              </w:rPr>
              <w:t xml:space="preserve">10.22% missing data overall. Only 8 of 165 patients have complete records across all 49 features.</w:t>
            </w:r>
          </w:p>
          <w:p>
            <w:pPr>
              <w:spacing w:after="0" w:before="40"/>
            </w:pPr>
            <w:r>
              <w:rPr>
                <w:rFonts w:ascii="Arial" w:cs="Arial" w:eastAsia="Arial" w:hAnsi="Arial"/>
                <w:color w:val="2D3748"/>
                <w:sz w:val="20"/>
                <w:szCs w:val="20"/>
              </w:rPr>
              <w:t xml:space="preserve">Do NOT use mean/median imputation — with 49 features and 10% missingness it will corrupt correlations.</w:t>
            </w:r>
          </w:p>
          <w:p>
            <w:pPr>
              <w:spacing w:after="0" w:before="40"/>
            </w:pPr>
            <w:r>
              <w:rPr>
                <w:rFonts w:ascii="Arial" w:cs="Arial" w:eastAsia="Arial" w:hAnsi="Arial"/>
                <w:color w:val="2D3748"/>
                <w:sz w:val="20"/>
                <w:szCs w:val="20"/>
              </w:rPr>
              <w:t xml:space="preserve">Use MICE (Multiple Imputation by Chained Equations): from sklearn.experimental import enable_iterative_imputer, then IterativeImputer().</w:t>
            </w:r>
          </w:p>
          <w:p>
            <w:pPr>
              <w:spacing w:after="0" w:before="40"/>
            </w:pPr>
            <w:r>
              <w:rPr>
                <w:rFonts w:ascii="Arial" w:cs="Arial" w:eastAsia="Arial" w:hAnsi="Arial"/>
                <w:color w:val="2D3748"/>
                <w:sz w:val="20"/>
                <w:szCs w:val="20"/>
              </w:rPr>
              <w:t xml:space="preserve">Also note: with 165 patients and 49 features, overfitting risk is high. Do not use this as your primary evaluation set. Use it for tabular pre-training and ablation only.</w:t>
            </w:r>
          </w:p>
        </w:tc>
      </w:tr>
    </w:tbl>
    <w:p>
      <w:pPr>
        <w:spacing w:after="0" w:before="100"/>
      </w:pPr>
      <w:r>
        <w:t xml:space="preserve"/>
      </w:r>
    </w:p>
    <w:p>
      <w:pPr>
        <w:pStyle w:val="Heading2"/>
        <w:spacing w:after="120" w:before="240"/>
      </w:pPr>
      <w:r>
        <w:rPr>
          <w:rFonts w:ascii="Arial" w:cs="Arial" w:eastAsia="Arial" w:hAnsi="Arial"/>
          <w:b/>
          <w:bCs/>
          <w:color w:val="2C5282"/>
          <w:sz w:val="26"/>
          <w:szCs w:val="26"/>
        </w:rPr>
        <w:t xml:space="preserve">1.3  Cirrhosis Prediction Dataset (Kaggle — fedesoriano)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Source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Kaggle — kaggle.com/datasets/fedesoriano/cirrhosis-prediction-dataset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Licence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Public — freely downloadable, no institutional access required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Origin</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Mayo Clinic PBC (Primary Biliary Cirrhosis) trial, 1974–1984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424 patients  |  18 clinical features  |  4 histologic stages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Modality</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Tabular — clinical lab and examination features</w:t>
            </w:r>
          </w:p>
        </w:tc>
      </w:tr>
    </w:tbl>
    <w:p>
      <w:pPr>
        <w:spacing w:after="0" w:before="120"/>
      </w:pPr>
      <w:r>
        <w:t xml:space="preserve"/>
      </w:r>
    </w:p>
    <w:p>
      <w:pPr>
        <w:pStyle w:val="Heading3"/>
        <w:spacing w:after="80" w:before="180"/>
      </w:pPr>
      <w:r>
        <w:rPr>
          <w:rFonts w:ascii="Arial" w:cs="Arial" w:eastAsia="Arial" w:hAnsi="Arial"/>
          <w:b/>
          <w:bCs/>
          <w:color w:val="2D3748"/>
          <w:sz w:val="23"/>
          <w:szCs w:val="23"/>
        </w:rPr>
        <w:t xml:space="preserve">Exact features</w:t>
      </w:r>
    </w:p>
    <w:p>
      <w:pPr>
        <w:pStyle w:val="ListParagraph"/>
        <w:numPr>
          <w:ilvl w:val="0"/>
          <w:numId w:val="2"/>
        </w:numPr>
        <w:spacing w:after="60" w:before="40"/>
      </w:pPr>
      <w:r>
        <w:rPr>
          <w:rFonts w:ascii="Arial" w:cs="Arial" w:eastAsia="Arial" w:hAnsi="Arial"/>
          <w:b/>
          <w:bCs/>
          <w:sz w:val="22"/>
          <w:szCs w:val="22"/>
        </w:rPr>
        <w:t xml:space="preserve">N_Days</w:t>
      </w:r>
      <w:r>
        <w:rPr>
          <w:rFonts w:ascii="Arial" w:cs="Arial" w:eastAsia="Arial" w:hAnsi="Arial"/>
          <w:sz w:val="22"/>
          <w:szCs w:val="22"/>
        </w:rPr>
        <w:t xml:space="preserve"> — days between registration and death/transplant/study end</w:t>
      </w:r>
    </w:p>
    <w:p>
      <w:pPr>
        <w:pStyle w:val="ListParagraph"/>
        <w:numPr>
          <w:ilvl w:val="0"/>
          <w:numId w:val="2"/>
        </w:numPr>
        <w:spacing w:after="60" w:before="40"/>
      </w:pPr>
      <w:r>
        <w:rPr>
          <w:rFonts w:ascii="Arial" w:cs="Arial" w:eastAsia="Arial" w:hAnsi="Arial"/>
          <w:b/>
          <w:bCs/>
          <w:sz w:val="22"/>
          <w:szCs w:val="22"/>
        </w:rPr>
        <w:t xml:space="preserve">Drug</w:t>
      </w:r>
      <w:r>
        <w:rPr>
          <w:rFonts w:ascii="Arial" w:cs="Arial" w:eastAsia="Arial" w:hAnsi="Arial"/>
          <w:sz w:val="22"/>
          <w:szCs w:val="22"/>
        </w:rPr>
        <w:t xml:space="preserve"> — D-penicillamine vs. placebo</w:t>
      </w:r>
    </w:p>
    <w:p>
      <w:pPr>
        <w:pStyle w:val="ListParagraph"/>
        <w:numPr>
          <w:ilvl w:val="0"/>
          <w:numId w:val="2"/>
        </w:numPr>
        <w:spacing w:after="60" w:before="40"/>
      </w:pPr>
      <w:r>
        <w:rPr>
          <w:rFonts w:ascii="Arial" w:cs="Arial" w:eastAsia="Arial" w:hAnsi="Arial"/>
          <w:b/>
          <w:bCs/>
          <w:sz w:val="22"/>
          <w:szCs w:val="22"/>
        </w:rPr>
        <w:t xml:space="preserve">Age</w:t>
      </w:r>
      <w:r>
        <w:rPr>
          <w:rFonts w:ascii="Arial" w:cs="Arial" w:eastAsia="Arial" w:hAnsi="Arial"/>
          <w:sz w:val="22"/>
          <w:szCs w:val="22"/>
        </w:rPr>
        <w:t xml:space="preserve"> — in days</w:t>
      </w:r>
    </w:p>
    <w:p>
      <w:pPr>
        <w:pStyle w:val="ListParagraph"/>
        <w:numPr>
          <w:ilvl w:val="0"/>
          <w:numId w:val="2"/>
        </w:numPr>
        <w:spacing w:after="60" w:before="40"/>
      </w:pPr>
      <w:r>
        <w:rPr>
          <w:rFonts w:ascii="Arial" w:cs="Arial" w:eastAsia="Arial" w:hAnsi="Arial"/>
          <w:b/>
          <w:bCs/>
          <w:sz w:val="22"/>
          <w:szCs w:val="22"/>
        </w:rPr>
        <w:t xml:space="preserve">Sex</w:t>
      </w:r>
      <w:r>
        <w:rPr>
          <w:rFonts w:ascii="Arial" w:cs="Arial" w:eastAsia="Arial" w:hAnsi="Arial"/>
          <w:sz w:val="22"/>
          <w:szCs w:val="22"/>
        </w:rPr>
        <w:t xml:space="preserve"> — male / female</w:t>
      </w:r>
    </w:p>
    <w:p>
      <w:pPr>
        <w:pStyle w:val="ListParagraph"/>
        <w:numPr>
          <w:ilvl w:val="0"/>
          <w:numId w:val="2"/>
        </w:numPr>
        <w:spacing w:after="60" w:before="40"/>
      </w:pPr>
      <w:r>
        <w:rPr>
          <w:rFonts w:ascii="Arial" w:cs="Arial" w:eastAsia="Arial" w:hAnsi="Arial"/>
          <w:b/>
          <w:bCs/>
          <w:sz w:val="22"/>
          <w:szCs w:val="22"/>
        </w:rPr>
        <w:t xml:space="preserve">Ascites / Hepatomegaly / Spiders / Edema</w:t>
      </w:r>
      <w:r>
        <w:rPr>
          <w:rFonts w:ascii="Arial" w:cs="Arial" w:eastAsia="Arial" w:hAnsi="Arial"/>
          <w:sz w:val="22"/>
          <w:szCs w:val="22"/>
        </w:rPr>
        <w:t xml:space="preserve"> — clinical examination findings (binary/categorical)</w:t>
      </w:r>
    </w:p>
    <w:p>
      <w:pPr>
        <w:pStyle w:val="ListParagraph"/>
        <w:numPr>
          <w:ilvl w:val="0"/>
          <w:numId w:val="2"/>
        </w:numPr>
        <w:spacing w:after="60" w:before="40"/>
      </w:pPr>
      <w:r>
        <w:rPr>
          <w:rFonts w:ascii="Arial" w:cs="Arial" w:eastAsia="Arial" w:hAnsi="Arial"/>
          <w:b/>
          <w:bCs/>
          <w:sz w:val="22"/>
          <w:szCs w:val="22"/>
        </w:rPr>
        <w:t xml:space="preserve">Bilirubin</w:t>
      </w:r>
      <w:r>
        <w:rPr>
          <w:rFonts w:ascii="Arial" w:cs="Arial" w:eastAsia="Arial" w:hAnsi="Arial"/>
          <w:sz w:val="22"/>
          <w:szCs w:val="22"/>
        </w:rPr>
        <w:t xml:space="preserve"> — serum bilirubin in mg/dl</w:t>
      </w:r>
    </w:p>
    <w:p>
      <w:pPr>
        <w:pStyle w:val="ListParagraph"/>
        <w:numPr>
          <w:ilvl w:val="0"/>
          <w:numId w:val="2"/>
        </w:numPr>
        <w:spacing w:after="60" w:before="40"/>
      </w:pPr>
      <w:r>
        <w:rPr>
          <w:rFonts w:ascii="Arial" w:cs="Arial" w:eastAsia="Arial" w:hAnsi="Arial"/>
          <w:b/>
          <w:bCs/>
          <w:sz w:val="22"/>
          <w:szCs w:val="22"/>
        </w:rPr>
        <w:t xml:space="preserve">Cholesterol</w:t>
      </w:r>
      <w:r>
        <w:rPr>
          <w:rFonts w:ascii="Arial" w:cs="Arial" w:eastAsia="Arial" w:hAnsi="Arial"/>
          <w:sz w:val="22"/>
          <w:szCs w:val="22"/>
        </w:rPr>
        <w:t xml:space="preserve"> — serum cholesterol in mg/dl</w:t>
      </w:r>
    </w:p>
    <w:p>
      <w:pPr>
        <w:pStyle w:val="ListParagraph"/>
        <w:numPr>
          <w:ilvl w:val="0"/>
          <w:numId w:val="2"/>
        </w:numPr>
        <w:spacing w:after="60" w:before="40"/>
      </w:pPr>
      <w:r>
        <w:rPr>
          <w:rFonts w:ascii="Arial" w:cs="Arial" w:eastAsia="Arial" w:hAnsi="Arial"/>
          <w:b/>
          <w:bCs/>
          <w:sz w:val="22"/>
          <w:szCs w:val="22"/>
        </w:rPr>
        <w:t xml:space="preserve">Albumin</w:t>
      </w:r>
      <w:r>
        <w:rPr>
          <w:rFonts w:ascii="Arial" w:cs="Arial" w:eastAsia="Arial" w:hAnsi="Arial"/>
          <w:sz w:val="22"/>
          <w:szCs w:val="22"/>
        </w:rPr>
        <w:t xml:space="preserve"> — serum albumin in gm/dl</w:t>
      </w:r>
    </w:p>
    <w:p>
      <w:pPr>
        <w:pStyle w:val="ListParagraph"/>
        <w:numPr>
          <w:ilvl w:val="0"/>
          <w:numId w:val="2"/>
        </w:numPr>
        <w:spacing w:after="60" w:before="40"/>
      </w:pPr>
      <w:r>
        <w:rPr>
          <w:rFonts w:ascii="Arial" w:cs="Arial" w:eastAsia="Arial" w:hAnsi="Arial"/>
          <w:b/>
          <w:bCs/>
          <w:sz w:val="22"/>
          <w:szCs w:val="22"/>
        </w:rPr>
        <w:t xml:space="preserve">Copper</w:t>
      </w:r>
      <w:r>
        <w:rPr>
          <w:rFonts w:ascii="Arial" w:cs="Arial" w:eastAsia="Arial" w:hAnsi="Arial"/>
          <w:sz w:val="22"/>
          <w:szCs w:val="22"/>
        </w:rPr>
        <w:t xml:space="preserve"> — urine copper in ug/day</w:t>
      </w:r>
    </w:p>
    <w:p>
      <w:pPr>
        <w:pStyle w:val="ListParagraph"/>
        <w:numPr>
          <w:ilvl w:val="0"/>
          <w:numId w:val="2"/>
        </w:numPr>
        <w:spacing w:after="60" w:before="40"/>
      </w:pPr>
      <w:r>
        <w:rPr>
          <w:rFonts w:ascii="Arial" w:cs="Arial" w:eastAsia="Arial" w:hAnsi="Arial"/>
          <w:b/>
          <w:bCs/>
          <w:sz w:val="22"/>
          <w:szCs w:val="22"/>
        </w:rPr>
        <w:t xml:space="preserve">Alk_Phos</w:t>
      </w:r>
      <w:r>
        <w:rPr>
          <w:rFonts w:ascii="Arial" w:cs="Arial" w:eastAsia="Arial" w:hAnsi="Arial"/>
          <w:sz w:val="22"/>
          <w:szCs w:val="22"/>
        </w:rPr>
        <w:t xml:space="preserve"> — alkaline phosphatase in U/liter</w:t>
      </w:r>
    </w:p>
    <w:p>
      <w:pPr>
        <w:pStyle w:val="ListParagraph"/>
        <w:numPr>
          <w:ilvl w:val="0"/>
          <w:numId w:val="2"/>
        </w:numPr>
        <w:spacing w:after="60" w:before="40"/>
      </w:pPr>
      <w:r>
        <w:rPr>
          <w:rFonts w:ascii="Arial" w:cs="Arial" w:eastAsia="Arial" w:hAnsi="Arial"/>
          <w:b/>
          <w:bCs/>
          <w:sz w:val="22"/>
          <w:szCs w:val="22"/>
        </w:rPr>
        <w:t xml:space="preserve">SGOT</w:t>
      </w:r>
      <w:r>
        <w:rPr>
          <w:rFonts w:ascii="Arial" w:cs="Arial" w:eastAsia="Arial" w:hAnsi="Arial"/>
          <w:sz w:val="22"/>
          <w:szCs w:val="22"/>
        </w:rPr>
        <w:t xml:space="preserve"> — aspartate aminotransferase in U/ml</w:t>
      </w:r>
    </w:p>
    <w:p>
      <w:pPr>
        <w:pStyle w:val="ListParagraph"/>
        <w:numPr>
          <w:ilvl w:val="0"/>
          <w:numId w:val="2"/>
        </w:numPr>
        <w:spacing w:after="60" w:before="40"/>
      </w:pPr>
      <w:r>
        <w:rPr>
          <w:rFonts w:ascii="Arial" w:cs="Arial" w:eastAsia="Arial" w:hAnsi="Arial"/>
          <w:b/>
          <w:bCs/>
          <w:sz w:val="22"/>
          <w:szCs w:val="22"/>
        </w:rPr>
        <w:t xml:space="preserve">Triglycerides</w:t>
      </w:r>
      <w:r>
        <w:rPr>
          <w:rFonts w:ascii="Arial" w:cs="Arial" w:eastAsia="Arial" w:hAnsi="Arial"/>
          <w:sz w:val="22"/>
          <w:szCs w:val="22"/>
        </w:rPr>
        <w:t xml:space="preserve"> — in mg/dl</w:t>
      </w:r>
    </w:p>
    <w:p>
      <w:pPr>
        <w:pStyle w:val="ListParagraph"/>
        <w:numPr>
          <w:ilvl w:val="0"/>
          <w:numId w:val="2"/>
        </w:numPr>
        <w:spacing w:after="60" w:before="40"/>
      </w:pPr>
      <w:r>
        <w:rPr>
          <w:rFonts w:ascii="Arial" w:cs="Arial" w:eastAsia="Arial" w:hAnsi="Arial"/>
          <w:b/>
          <w:bCs/>
          <w:sz w:val="22"/>
          <w:szCs w:val="22"/>
        </w:rPr>
        <w:t xml:space="preserve">Platelets</w:t>
      </w:r>
      <w:r>
        <w:rPr>
          <w:rFonts w:ascii="Arial" w:cs="Arial" w:eastAsia="Arial" w:hAnsi="Arial"/>
          <w:sz w:val="22"/>
          <w:szCs w:val="22"/>
        </w:rPr>
        <w:t xml:space="preserve"> — per cubic ml / 1000</w:t>
      </w:r>
    </w:p>
    <w:p>
      <w:pPr>
        <w:pStyle w:val="ListParagraph"/>
        <w:numPr>
          <w:ilvl w:val="0"/>
          <w:numId w:val="2"/>
        </w:numPr>
        <w:spacing w:after="60" w:before="40"/>
      </w:pPr>
      <w:r>
        <w:rPr>
          <w:rFonts w:ascii="Arial" w:cs="Arial" w:eastAsia="Arial" w:hAnsi="Arial"/>
          <w:b/>
          <w:bCs/>
          <w:sz w:val="22"/>
          <w:szCs w:val="22"/>
        </w:rPr>
        <w:t xml:space="preserve">Prothrombin</w:t>
      </w:r>
      <w:r>
        <w:rPr>
          <w:rFonts w:ascii="Arial" w:cs="Arial" w:eastAsia="Arial" w:hAnsi="Arial"/>
          <w:sz w:val="22"/>
          <w:szCs w:val="22"/>
        </w:rPr>
        <w:t xml:space="preserve"> — prothrombin time in seconds</w:t>
      </w:r>
    </w:p>
    <w:p>
      <w:pPr>
        <w:pStyle w:val="ListParagraph"/>
        <w:numPr>
          <w:ilvl w:val="0"/>
          <w:numId w:val="2"/>
        </w:numPr>
        <w:spacing w:after="60" w:before="40"/>
      </w:pPr>
      <w:r>
        <w:rPr>
          <w:rFonts w:ascii="Arial" w:cs="Arial" w:eastAsia="Arial" w:hAnsi="Arial"/>
          <w:b/>
          <w:bCs/>
          <w:sz w:val="22"/>
          <w:szCs w:val="22"/>
        </w:rPr>
        <w:t xml:space="preserve">Stage</w:t>
      </w:r>
      <w:r>
        <w:rPr>
          <w:rFonts w:ascii="Arial" w:cs="Arial" w:eastAsia="Arial" w:hAnsi="Arial"/>
          <w:sz w:val="22"/>
          <w:szCs w:val="22"/>
        </w:rPr>
        <w:t xml:space="preserve"> — histologic disease stage 1, 2, 3, or 4 (your staging label)</w:t>
      </w:r>
    </w:p>
    <w:p>
      <w:pPr>
        <w:pStyle w:val="ListParagraph"/>
        <w:numPr>
          <w:ilvl w:val="0"/>
          <w:numId w:val="2"/>
        </w:numPr>
        <w:spacing w:after="60" w:before="40"/>
      </w:pPr>
      <w:r>
        <w:rPr>
          <w:rFonts w:ascii="Arial" w:cs="Arial" w:eastAsia="Arial" w:hAnsi="Arial"/>
          <w:b/>
          <w:bCs/>
          <w:sz w:val="22"/>
          <w:szCs w:val="22"/>
        </w:rPr>
        <w:t xml:space="preserve">Status</w:t>
      </w:r>
      <w:r>
        <w:rPr>
          <w:rFonts w:ascii="Arial" w:cs="Arial" w:eastAsia="Arial" w:hAnsi="Arial"/>
          <w:sz w:val="22"/>
          <w:szCs w:val="22"/>
        </w:rPr>
        <w:t xml:space="preserve"> — 0 = death, 1 = censored, 2 = censored due to liver transplant</w:t>
      </w:r>
    </w:p>
    <w:p>
      <w:pPr>
        <w:spacing w:after="0" w:before="120"/>
      </w:pPr>
      <w:r>
        <w:t xml:space="preserve"/>
      </w:r>
    </w:p>
    <w:p>
      <w:pPr>
        <w:pStyle w:val="Heading3"/>
        <w:spacing w:after="80" w:before="180"/>
      </w:pPr>
      <w:r>
        <w:rPr>
          <w:rFonts w:ascii="Arial" w:cs="Arial" w:eastAsia="Arial" w:hAnsi="Arial"/>
          <w:b/>
          <w:bCs/>
          <w:color w:val="2D3748"/>
          <w:sz w:val="23"/>
          <w:szCs w:val="23"/>
        </w:rPr>
        <w:t xml:space="preserve">Use in your project</w:t>
      </w:r>
    </w:p>
    <w:p>
      <w:pPr>
        <w:pStyle w:val="ListParagraph"/>
        <w:numPr>
          <w:ilvl w:val="0"/>
          <w:numId w:val="2"/>
        </w:numPr>
        <w:spacing w:after="60" w:before="40"/>
      </w:pPr>
      <w:r>
        <w:rPr>
          <w:rFonts w:ascii="Arial" w:cs="Arial" w:eastAsia="Arial" w:hAnsi="Arial"/>
          <w:sz w:val="22"/>
          <w:szCs w:val="22"/>
        </w:rPr>
        <w:t xml:space="preserve">CUSP-Cascade fibrosis staging head — Stage column (1–4) maps directly to fibrosis stage</w:t>
      </w:r>
    </w:p>
    <w:p>
      <w:pPr>
        <w:pStyle w:val="ListParagraph"/>
        <w:numPr>
          <w:ilvl w:val="0"/>
          <w:numId w:val="2"/>
        </w:numPr>
        <w:spacing w:after="60" w:before="40"/>
      </w:pPr>
      <w:r>
        <w:rPr>
          <w:rFonts w:ascii="Arial" w:cs="Arial" w:eastAsia="Arial" w:hAnsi="Arial"/>
          <w:sz w:val="22"/>
          <w:szCs w:val="22"/>
        </w:rPr>
        <w:t xml:space="preserve">Replaces BUPA entirely as your second tabular benchmark</w:t>
      </w:r>
    </w:p>
    <w:p>
      <w:pPr>
        <w:pStyle w:val="ListParagraph"/>
        <w:numPr>
          <w:ilvl w:val="0"/>
          <w:numId w:val="2"/>
        </w:numPr>
        <w:spacing w:after="60" w:before="40"/>
      </w:pPr>
      <w:r>
        <w:rPr>
          <w:rFonts w:ascii="Arial" w:cs="Arial" w:eastAsia="Arial" w:hAnsi="Arial"/>
          <w:sz w:val="22"/>
          <w:szCs w:val="22"/>
        </w:rPr>
        <w:t xml:space="preserve">Multi-task label source: Stage for staging head, binarised Status for severity head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44210" w:sz="4"/>
              <w:left w:val="single" w:color="744210" w:sz="16"/>
              <w:bottom w:val="single" w:color="744210" w:sz="4"/>
              <w:right w:val="single" w:color="744210" w:sz="4"/>
            </w:tcBorders>
            <w:shd w:fill="FEFCBF" w:val="clear"/>
            <w:tcMar>
              <w:top w:type="dxa" w:w="120"/>
              <w:left w:type="dxa" w:w="200"/>
              <w:bottom w:type="dxa" w:w="120"/>
              <w:right w:type="dxa" w:w="200"/>
            </w:tcMar>
          </w:tcPr>
          <w:p>
            <w:r>
              <w:rPr>
                <w:rFonts w:ascii="Arial" w:cs="Arial" w:eastAsia="Arial" w:hAnsi="Arial"/>
                <w:b/>
                <w:bCs/>
                <w:color w:val="744210"/>
                <w:sz w:val="20"/>
                <w:szCs w:val="20"/>
              </w:rPr>
              <w:t xml:space="preserve">How to reshape the target for your tasks</w:t>
            </w:r>
          </w:p>
          <w:p>
            <w:pPr>
              <w:spacing w:after="0" w:before="40"/>
            </w:pPr>
            <w:r>
              <w:rPr>
                <w:rFonts w:ascii="Arial" w:cs="Arial" w:eastAsia="Arial" w:hAnsi="Arial"/>
                <w:color w:val="2D3748"/>
                <w:sz w:val="20"/>
                <w:szCs w:val="20"/>
              </w:rPr>
              <w:t xml:space="preserve">Staging head: use Stage column as-is (1, 2, 3, 4 — four-class classification).</w:t>
            </w:r>
          </w:p>
          <w:p>
            <w:pPr>
              <w:spacing w:after="0" w:before="40"/>
            </w:pPr>
            <w:r>
              <w:rPr>
                <w:rFonts w:ascii="Arial" w:cs="Arial" w:eastAsia="Arial" w:hAnsi="Arial"/>
                <w:color w:val="2D3748"/>
                <w:sz w:val="20"/>
                <w:szCs w:val="20"/>
              </w:rPr>
              <w:t xml:space="preserve">Severity head: binarise Status — map 0 (death) to 1 (high severity), map 1 and 2 (censored/transplant) to 0 (lower severity).</w:t>
            </w:r>
          </w:p>
          <w:p>
            <w:pPr>
              <w:spacing w:after="0" w:before="40"/>
            </w:pPr>
            <w:r>
              <w:rPr>
                <w:rFonts w:ascii="Arial" w:cs="Arial" w:eastAsia="Arial" w:hAnsi="Arial"/>
                <w:color w:val="2D3748"/>
                <w:sz w:val="20"/>
                <w:szCs w:val="20"/>
              </w:rPr>
              <w:t xml:space="preserve">Detection head: create a binary disease label — all 424 patients have confirmed cirrhosis, so pair with ILPD healthy cases for a combined detection benchmark.</w:t>
            </w:r>
          </w:p>
        </w:tc>
      </w:tr>
    </w:tbl>
    <w:p>
      <w:pPr>
        <w:spacing w:after="0" w:before="100"/>
      </w:pPr>
      <w:r>
        <w:t xml:space="preserve"/>
      </w:r>
    </w:p>
    <w:p>
      <w:pPr>
        <w:pStyle w:val="Heading2"/>
        <w:spacing w:after="120" w:before="240"/>
      </w:pPr>
      <w:r>
        <w:rPr>
          <w:rFonts w:ascii="Arial" w:cs="Arial" w:eastAsia="Arial" w:hAnsi="Arial"/>
          <w:b/>
          <w:bCs/>
          <w:color w:val="2C5282"/>
          <w:sz w:val="26"/>
          <w:szCs w:val="26"/>
        </w:rPr>
        <w:t xml:space="preserve">1.4  NAFLD Ultrasound + Clinical Dataset (Mendeley)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Source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Mendeley Data — data.mendeley.com/datasets/6rg4hk6728/3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Licence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CC BY-NC-SA — non-commercial academic use permitted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Version</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Version 3 (February 2026) — your document referenced outdated V1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10,352 ultrasound images from 384 patients — multiple images per patient</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Modality</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Paired multimodal — ultrasound images + clinical tabular data together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Labels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Normal / Benign / Malignant + NAFLD Activity Score + fibrosis stage + steatosis grade</w:t>
            </w:r>
          </w:p>
        </w:tc>
      </w:tr>
    </w:tbl>
    <w:p>
      <w:pPr>
        <w:spacing w:after="0" w:before="120"/>
      </w:pPr>
      <w:r>
        <w:t xml:space="preserve"/>
      </w:r>
    </w:p>
    <w:p>
      <w:pPr>
        <w:pStyle w:val="Heading3"/>
        <w:spacing w:after="80" w:before="180"/>
      </w:pPr>
      <w:r>
        <w:rPr>
          <w:rFonts w:ascii="Arial" w:cs="Arial" w:eastAsia="Arial" w:hAnsi="Arial"/>
          <w:b/>
          <w:bCs/>
          <w:color w:val="2D3748"/>
          <w:sz w:val="23"/>
          <w:szCs w:val="23"/>
        </w:rPr>
        <w:t xml:space="preserve">What it contains</w:t>
      </w:r>
    </w:p>
    <w:p>
      <w:pPr>
        <w:pStyle w:val="ListParagraph"/>
        <w:numPr>
          <w:ilvl w:val="0"/>
          <w:numId w:val="2"/>
        </w:numPr>
        <w:spacing w:after="60" w:before="40"/>
      </w:pPr>
      <w:r>
        <w:rPr>
          <w:rFonts w:ascii="Arial" w:cs="Arial" w:eastAsia="Arial" w:hAnsi="Arial"/>
          <w:sz w:val="22"/>
          <w:szCs w:val="22"/>
        </w:rPr>
        <w:t xml:space="preserve">Imaging: B-mode ultrasound, standardised to 768 x 1024 pixels, DICOM converted to PNG</w:t>
      </w:r>
    </w:p>
    <w:p>
      <w:pPr>
        <w:pStyle w:val="ListParagraph"/>
        <w:numPr>
          <w:ilvl w:val="0"/>
          <w:numId w:val="2"/>
        </w:numPr>
        <w:spacing w:after="60" w:before="40"/>
      </w:pPr>
      <w:r>
        <w:rPr>
          <w:rFonts w:ascii="Arial" w:cs="Arial" w:eastAsia="Arial" w:hAnsi="Arial"/>
          <w:sz w:val="22"/>
          <w:szCs w:val="22"/>
        </w:rPr>
        <w:t xml:space="preserve">Clinical tabular: age, gender, BMI, ALT, AST, and additional liver enzyme markers per patient</w:t>
      </w:r>
    </w:p>
    <w:p>
      <w:pPr>
        <w:pStyle w:val="ListParagraph"/>
        <w:numPr>
          <w:ilvl w:val="0"/>
          <w:numId w:val="2"/>
        </w:numPr>
        <w:spacing w:after="60" w:before="40"/>
      </w:pPr>
      <w:r>
        <w:rPr>
          <w:rFonts w:ascii="Arial" w:cs="Arial" w:eastAsia="Arial" w:hAnsi="Arial"/>
          <w:sz w:val="22"/>
          <w:szCs w:val="22"/>
        </w:rPr>
        <w:t xml:space="preserve">Label detail: NAFLD Activity Score (NAS), fibrosis staging, steatosis grading — all linked to biopsy results</w:t>
      </w:r>
    </w:p>
    <w:p>
      <w:pPr>
        <w:pStyle w:val="ListParagraph"/>
        <w:numPr>
          <w:ilvl w:val="0"/>
          <w:numId w:val="2"/>
        </w:numPr>
        <w:spacing w:after="60" w:before="40"/>
      </w:pPr>
      <w:r>
        <w:rPr>
          <w:rFonts w:ascii="Arial" w:cs="Arial" w:eastAsia="Arial" w:hAnsi="Arial"/>
          <w:sz w:val="22"/>
          <w:szCs w:val="22"/>
        </w:rPr>
        <w:t xml:space="preserve">The only dataset in your collection with true paired image + tabular data per patient</w:t>
      </w:r>
    </w:p>
    <w:p>
      <w:pPr>
        <w:spacing w:after="0" w:before="120"/>
      </w:pPr>
      <w:r>
        <w:t xml:space="preserve"/>
      </w:r>
    </w:p>
    <w:p>
      <w:pPr>
        <w:pStyle w:val="Heading3"/>
        <w:spacing w:after="80" w:before="180"/>
      </w:pPr>
      <w:r>
        <w:rPr>
          <w:rFonts w:ascii="Arial" w:cs="Arial" w:eastAsia="Arial" w:hAnsi="Arial"/>
          <w:b/>
          <w:bCs/>
          <w:color w:val="2D3748"/>
          <w:sz w:val="23"/>
          <w:szCs w:val="23"/>
        </w:rPr>
        <w:t xml:space="preserve">Use in your project</w:t>
      </w:r>
    </w:p>
    <w:p>
      <w:pPr>
        <w:pStyle w:val="ListParagraph"/>
        <w:numPr>
          <w:ilvl w:val="0"/>
          <w:numId w:val="2"/>
        </w:numPr>
        <w:spacing w:after="60" w:before="40"/>
      </w:pPr>
      <w:r>
        <w:rPr>
          <w:rFonts w:ascii="Arial" w:cs="Arial" w:eastAsia="Arial" w:hAnsi="Arial"/>
          <w:sz w:val="22"/>
          <w:szCs w:val="22"/>
        </w:rPr>
        <w:t xml:space="preserve">Primary dataset for CSG-Fusion cross-modal attention experiments</w:t>
      </w:r>
    </w:p>
    <w:p>
      <w:pPr>
        <w:pStyle w:val="ListParagraph"/>
        <w:numPr>
          <w:ilvl w:val="0"/>
          <w:numId w:val="2"/>
        </w:numPr>
        <w:spacing w:after="60" w:before="40"/>
      </w:pPr>
      <w:r>
        <w:rPr>
          <w:rFonts w:ascii="Arial" w:cs="Arial" w:eastAsia="Arial" w:hAnsi="Arial"/>
          <w:sz w:val="22"/>
          <w:szCs w:val="22"/>
        </w:rPr>
        <w:t xml:space="preserve">SimCLR contrastive pre-training on unlabelled ultrasound images</w:t>
      </w:r>
    </w:p>
    <w:p>
      <w:pPr>
        <w:pStyle w:val="ListParagraph"/>
        <w:numPr>
          <w:ilvl w:val="0"/>
          <w:numId w:val="2"/>
        </w:numPr>
        <w:spacing w:after="60" w:before="40"/>
      </w:pPr>
      <w:r>
        <w:rPr>
          <w:rFonts w:ascii="Arial" w:cs="Arial" w:eastAsia="Arial" w:hAnsi="Arial"/>
          <w:sz w:val="22"/>
          <w:szCs w:val="22"/>
        </w:rPr>
        <w:t xml:space="preserve">Multi-task head evaluation: detection + staging + steatosis grading simultaneously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4"/>
              <w:left w:val="single" w:color="C53030" w:sz="16"/>
              <w:bottom w:val="single" w:color="C53030" w:sz="4"/>
              <w:right w:val="single" w:color="C53030" w:sz="4"/>
            </w:tcBorders>
            <w:shd w:fill="FFF5F5" w:val="clear"/>
            <w:tcMar>
              <w:top w:type="dxa" w:w="120"/>
              <w:left w:type="dxa" w:w="200"/>
              <w:bottom w:type="dxa" w:w="120"/>
              <w:right w:type="dxa" w:w="200"/>
            </w:tcMar>
          </w:tcPr>
          <w:p>
            <w:r>
              <w:rPr>
                <w:rFonts w:ascii="Arial" w:cs="Arial" w:eastAsia="Arial" w:hAnsi="Arial"/>
                <w:b/>
                <w:bCs/>
                <w:color w:val="C53030"/>
                <w:sz w:val="20"/>
                <w:szCs w:val="20"/>
              </w:rPr>
              <w:t xml:space="preserve">Critical — data leakage risk</w:t>
            </w:r>
          </w:p>
          <w:p>
            <w:pPr>
              <w:spacing w:after="0" w:before="40"/>
            </w:pPr>
            <w:r>
              <w:rPr>
                <w:rFonts w:ascii="Arial" w:cs="Arial" w:eastAsia="Arial" w:hAnsi="Arial"/>
                <w:color w:val="2D3748"/>
                <w:sz w:val="20"/>
                <w:szCs w:val="20"/>
              </w:rPr>
              <w:t xml:space="preserve">10,352 images from 384 patients means approximately 27 images per patient on average.</w:t>
            </w:r>
          </w:p>
          <w:p>
            <w:pPr>
              <w:spacing w:after="0" w:before="40"/>
            </w:pPr>
            <w:r>
              <w:rPr>
                <w:rFonts w:ascii="Arial" w:cs="Arial" w:eastAsia="Arial" w:hAnsi="Arial"/>
                <w:color w:val="2D3748"/>
                <w:sz w:val="20"/>
                <w:szCs w:val="20"/>
              </w:rPr>
              <w:t xml:space="preserve">You MUST split at the patient level — assign all images from one patient to either train or test, never both.</w:t>
            </w:r>
          </w:p>
          <w:p>
            <w:pPr>
              <w:spacing w:after="0" w:before="40"/>
            </w:pPr>
            <w:r>
              <w:rPr>
                <w:rFonts w:ascii="Arial" w:cs="Arial" w:eastAsia="Arial" w:hAnsi="Arial"/>
                <w:color w:val="2D3748"/>
                <w:sz w:val="20"/>
                <w:szCs w:val="20"/>
              </w:rPr>
              <w:t xml:space="preserve">Image-level splitting leaks patient information across sets and inflates all metrics artificially.</w:t>
            </w:r>
          </w:p>
          <w:p>
            <w:pPr>
              <w:spacing w:after="0" w:before="40"/>
            </w:pPr>
            <w:r>
              <w:rPr>
                <w:rFonts w:ascii="Arial" w:cs="Arial" w:eastAsia="Arial" w:hAnsi="Arial"/>
                <w:color w:val="2D3748"/>
                <w:sz w:val="20"/>
                <w:szCs w:val="20"/>
              </w:rPr>
              <w:t xml:space="preserve">Use sklearn GroupShuffleSplit with patient ID as the group key.</w:t>
            </w:r>
          </w:p>
        </w:tc>
      </w:tr>
    </w:tbl>
    <w:p>
      <w:pPr>
        <w:spacing w:after="0" w:before="100"/>
      </w:pPr>
      <w:r>
        <w:t xml:space="preserve"/>
      </w:r>
    </w:p>
    <w:p>
      <w:pPr>
        <w:pStyle w:val="Heading2"/>
        <w:spacing w:after="120" w:before="240"/>
      </w:pPr>
      <w:r>
        <w:rPr>
          <w:rFonts w:ascii="Arial" w:cs="Arial" w:eastAsia="Arial" w:hAnsi="Arial"/>
          <w:b/>
          <w:bCs/>
          <w:color w:val="2C5282"/>
          <w:sz w:val="26"/>
          <w:szCs w:val="26"/>
        </w:rPr>
        <w:t xml:space="preserve">1.5  LiTS — Liver Tumor Segmentation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Source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CodaLab — competitions.codalab.org/competitions/17094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Licence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CC BY-NC-ND 4.0 — non-commercial academic research permitted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Size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131 training CT volumes (with labels) + 70 test CT volumes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Modality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3D CT imaging — NIfTI (.nii) format</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Labels</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Voxel-level segmentation: background, liver, tumour</w:t>
            </w:r>
          </w:p>
        </w:tc>
      </w:tr>
    </w:tbl>
    <w:p>
      <w:pPr>
        <w:spacing w:after="0" w:before="120"/>
      </w:pPr>
      <w:r>
        <w:t xml:space="preserve"/>
      </w:r>
    </w:p>
    <w:p>
      <w:pPr>
        <w:pStyle w:val="Heading3"/>
        <w:spacing w:after="80" w:before="180"/>
      </w:pPr>
      <w:r>
        <w:rPr>
          <w:rFonts w:ascii="Arial" w:cs="Arial" w:eastAsia="Arial" w:hAnsi="Arial"/>
          <w:b/>
          <w:bCs/>
          <w:color w:val="2D3748"/>
          <w:sz w:val="23"/>
          <w:szCs w:val="23"/>
        </w:rPr>
        <w:t xml:space="preserve">What it contains</w:t>
      </w:r>
    </w:p>
    <w:p>
      <w:pPr>
        <w:pStyle w:val="ListParagraph"/>
        <w:numPr>
          <w:ilvl w:val="0"/>
          <w:numId w:val="2"/>
        </w:numPr>
        <w:spacing w:after="60" w:before="40"/>
      </w:pPr>
      <w:r>
        <w:rPr>
          <w:rFonts w:ascii="Arial" w:cs="Arial" w:eastAsia="Arial" w:hAnsi="Arial"/>
          <w:sz w:val="22"/>
          <w:szCs w:val="22"/>
        </w:rPr>
        <w:t xml:space="preserve">201 contrast-enhanced 3D abdominal CT scans from 7 clinical institutions worldwide</w:t>
      </w:r>
    </w:p>
    <w:p>
      <w:pPr>
        <w:pStyle w:val="ListParagraph"/>
        <w:numPr>
          <w:ilvl w:val="0"/>
          <w:numId w:val="2"/>
        </w:numPr>
        <w:spacing w:after="60" w:before="40"/>
      </w:pPr>
      <w:r>
        <w:rPr>
          <w:rFonts w:ascii="Arial" w:cs="Arial" w:eastAsia="Arial" w:hAnsi="Arial"/>
          <w:sz w:val="22"/>
          <w:szCs w:val="22"/>
        </w:rPr>
        <w:t xml:space="preserve">Each volume: 512 x 512 pixels per slice, 74 to 987 slices per volume depending on patient</w:t>
      </w:r>
    </w:p>
    <w:p>
      <w:pPr>
        <w:pStyle w:val="ListParagraph"/>
        <w:numPr>
          <w:ilvl w:val="0"/>
          <w:numId w:val="2"/>
        </w:numPr>
        <w:spacing w:after="60" w:before="40"/>
      </w:pPr>
      <w:r>
        <w:rPr>
          <w:rFonts w:ascii="Arial" w:cs="Arial" w:eastAsia="Arial" w:hAnsi="Arial"/>
          <w:sz w:val="22"/>
          <w:szCs w:val="22"/>
        </w:rPr>
        <w:t xml:space="preserve">Training set: 131 volumes with ground truth segmentation masks (liver + tumour separately)</w:t>
      </w:r>
    </w:p>
    <w:p>
      <w:pPr>
        <w:pStyle w:val="ListParagraph"/>
        <w:numPr>
          <w:ilvl w:val="0"/>
          <w:numId w:val="2"/>
        </w:numPr>
        <w:spacing w:after="60" w:before="40"/>
      </w:pPr>
      <w:r>
        <w:rPr>
          <w:rFonts w:ascii="Arial" w:cs="Arial" w:eastAsia="Arial" w:hAnsi="Arial"/>
          <w:sz w:val="22"/>
          <w:szCs w:val="22"/>
        </w:rPr>
        <w:t xml:space="preserve">Test set: 70 volumes — ground truth withheld, submit predictions to CodaLab for blind evaluation</w:t>
      </w:r>
    </w:p>
    <w:p>
      <w:pPr>
        <w:pStyle w:val="ListParagraph"/>
        <w:numPr>
          <w:ilvl w:val="0"/>
          <w:numId w:val="2"/>
        </w:numPr>
        <w:spacing w:after="60" w:before="40"/>
      </w:pPr>
      <w:r>
        <w:rPr>
          <w:rFonts w:ascii="Arial" w:cs="Arial" w:eastAsia="Arial" w:hAnsi="Arial"/>
          <w:sz w:val="22"/>
          <w:szCs w:val="22"/>
        </w:rPr>
        <w:t xml:space="preserve">194 of 201 scans contain liver lesions — high tumour prevalence</w:t>
      </w:r>
    </w:p>
    <w:p>
      <w:pPr>
        <w:spacing w:after="0" w:before="120"/>
      </w:pPr>
      <w:r>
        <w:t xml:space="preserve"/>
      </w:r>
    </w:p>
    <w:p>
      <w:pPr>
        <w:pStyle w:val="Heading3"/>
        <w:spacing w:after="80" w:before="180"/>
      </w:pPr>
      <w:r>
        <w:rPr>
          <w:rFonts w:ascii="Arial" w:cs="Arial" w:eastAsia="Arial" w:hAnsi="Arial"/>
          <w:b/>
          <w:bCs/>
          <w:color w:val="2D3748"/>
          <w:sz w:val="23"/>
          <w:szCs w:val="23"/>
        </w:rPr>
        <w:t xml:space="preserve">Use in your project</w:t>
      </w:r>
    </w:p>
    <w:p>
      <w:pPr>
        <w:pStyle w:val="ListParagraph"/>
        <w:numPr>
          <w:ilvl w:val="0"/>
          <w:numId w:val="2"/>
        </w:numPr>
        <w:spacing w:after="60" w:before="40"/>
      </w:pPr>
      <w:r>
        <w:rPr>
          <w:rFonts w:ascii="Arial" w:cs="Arial" w:eastAsia="Arial" w:hAnsi="Arial"/>
          <w:sz w:val="22"/>
          <w:szCs w:val="22"/>
        </w:rPr>
        <w:t xml:space="preserve">Swin-CNN imaging encoder pre-training on CT modality</w:t>
      </w:r>
    </w:p>
    <w:p>
      <w:pPr>
        <w:pStyle w:val="ListParagraph"/>
        <w:numPr>
          <w:ilvl w:val="0"/>
          <w:numId w:val="2"/>
        </w:numPr>
        <w:spacing w:after="60" w:before="40"/>
      </w:pPr>
      <w:r>
        <w:rPr>
          <w:rFonts w:ascii="Arial" w:cs="Arial" w:eastAsia="Arial" w:hAnsi="Arial"/>
          <w:sz w:val="22"/>
          <w:szCs w:val="22"/>
        </w:rPr>
        <w:t xml:space="preserve">Liver segmentation validation for your imaging encoder before multimodal fusion</w:t>
      </w:r>
    </w:p>
    <w:p>
      <w:pPr>
        <w:pStyle w:val="ListParagraph"/>
        <w:numPr>
          <w:ilvl w:val="0"/>
          <w:numId w:val="2"/>
        </w:numPr>
        <w:spacing w:after="60" w:before="40"/>
      </w:pPr>
      <w:r>
        <w:rPr>
          <w:rFonts w:ascii="Arial" w:cs="Arial" w:eastAsia="Arial" w:hAnsi="Arial"/>
          <w:sz w:val="22"/>
          <w:szCs w:val="22"/>
        </w:rPr>
        <w:t xml:space="preserve">CT imaging branch of SimCLR contrastive pre-training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44210" w:sz="4"/>
              <w:left w:val="single" w:color="744210" w:sz="16"/>
              <w:bottom w:val="single" w:color="744210" w:sz="4"/>
              <w:right w:val="single" w:color="744210" w:sz="4"/>
            </w:tcBorders>
            <w:shd w:fill="FEFCBF" w:val="clear"/>
            <w:tcMar>
              <w:top w:type="dxa" w:w="120"/>
              <w:left w:type="dxa" w:w="200"/>
              <w:bottom w:type="dxa" w:w="120"/>
              <w:right w:type="dxa" w:w="200"/>
            </w:tcMar>
          </w:tcPr>
          <w:p>
            <w:r>
              <w:rPr>
                <w:rFonts w:ascii="Arial" w:cs="Arial" w:eastAsia="Arial" w:hAnsi="Arial"/>
                <w:b/>
                <w:bCs/>
                <w:color w:val="744210"/>
                <w:sz w:val="20"/>
                <w:szCs w:val="20"/>
              </w:rPr>
              <w:t xml:space="preserve">Access and storage notes</w:t>
            </w:r>
          </w:p>
          <w:p>
            <w:pPr>
              <w:spacing w:after="0" w:before="40"/>
            </w:pPr>
            <w:r>
              <w:rPr>
                <w:rFonts w:ascii="Arial" w:cs="Arial" w:eastAsia="Arial" w:hAnsi="Arial"/>
                <w:color w:val="2D3748"/>
                <w:sz w:val="20"/>
                <w:szCs w:val="20"/>
              </w:rPr>
              <w:t xml:space="preserve">Register free on CodaLab. Training data (131 volumes with labels) downloads after registration.</w:t>
            </w:r>
          </w:p>
          <w:p>
            <w:pPr>
              <w:spacing w:after="0" w:before="40"/>
            </w:pPr>
            <w:r>
              <w:rPr>
                <w:rFonts w:ascii="Arial" w:cs="Arial" w:eastAsia="Arial" w:hAnsi="Arial"/>
                <w:color w:val="2D3748"/>
                <w:sz w:val="20"/>
                <w:szCs w:val="20"/>
              </w:rPr>
              <w:t xml:space="preserve">Test set ground truth is not downloadable — use training set only for your project.</w:t>
            </w:r>
          </w:p>
          <w:p>
            <w:pPr>
              <w:spacing w:after="0" w:before="40"/>
            </w:pPr>
            <w:r>
              <w:rPr>
                <w:rFonts w:ascii="Arial" w:cs="Arial" w:eastAsia="Arial" w:hAnsi="Arial"/>
                <w:color w:val="2D3748"/>
                <w:sz w:val="20"/>
                <w:szCs w:val="20"/>
              </w:rPr>
              <w:t xml:space="preserve">Storage: full training set is approximately 70GB. If storage is limited, use MSD-Liver (Task03) instead — same data, smaller curated package.</w:t>
            </w:r>
          </w:p>
          <w:p>
            <w:pPr>
              <w:spacing w:after="0" w:before="40"/>
            </w:pPr>
            <w:r>
              <w:rPr>
                <w:rFonts w:ascii="Arial" w:cs="Arial" w:eastAsia="Arial" w:hAnsi="Arial"/>
                <w:color w:val="2D3748"/>
                <w:sz w:val="20"/>
                <w:szCs w:val="20"/>
              </w:rPr>
              <w:t xml:space="preserve">Do NOT use both LiTS and MSD-Liver in the same experiments — they share the same underlying CT scans. Pick one.</w:t>
            </w:r>
          </w:p>
        </w:tc>
      </w:tr>
    </w:tbl>
    <w:p>
      <w:pPr>
        <w:spacing w:after="0" w:before="100"/>
      </w:pPr>
      <w:r>
        <w:t xml:space="preserve"/>
      </w:r>
    </w:p>
    <w:p>
      <w:pPr>
        <w:pStyle w:val="Heading2"/>
        <w:spacing w:after="120" w:before="240"/>
      </w:pPr>
      <w:r>
        <w:rPr>
          <w:rFonts w:ascii="Arial" w:cs="Arial" w:eastAsia="Arial" w:hAnsi="Arial"/>
          <w:b/>
          <w:bCs/>
          <w:color w:val="2C5282"/>
          <w:sz w:val="26"/>
          <w:szCs w:val="26"/>
        </w:rPr>
        <w:t xml:space="preserve">1.6  Duke Liver Dataset (DLDS)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Source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Zenodo — zenodo.org/records/7774566 (access request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Licence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CC BY-NC-ND 4.0 — fill access request form, free for academic use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Size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2,146 MRI image series from 105 patients, 310 series with liver segmentation masks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Modality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Multi-sequence MRI — 17 contrast types including T1, T2, opposed-phase, portal venous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Format</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DICOM — requires pydicom to load (not NIfTI like LiTS)</w:t>
            </w:r>
          </w:p>
        </w:tc>
      </w:tr>
    </w:tbl>
    <w:p>
      <w:pPr>
        <w:spacing w:after="0" w:before="120"/>
      </w:pPr>
      <w:r>
        <w:t xml:space="preserve"/>
      </w:r>
    </w:p>
    <w:p>
      <w:pPr>
        <w:pStyle w:val="Heading3"/>
        <w:spacing w:after="80" w:before="180"/>
      </w:pPr>
      <w:r>
        <w:rPr>
          <w:rFonts w:ascii="Arial" w:cs="Arial" w:eastAsia="Arial" w:hAnsi="Arial"/>
          <w:b/>
          <w:bCs/>
          <w:color w:val="2D3748"/>
          <w:sz w:val="23"/>
          <w:szCs w:val="23"/>
        </w:rPr>
        <w:t xml:space="preserve">What it contains</w:t>
      </w:r>
    </w:p>
    <w:p>
      <w:pPr>
        <w:pStyle w:val="ListParagraph"/>
        <w:numPr>
          <w:ilvl w:val="0"/>
          <w:numId w:val="2"/>
        </w:numPr>
        <w:spacing w:after="60" w:before="40"/>
      </w:pPr>
      <w:r>
        <w:rPr>
          <w:rFonts w:ascii="Arial" w:cs="Arial" w:eastAsia="Arial" w:hAnsi="Arial"/>
          <w:sz w:val="22"/>
          <w:szCs w:val="22"/>
        </w:rPr>
        <w:t xml:space="preserve">2,146 unique MRI series across 105 subjects, including patients with cirrhosis and chronic liver disease</w:t>
      </w:r>
    </w:p>
    <w:p>
      <w:pPr>
        <w:pStyle w:val="ListParagraph"/>
        <w:numPr>
          <w:ilvl w:val="0"/>
          <w:numId w:val="2"/>
        </w:numPr>
        <w:spacing w:after="60" w:before="40"/>
      </w:pPr>
      <w:r>
        <w:rPr>
          <w:rFonts w:ascii="Arial" w:cs="Arial" w:eastAsia="Arial" w:hAnsi="Arial"/>
          <w:sz w:val="22"/>
          <w:szCs w:val="22"/>
        </w:rPr>
        <w:t xml:space="preserve">310 series include expert-annotated liver segmentation masks (binary DICOM masks)</w:t>
      </w:r>
    </w:p>
    <w:p>
      <w:pPr>
        <w:pStyle w:val="ListParagraph"/>
        <w:numPr>
          <w:ilvl w:val="0"/>
          <w:numId w:val="2"/>
        </w:numPr>
        <w:spacing w:after="60" w:before="40"/>
      </w:pPr>
      <w:r>
        <w:rPr>
          <w:rFonts w:ascii="Arial" w:cs="Arial" w:eastAsia="Arial" w:hAnsi="Arial"/>
          <w:sz w:val="22"/>
          <w:szCs w:val="22"/>
        </w:rPr>
        <w:t xml:space="preserve">17 contrast type labels: opposed phase, in-phase, precontrast T1, portal venous phase, and more</w:t>
      </w:r>
    </w:p>
    <w:p>
      <w:pPr>
        <w:pStyle w:val="ListParagraph"/>
        <w:numPr>
          <w:ilvl w:val="0"/>
          <w:numId w:val="2"/>
        </w:numPr>
        <w:spacing w:after="60" w:before="40"/>
      </w:pPr>
      <w:r>
        <w:rPr>
          <w:rFonts w:ascii="Arial" w:cs="Arial" w:eastAsia="Arial" w:hAnsi="Arial"/>
          <w:sz w:val="22"/>
          <w:szCs w:val="22"/>
        </w:rPr>
        <w:t xml:space="preserve">Majority of patients have cirrhotic morphological changes — directly relevant to your liver disease focus</w:t>
      </w:r>
    </w:p>
    <w:p>
      <w:pPr>
        <w:spacing w:after="0" w:before="120"/>
      </w:pPr>
      <w:r>
        <w:t xml:space="preserve"/>
      </w:r>
    </w:p>
    <w:p>
      <w:pPr>
        <w:pStyle w:val="Heading3"/>
        <w:spacing w:after="80" w:before="180"/>
      </w:pPr>
      <w:r>
        <w:rPr>
          <w:rFonts w:ascii="Arial" w:cs="Arial" w:eastAsia="Arial" w:hAnsi="Arial"/>
          <w:b/>
          <w:bCs/>
          <w:color w:val="2D3748"/>
          <w:sz w:val="23"/>
          <w:szCs w:val="23"/>
        </w:rPr>
        <w:t xml:space="preserve">Use in your project</w:t>
      </w:r>
    </w:p>
    <w:p>
      <w:pPr>
        <w:pStyle w:val="ListParagraph"/>
        <w:numPr>
          <w:ilvl w:val="0"/>
          <w:numId w:val="2"/>
        </w:numPr>
        <w:spacing w:after="60" w:before="40"/>
      </w:pPr>
      <w:r>
        <w:rPr>
          <w:rFonts w:ascii="Arial" w:cs="Arial" w:eastAsia="Arial" w:hAnsi="Arial"/>
          <w:sz w:val="22"/>
          <w:szCs w:val="22"/>
        </w:rPr>
        <w:t xml:space="preserve">MRI branch of your Swin-CNN imaging encoder — use the 17 contrast type labels for series identification</w:t>
      </w:r>
    </w:p>
    <w:p>
      <w:pPr>
        <w:pStyle w:val="ListParagraph"/>
        <w:numPr>
          <w:ilvl w:val="0"/>
          <w:numId w:val="2"/>
        </w:numPr>
        <w:spacing w:after="60" w:before="40"/>
      </w:pPr>
      <w:r>
        <w:rPr>
          <w:rFonts w:ascii="Arial" w:cs="Arial" w:eastAsia="Arial" w:hAnsi="Arial"/>
          <w:sz w:val="22"/>
          <w:szCs w:val="22"/>
        </w:rPr>
        <w:t xml:space="preserve">SimCLR MRI pre-training — 2,146 series provides sufficient unlabelled imaging volume</w:t>
      </w:r>
    </w:p>
    <w:p>
      <w:pPr>
        <w:pStyle w:val="ListParagraph"/>
        <w:numPr>
          <w:ilvl w:val="0"/>
          <w:numId w:val="2"/>
        </w:numPr>
        <w:spacing w:after="60" w:before="40"/>
      </w:pPr>
      <w:r>
        <w:rPr>
          <w:rFonts w:ascii="Arial" w:cs="Arial" w:eastAsia="Arial" w:hAnsi="Arial"/>
          <w:sz w:val="22"/>
          <w:szCs w:val="22"/>
        </w:rPr>
        <w:t xml:space="preserve">Series classification pre-task: train encoder to identify MRI contrast type, then fine-tune on disease prediction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4"/>
              <w:left w:val="single" w:color="2B6CB0" w:sz="16"/>
              <w:bottom w:val="single" w:color="2B6CB0" w:sz="4"/>
              <w:right w:val="single" w:color="2B6CB0" w:sz="4"/>
            </w:tcBorders>
            <w:shd w:fill="EBF8FF" w:val="clear"/>
            <w:tcMar>
              <w:top w:type="dxa" w:w="120"/>
              <w:left w:type="dxa" w:w="200"/>
              <w:bottom w:type="dxa" w:w="120"/>
              <w:right w:type="dxa" w:w="200"/>
            </w:tcMar>
          </w:tcPr>
          <w:p>
            <w:r>
              <w:rPr>
                <w:rFonts w:ascii="Arial" w:cs="Arial" w:eastAsia="Arial" w:hAnsi="Arial"/>
                <w:b/>
                <w:bCs/>
                <w:color w:val="2B6CB0"/>
                <w:sz w:val="20"/>
                <w:szCs w:val="20"/>
              </w:rPr>
              <w:t xml:space="preserve">Important format note</w:t>
            </w:r>
          </w:p>
          <w:p>
            <w:pPr>
              <w:spacing w:after="0" w:before="40"/>
            </w:pPr>
            <w:r>
              <w:rPr>
                <w:rFonts w:ascii="Arial" w:cs="Arial" w:eastAsia="Arial" w:hAnsi="Arial"/>
                <w:color w:val="2D3748"/>
                <w:sz w:val="20"/>
                <w:szCs w:val="20"/>
              </w:rPr>
              <w:t xml:space="preserve">Duke DLDS is in DICOM format, NOT NIfTI. Load with pydicom, not nibabel.</w:t>
            </w:r>
          </w:p>
          <w:p>
            <w:pPr>
              <w:spacing w:after="0" w:before="40"/>
            </w:pPr>
            <w:r>
              <w:rPr>
                <w:rFonts w:ascii="Arial" w:cs="Arial" w:eastAsia="Arial" w:hAnsi="Arial"/>
                <w:color w:val="2D3748"/>
                <w:sz w:val="20"/>
                <w:szCs w:val="20"/>
              </w:rPr>
              <w:t xml:space="preserve">Submit the Zenodo access request this week — approval takes 2 to 5 business days.</w:t>
            </w:r>
          </w:p>
          <w:p>
            <w:pPr>
              <w:spacing w:after="0" w:before="40"/>
            </w:pPr>
            <w:r>
              <w:rPr>
                <w:rFonts w:ascii="Arial" w:cs="Arial" w:eastAsia="Arial" w:hAnsi="Arial"/>
                <w:color w:val="2D3748"/>
                <w:sz w:val="20"/>
                <w:szCs w:val="20"/>
              </w:rPr>
              <w:t xml:space="preserve">Do not mix Duke MRI data with LiTS CT data in the same SimCLR training run — modality mismatch will corrupt representations.</w:t>
            </w:r>
          </w:p>
        </w:tc>
      </w:tr>
    </w:tbl>
    <w:p>
      <w:pPr>
        <w:spacing w:after="0" w:before="100"/>
      </w:pPr>
      <w:r>
        <w:t xml:space="preserve"/>
      </w:r>
    </w:p>
    <w:p>
      <w:pPr>
        <w:pStyle w:val="Heading2"/>
        <w:spacing w:after="120" w:before="240"/>
      </w:pPr>
      <w:r>
        <w:rPr>
          <w:rFonts w:ascii="Arial" w:cs="Arial" w:eastAsia="Arial" w:hAnsi="Arial"/>
          <w:b/>
          <w:bCs/>
          <w:color w:val="2C5282"/>
          <w:sz w:val="26"/>
          <w:szCs w:val="26"/>
        </w:rPr>
        <w:t xml:space="preserve">1.7  MSD-Liver — Medical Segmentation Decathlon Task03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Source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medicaldecathlon.com — Task03_Liver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Licence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CC BY-SA — free for academic use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Size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131 labelled CT scans — curated subset derived from LiTS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Modality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3D CT imaging — NIfTI (.nii.gz) format</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Labels</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Voxel-level liver and tumour segmentation</w:t>
            </w:r>
          </w:p>
        </w:tc>
      </w:tr>
    </w:tbl>
    <w:p>
      <w:pPr>
        <w:spacing w:after="0" w:before="120"/>
      </w:pPr>
      <w:r>
        <w:t xml:space="preserve"/>
      </w:r>
    </w:p>
    <w:p>
      <w:pPr>
        <w:pStyle w:val="Heading3"/>
        <w:spacing w:after="80" w:before="180"/>
      </w:pPr>
      <w:r>
        <w:rPr>
          <w:rFonts w:ascii="Arial" w:cs="Arial" w:eastAsia="Arial" w:hAnsi="Arial"/>
          <w:b/>
          <w:bCs/>
          <w:color w:val="2D3748"/>
          <w:sz w:val="23"/>
          <w:szCs w:val="23"/>
        </w:rPr>
        <w:t xml:space="preserve">Use in your project</w:t>
      </w:r>
    </w:p>
    <w:p>
      <w:pPr>
        <w:pStyle w:val="ListParagraph"/>
        <w:numPr>
          <w:ilvl w:val="0"/>
          <w:numId w:val="2"/>
        </w:numPr>
        <w:spacing w:after="60" w:before="40"/>
      </w:pPr>
      <w:r>
        <w:rPr>
          <w:rFonts w:ascii="Arial" w:cs="Arial" w:eastAsia="Arial" w:hAnsi="Arial"/>
          <w:sz w:val="22"/>
          <w:szCs w:val="22"/>
        </w:rPr>
        <w:t xml:space="preserve">Fallback for LiTS if CodaLab registration is delayed — same modality and task</w:t>
      </w:r>
    </w:p>
    <w:p>
      <w:pPr>
        <w:pStyle w:val="ListParagraph"/>
        <w:numPr>
          <w:ilvl w:val="0"/>
          <w:numId w:val="2"/>
        </w:numPr>
        <w:spacing w:after="60" w:before="40"/>
      </w:pPr>
      <w:r>
        <w:rPr>
          <w:rFonts w:ascii="Arial" w:cs="Arial" w:eastAsia="Arial" w:hAnsi="Arial"/>
          <w:sz w:val="22"/>
          <w:szCs w:val="22"/>
        </w:rPr>
        <w:t xml:space="preserve">Conveniently packaged with simpler download than LiTS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4"/>
              <w:left w:val="single" w:color="C53030" w:sz="16"/>
              <w:bottom w:val="single" w:color="C53030" w:sz="4"/>
              <w:right w:val="single" w:color="C53030" w:sz="4"/>
            </w:tcBorders>
            <w:shd w:fill="FFF5F5" w:val="clear"/>
            <w:tcMar>
              <w:top w:type="dxa" w:w="120"/>
              <w:left w:type="dxa" w:w="200"/>
              <w:bottom w:type="dxa" w:w="120"/>
              <w:right w:type="dxa" w:w="200"/>
            </w:tcMar>
          </w:tcPr>
          <w:p>
            <w:r>
              <w:rPr>
                <w:rFonts w:ascii="Arial" w:cs="Arial" w:eastAsia="Arial" w:hAnsi="Arial"/>
                <w:b/>
                <w:bCs/>
                <w:color w:val="C53030"/>
                <w:sz w:val="20"/>
                <w:szCs w:val="20"/>
              </w:rPr>
              <w:t xml:space="preserve">Critical — do not use alongside LiTS</w:t>
            </w:r>
          </w:p>
          <w:p>
            <w:pPr>
              <w:spacing w:after="0" w:before="40"/>
            </w:pPr>
            <w:r>
              <w:rPr>
                <w:rFonts w:ascii="Arial" w:cs="Arial" w:eastAsia="Arial" w:hAnsi="Arial"/>
                <w:color w:val="2D3748"/>
                <w:sz w:val="20"/>
                <w:szCs w:val="20"/>
              </w:rPr>
              <w:t xml:space="preserve">MSD-Liver Task03 was derived from LiTS training data. The scans largely overlap.</w:t>
            </w:r>
          </w:p>
          <w:p>
            <w:pPr>
              <w:spacing w:after="0" w:before="40"/>
            </w:pPr>
            <w:r>
              <w:rPr>
                <w:rFonts w:ascii="Arial" w:cs="Arial" w:eastAsia="Arial" w:hAnsi="Arial"/>
                <w:color w:val="2D3748"/>
                <w:sz w:val="20"/>
                <w:szCs w:val="20"/>
              </w:rPr>
              <w:t xml:space="preserve">Using both in the same training run means the model trains on the same CT volumes twice — this inflates performance metrics.</w:t>
            </w:r>
          </w:p>
          <w:p>
            <w:pPr>
              <w:spacing w:after="0" w:before="40"/>
            </w:pPr>
            <w:r>
              <w:rPr>
                <w:rFonts w:ascii="Arial" w:cs="Arial" w:eastAsia="Arial" w:hAnsi="Arial"/>
                <w:color w:val="2D3748"/>
                <w:sz w:val="20"/>
                <w:szCs w:val="20"/>
              </w:rPr>
              <w:t xml:space="preserve">Decision rule: use LiTS if you want the full 131 volumes with CodaLab leaderboard access. Use MSD-Liver if you need a faster, simpler download. Never use both simultaneously.</w:t>
            </w:r>
          </w:p>
        </w:tc>
      </w:tr>
    </w:tbl>
    <w:p>
      <w:pPr>
        <w:spacing w:after="0" w:before="100"/>
      </w:pPr>
      <w:r>
        <w:t xml:space="preserve"/>
      </w:r>
    </w:p>
    <w:p>
      <w:pPr>
        <w:pBdr>
          <w:bottom w:val="single" w:color="CBD5E0" w:sz="4" w:space="1"/>
        </w:pBdr>
        <w:spacing w:after="160" w:before="160"/>
      </w:pPr>
      <w:r>
        <w:t xml:space="preserve"/>
      </w:r>
    </w:p>
    <w:p>
      <w:pPr>
        <w:pStyle w:val="Heading1"/>
        <w:spacing w:after="160" w:before="320"/>
      </w:pPr>
      <w:r>
        <w:rPr>
          <w:rFonts w:ascii="Arial" w:cs="Arial" w:eastAsia="Arial" w:hAnsi="Arial"/>
          <w:b/>
          <w:bCs/>
          <w:color w:val="1A365D"/>
          <w:sz w:val="30"/>
          <w:szCs w:val="30"/>
        </w:rPr>
        <w:t xml:space="preserve">2.  Dataset to Remove — BUPA Liver Disorders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4"/>
              <w:left w:val="single" w:color="C53030" w:sz="16"/>
              <w:bottom w:val="single" w:color="C53030" w:sz="4"/>
              <w:right w:val="single" w:color="C53030" w:sz="4"/>
            </w:tcBorders>
            <w:shd w:fill="FFF5F5" w:val="clear"/>
            <w:tcMar>
              <w:top w:type="dxa" w:w="120"/>
              <w:left w:type="dxa" w:w="200"/>
              <w:bottom w:type="dxa" w:w="120"/>
              <w:right w:type="dxa" w:w="200"/>
            </w:tcMar>
          </w:tcPr>
          <w:p>
            <w:r>
              <w:rPr>
                <w:rFonts w:ascii="Arial" w:cs="Arial" w:eastAsia="Arial" w:hAnsi="Arial"/>
                <w:b/>
                <w:bCs/>
                <w:color w:val="C53030"/>
                <w:sz w:val="20"/>
                <w:szCs w:val="20"/>
              </w:rPr>
              <w:t xml:space="preserve">Remove BUPA immediately — this is a documented research error</w:t>
            </w:r>
          </w:p>
          <w:p>
            <w:pPr>
              <w:spacing w:after="0" w:before="40"/>
            </w:pPr>
            <w:r>
              <w:rPr>
                <w:rFonts w:ascii="Arial" w:cs="Arial" w:eastAsia="Arial" w:hAnsi="Arial"/>
                <w:color w:val="2D3748"/>
                <w:sz w:val="20"/>
                <w:szCs w:val="20"/>
              </w:rPr>
              <w:t xml:space="preserve">The BUPA Liver Disorders dataset (UCI id=60) contains NO disease classification label.</w:t>
            </w:r>
          </w:p>
          <w:p>
            <w:pPr>
              <w:spacing w:after="0" w:before="40"/>
            </w:pPr>
            <w:r>
              <w:rPr>
                <w:rFonts w:ascii="Arial" w:cs="Arial" w:eastAsia="Arial" w:hAnsi="Arial"/>
                <w:color w:val="2D3748"/>
                <w:sz w:val="20"/>
                <w:szCs w:val="20"/>
              </w:rPr>
              <w:t xml:space="preserve">The 7th column (selector) is a train/test split indicator created by BUPA researchers — it is not a disease label.</w:t>
            </w:r>
          </w:p>
          <w:p>
            <w:pPr>
              <w:spacing w:after="0" w:before="40"/>
            </w:pPr>
            <w:r>
              <w:rPr>
                <w:rFonts w:ascii="Arial" w:cs="Arial" w:eastAsia="Arial" w:hAnsi="Arial"/>
                <w:color w:val="2D3748"/>
                <w:sz w:val="20"/>
                <w:szCs w:val="20"/>
              </w:rPr>
              <w:t xml:space="preserve">A published paper in Pattern Recognition Letters documented that the large majority of hundreds of papers using this dataset misinterpret this column and report meaningless classification results.</w:t>
            </w:r>
          </w:p>
          <w:p>
            <w:pPr>
              <w:spacing w:after="0" w:before="40"/>
            </w:pPr>
            <w:r>
              <w:rPr>
                <w:rFonts w:ascii="Arial" w:cs="Arial" w:eastAsia="Arial" w:hAnsi="Arial"/>
                <w:color w:val="2D3748"/>
                <w:sz w:val="20"/>
                <w:szCs w:val="20"/>
              </w:rPr>
              <w:t xml:space="preserve">Any accuracy or AUC number your pipeline produces using BUPA as a classification benchmark is invalid.</w:t>
            </w:r>
          </w:p>
          <w:p>
            <w:pPr>
              <w:spacing w:after="0" w:before="40"/>
            </w:pPr>
            <w:r>
              <w:rPr>
                <w:rFonts w:ascii="Arial" w:cs="Arial" w:eastAsia="Arial" w:hAnsi="Arial"/>
                <w:color w:val="2D3748"/>
                <w:sz w:val="20"/>
                <w:szCs w:val="20"/>
              </w:rPr>
              <w:t xml:space="preserve"/>
            </w:r>
          </w:p>
          <w:p>
            <w:pPr>
              <w:spacing w:after="0" w:before="40"/>
            </w:pPr>
            <w:r>
              <w:rPr>
                <w:rFonts w:ascii="Arial" w:cs="Arial" w:eastAsia="Arial" w:hAnsi="Arial"/>
                <w:color w:val="2D3748"/>
                <w:sz w:val="20"/>
                <w:szCs w:val="20"/>
              </w:rPr>
              <w:t xml:space="preserve">What to do: remove BUPA from all experiments. Replace it with Cirrhosis Prediction (Kaggle) for staging benchmarks or HCC Survival (UCI) for severity benchmarks — both have verified, correctly labelled targets.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576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BUPA Status</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Disease classification label</w:t>
            </w:r>
          </w:p>
        </w:tc>
        <w:tc>
          <w:tcPr>
            <w:tcW w:type="dxa" w:w="57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C53030"/>
                <w:sz w:val="20"/>
                <w:szCs w:val="20"/>
              </w:rPr>
              <w:t xml:space="preserve">DOES NOT EXIST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Column 7 (selector) meaning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Train/test split flag — not a clinical outcome</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Number of valid classification papers</w:t>
            </w:r>
          </w:p>
        </w:tc>
        <w:tc>
          <w:tcPr>
            <w:tcW w:type="dxa" w:w="57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Very few — most misuse this dataset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Safe to use for tabular benchmarking?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53030"/>
                <w:sz w:val="20"/>
                <w:szCs w:val="20"/>
              </w:rPr>
              <w:t xml:space="preserve">NO — remove entirely</w:t>
            </w:r>
          </w:p>
        </w:tc>
      </w:tr>
      <w:tr>
        <w:tc>
          <w:tcPr>
            <w:tcW w:type="dxa" w:w="3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Replacement for staging task</w:t>
            </w:r>
          </w:p>
        </w:tc>
        <w:tc>
          <w:tcPr>
            <w:tcW w:type="dxa" w:w="57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Cirrhosis Prediction Dataset (Kaggle)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Replacement for survival/severity task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HCC Survival Dataset (UCI id=423)</w:t>
            </w:r>
          </w:p>
        </w:tc>
      </w:tr>
    </w:tbl>
    <w:p>
      <w:pPr>
        <w:spacing w:after="0" w:before="100"/>
      </w:pPr>
      <w:r>
        <w:t xml:space="preserve"/>
      </w:r>
    </w:p>
    <w:p>
      <w:pPr>
        <w:pBdr>
          <w:bottom w:val="single" w:color="CBD5E0" w:sz="4" w:space="1"/>
        </w:pBdr>
        <w:spacing w:after="160" w:before="160"/>
      </w:pPr>
      <w:r>
        <w:t xml:space="preserve"/>
      </w:r>
    </w:p>
    <w:p>
      <w:pPr>
        <w:pStyle w:val="Heading1"/>
        <w:spacing w:after="160" w:before="320"/>
      </w:pPr>
      <w:r>
        <w:rPr>
          <w:rFonts w:ascii="Arial" w:cs="Arial" w:eastAsia="Arial" w:hAnsi="Arial"/>
          <w:b/>
          <w:bCs/>
          <w:color w:val="1A365D"/>
          <w:sz w:val="30"/>
          <w:szCs w:val="30"/>
        </w:rPr>
        <w:t xml:space="preserve">3.  Additional Datasets — Verified and Recommended</w:t>
      </w:r>
    </w:p>
    <w:p>
      <w:pPr>
        <w:spacing w:after="100" w:before="60"/>
      </w:pPr>
      <w:r>
        <w:rPr>
          <w:rFonts w:ascii="Arial" w:cs="Arial" w:eastAsia="Arial" w:hAnsi="Arial"/>
          <w:sz w:val="22"/>
          <w:szCs w:val="22"/>
        </w:rPr>
        <w:t xml:space="preserve">The following datasets were not in your original document. Each fills a specific gap in your current collection. Priority order is given at the end of this section.</w:t>
      </w:r>
    </w:p>
    <w:p>
      <w:pPr>
        <w:spacing w:after="0" w:before="100"/>
      </w:pPr>
      <w:r>
        <w:t xml:space="preserve"/>
      </w:r>
    </w:p>
    <w:p>
      <w:pPr>
        <w:pStyle w:val="Heading2"/>
        <w:spacing w:after="120" w:before="240"/>
      </w:pPr>
      <w:r>
        <w:rPr>
          <w:rFonts w:ascii="Arial" w:cs="Arial" w:eastAsia="Arial" w:hAnsi="Arial"/>
          <w:b/>
          <w:bCs/>
          <w:color w:val="2C5282"/>
          <w:sz w:val="26"/>
          <w:szCs w:val="26"/>
        </w:rPr>
        <w:t xml:space="preserve">3.1  HCC-TACE-Seg — The Cancer Imaging Archive (TCIA)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Source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TCIA — cancerimagingarchive.net/collection/hcc-tace-seg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Licence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CC BY 4.0 — free, citation required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Size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105 confirmed HCC patients (98 usable after exclusions)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Modality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CT imaging + clinical tabular outcome data in one package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Origin</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MD Anderson Cancer Center, 2002–2012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Labels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Liver, tumour mass, portal vein, aorta segmentation + overall survival + time-to-progression</w:t>
            </w:r>
          </w:p>
        </w:tc>
      </w:tr>
    </w:tbl>
    <w:p>
      <w:pPr>
        <w:spacing w:after="0" w:before="120"/>
      </w:pPr>
      <w:r>
        <w:t xml:space="preserve"/>
      </w:r>
    </w:p>
    <w:p>
      <w:pPr>
        <w:pStyle w:val="Heading3"/>
        <w:spacing w:after="80" w:before="180"/>
      </w:pPr>
      <w:r>
        <w:rPr>
          <w:rFonts w:ascii="Arial" w:cs="Arial" w:eastAsia="Arial" w:hAnsi="Arial"/>
          <w:b/>
          <w:bCs/>
          <w:color w:val="2D3748"/>
          <w:sz w:val="23"/>
          <w:szCs w:val="23"/>
        </w:rPr>
        <w:t xml:space="preserve">What it contains</w:t>
      </w:r>
    </w:p>
    <w:p>
      <w:pPr>
        <w:pStyle w:val="ListParagraph"/>
        <w:numPr>
          <w:ilvl w:val="0"/>
          <w:numId w:val="2"/>
        </w:numPr>
        <w:spacing w:after="60" w:before="40"/>
      </w:pPr>
      <w:r>
        <w:rPr>
          <w:rFonts w:ascii="Arial" w:cs="Arial" w:eastAsia="Arial" w:hAnsi="Arial"/>
          <w:sz w:val="22"/>
          <w:szCs w:val="22"/>
        </w:rPr>
        <w:t xml:space="preserve">Pre- and post-TACE treatment CT imaging for 105 HCC patients</w:t>
      </w:r>
    </w:p>
    <w:p>
      <w:pPr>
        <w:pStyle w:val="ListParagraph"/>
        <w:numPr>
          <w:ilvl w:val="0"/>
          <w:numId w:val="2"/>
        </w:numPr>
        <w:spacing w:after="60" w:before="40"/>
      </w:pPr>
      <w:r>
        <w:rPr>
          <w:rFonts w:ascii="Arial" w:cs="Arial" w:eastAsia="Arial" w:hAnsi="Arial"/>
          <w:sz w:val="22"/>
          <w:szCs w:val="22"/>
        </w:rPr>
        <w:t xml:space="preserve">5-class segmentation labels: background, liver parenchyma, viable tumour, necrotic tumour, portal vein, abdominal aorta</w:t>
      </w:r>
    </w:p>
    <w:p>
      <w:pPr>
        <w:pStyle w:val="ListParagraph"/>
        <w:numPr>
          <w:ilvl w:val="0"/>
          <w:numId w:val="2"/>
        </w:numPr>
        <w:spacing w:after="60" w:before="40"/>
      </w:pPr>
      <w:r>
        <w:rPr>
          <w:rFonts w:ascii="Arial" w:cs="Arial" w:eastAsia="Arial" w:hAnsi="Arial"/>
          <w:sz w:val="22"/>
          <w:szCs w:val="22"/>
        </w:rPr>
        <w:t xml:space="preserve">Clinical data file: demographics, medical history, diagnosis, treatment response variables</w:t>
      </w:r>
    </w:p>
    <w:p>
      <w:pPr>
        <w:pStyle w:val="ListParagraph"/>
        <w:numPr>
          <w:ilvl w:val="0"/>
          <w:numId w:val="2"/>
        </w:numPr>
        <w:spacing w:after="60" w:before="40"/>
      </w:pPr>
      <w:r>
        <w:rPr>
          <w:rFonts w:ascii="Arial" w:cs="Arial" w:eastAsia="Arial" w:hAnsi="Arial"/>
          <w:sz w:val="22"/>
          <w:szCs w:val="22"/>
        </w:rPr>
        <w:t xml:space="preserve">Outcome data: overall survival (OS) and time-to-progression — directly supports your severity task head</w:t>
      </w:r>
    </w:p>
    <w:p>
      <w:pPr>
        <w:pStyle w:val="ListParagraph"/>
        <w:numPr>
          <w:ilvl w:val="0"/>
          <w:numId w:val="2"/>
        </w:numPr>
        <w:spacing w:after="60" w:before="40"/>
      </w:pPr>
      <w:r>
        <w:rPr>
          <w:rFonts w:ascii="Arial" w:cs="Arial" w:eastAsia="Arial" w:hAnsi="Arial"/>
          <w:sz w:val="22"/>
          <w:szCs w:val="22"/>
        </w:rPr>
        <w:t xml:space="preserve">Unique feature: pre-treatment and post-treatment scans for the same patient — enables treatment response modelling</w:t>
      </w:r>
    </w:p>
    <w:p>
      <w:pPr>
        <w:spacing w:after="0" w:before="120"/>
      </w:pPr>
      <w:r>
        <w:t xml:space="preserve"/>
      </w:r>
    </w:p>
    <w:p>
      <w:pPr>
        <w:pStyle w:val="Heading3"/>
        <w:spacing w:after="80" w:before="180"/>
      </w:pPr>
      <w:r>
        <w:rPr>
          <w:rFonts w:ascii="Arial" w:cs="Arial" w:eastAsia="Arial" w:hAnsi="Arial"/>
          <w:b/>
          <w:bCs/>
          <w:color w:val="2D3748"/>
          <w:sz w:val="23"/>
          <w:szCs w:val="23"/>
        </w:rPr>
        <w:t xml:space="preserve">Why this fills a gap</w:t>
      </w:r>
    </w:p>
    <w:p>
      <w:pPr>
        <w:pStyle w:val="ListParagraph"/>
        <w:numPr>
          <w:ilvl w:val="0"/>
          <w:numId w:val="2"/>
        </w:numPr>
        <w:spacing w:after="60" w:before="40"/>
      </w:pPr>
      <w:r>
        <w:rPr>
          <w:rFonts w:ascii="Arial" w:cs="Arial" w:eastAsia="Arial" w:hAnsi="Arial"/>
          <w:sz w:val="22"/>
          <w:szCs w:val="22"/>
        </w:rPr>
        <w:t xml:space="preserve">Your current collection has NO dataset that pairs CT imaging with treatment outcome labels</w:t>
      </w:r>
    </w:p>
    <w:p>
      <w:pPr>
        <w:pStyle w:val="ListParagraph"/>
        <w:numPr>
          <w:ilvl w:val="0"/>
          <w:numId w:val="2"/>
        </w:numPr>
        <w:spacing w:after="60" w:before="40"/>
      </w:pPr>
      <w:r>
        <w:rPr>
          <w:rFonts w:ascii="Arial" w:cs="Arial" w:eastAsia="Arial" w:hAnsi="Arial"/>
          <w:sz w:val="22"/>
          <w:szCs w:val="22"/>
        </w:rPr>
        <w:t xml:space="preserve">HCC-TACE-Seg is the only publicly available liver dataset providing both imaging segmentation AND clinical outcomes in one package</w:t>
      </w:r>
    </w:p>
    <w:p>
      <w:pPr>
        <w:pStyle w:val="ListParagraph"/>
        <w:numPr>
          <w:ilvl w:val="0"/>
          <w:numId w:val="2"/>
        </w:numPr>
        <w:spacing w:after="60" w:before="40"/>
      </w:pPr>
      <w:r>
        <w:rPr>
          <w:rFonts w:ascii="Arial" w:cs="Arial" w:eastAsia="Arial" w:hAnsi="Arial"/>
          <w:sz w:val="22"/>
          <w:szCs w:val="22"/>
        </w:rPr>
        <w:t xml:space="preserve">The treatment response variable (TACE outcome) gives you a severity signal not available in any of your current datasets</w:t>
      </w:r>
    </w:p>
    <w:p>
      <w:pPr>
        <w:spacing w:after="0" w:before="120"/>
      </w:pPr>
      <w:r>
        <w:t xml:space="preserve"/>
      </w:r>
    </w:p>
    <w:p>
      <w:pPr>
        <w:pStyle w:val="Heading3"/>
        <w:spacing w:after="80" w:before="180"/>
      </w:pPr>
      <w:r>
        <w:rPr>
          <w:rFonts w:ascii="Arial" w:cs="Arial" w:eastAsia="Arial" w:hAnsi="Arial"/>
          <w:b/>
          <w:bCs/>
          <w:color w:val="2D3748"/>
          <w:sz w:val="23"/>
          <w:szCs w:val="23"/>
        </w:rPr>
        <w:t xml:space="preserve">Use in your project</w:t>
      </w:r>
    </w:p>
    <w:p>
      <w:pPr>
        <w:pStyle w:val="ListParagraph"/>
        <w:numPr>
          <w:ilvl w:val="0"/>
          <w:numId w:val="2"/>
        </w:numPr>
        <w:spacing w:after="60" w:before="40"/>
      </w:pPr>
      <w:r>
        <w:rPr>
          <w:rFonts w:ascii="Arial" w:cs="Arial" w:eastAsia="Arial" w:hAnsi="Arial"/>
          <w:sz w:val="22"/>
          <w:szCs w:val="22"/>
        </w:rPr>
        <w:t xml:space="preserve">Multi-task severity head: use overall survival and TACE response as severity labels</w:t>
      </w:r>
    </w:p>
    <w:p>
      <w:pPr>
        <w:pStyle w:val="ListParagraph"/>
        <w:numPr>
          <w:ilvl w:val="0"/>
          <w:numId w:val="2"/>
        </w:numPr>
        <w:spacing w:after="60" w:before="40"/>
      </w:pPr>
      <w:r>
        <w:rPr>
          <w:rFonts w:ascii="Arial" w:cs="Arial" w:eastAsia="Arial" w:hAnsi="Arial"/>
          <w:sz w:val="22"/>
          <w:szCs w:val="22"/>
        </w:rPr>
        <w:t xml:space="preserve">CT encoder pre-training: 98 patients with annotated scans for fine-tuning beyond LiTS</w:t>
      </w:r>
    </w:p>
    <w:p>
      <w:pPr>
        <w:pStyle w:val="ListParagraph"/>
        <w:numPr>
          <w:ilvl w:val="0"/>
          <w:numId w:val="2"/>
        </w:numPr>
        <w:spacing w:after="60" w:before="40"/>
      </w:pPr>
      <w:r>
        <w:rPr>
          <w:rFonts w:ascii="Arial" w:cs="Arial" w:eastAsia="Arial" w:hAnsi="Arial"/>
          <w:sz w:val="22"/>
          <w:szCs w:val="22"/>
        </w:rPr>
        <w:t xml:space="preserve">Ablation: compare model performance with and without treatment outcome supervision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4"/>
              <w:left w:val="single" w:color="276749" w:sz="16"/>
              <w:bottom w:val="single" w:color="276749" w:sz="4"/>
              <w:right w:val="single" w:color="276749" w:sz="4"/>
            </w:tcBorders>
            <w:shd w:fill="F0FFF4" w:val="clear"/>
            <w:tcMar>
              <w:top w:type="dxa" w:w="120"/>
              <w:left w:type="dxa" w:w="200"/>
              <w:bottom w:type="dxa" w:w="120"/>
              <w:right w:type="dxa" w:w="200"/>
            </w:tcMar>
          </w:tcPr>
          <w:p>
            <w:r>
              <w:rPr>
                <w:rFonts w:ascii="Arial" w:cs="Arial" w:eastAsia="Arial" w:hAnsi="Arial"/>
                <w:b/>
                <w:bCs/>
                <w:color w:val="276749"/>
                <w:sz w:val="20"/>
                <w:szCs w:val="20"/>
              </w:rPr>
              <w:t xml:space="preserve">Access process</w:t>
            </w:r>
          </w:p>
          <w:p>
            <w:pPr>
              <w:spacing w:after="0" w:before="40"/>
            </w:pPr>
            <w:r>
              <w:rPr>
                <w:rFonts w:ascii="Arial" w:cs="Arial" w:eastAsia="Arial" w:hAnsi="Arial"/>
                <w:color w:val="2D3748"/>
                <w:sz w:val="20"/>
                <w:szCs w:val="20"/>
              </w:rPr>
              <w:t xml:space="preserve">Register free on TCIA at cancerimagingarchive.net (institutional email preferred but not required).</w:t>
            </w:r>
          </w:p>
          <w:p>
            <w:pPr>
              <w:spacing w:after="0" w:before="40"/>
            </w:pPr>
            <w:r>
              <w:rPr>
                <w:rFonts w:ascii="Arial" w:cs="Arial" w:eastAsia="Arial" w:hAnsi="Arial"/>
                <w:color w:val="2D3748"/>
                <w:sz w:val="20"/>
                <w:szCs w:val="20"/>
              </w:rPr>
              <w:t xml:space="preserve">Download data using the TCIA data retrieval tool or NBIA Data Retriever.</w:t>
            </w:r>
          </w:p>
          <w:p>
            <w:pPr>
              <w:spacing w:after="0" w:before="40"/>
            </w:pPr>
            <w:r>
              <w:rPr>
                <w:rFonts w:ascii="Arial" w:cs="Arial" w:eastAsia="Arial" w:hAnsi="Arial"/>
                <w:color w:val="2D3748"/>
                <w:sz w:val="20"/>
                <w:szCs w:val="20"/>
              </w:rPr>
              <w:t xml:space="preserve">Clinical data CSV (HCC-TACE-SEG_clinical_data-V2) downloads separately from the imaging.</w:t>
            </w:r>
          </w:p>
          <w:p>
            <w:pPr>
              <w:spacing w:after="0" w:before="40"/>
            </w:pPr>
            <w:r>
              <w:rPr>
                <w:rFonts w:ascii="Arial" w:cs="Arial" w:eastAsia="Arial" w:hAnsi="Arial"/>
                <w:color w:val="2D3748"/>
                <w:sz w:val="20"/>
                <w:szCs w:val="20"/>
              </w:rPr>
              <w:t xml:space="preserve">Cite: Moawad et al. (2021) — DOI: 10.7937/TCIA.5FNA-0924.</w:t>
            </w:r>
          </w:p>
        </w:tc>
      </w:tr>
    </w:tbl>
    <w:p>
      <w:pPr>
        <w:spacing w:after="0" w:before="100"/>
      </w:pPr>
      <w:r>
        <w:t xml:space="preserve"/>
      </w:r>
    </w:p>
    <w:p>
      <w:pPr>
        <w:pStyle w:val="Heading2"/>
        <w:spacing w:after="120" w:before="240"/>
      </w:pPr>
      <w:r>
        <w:rPr>
          <w:rFonts w:ascii="Arial" w:cs="Arial" w:eastAsia="Arial" w:hAnsi="Arial"/>
          <w:b/>
          <w:bCs/>
          <w:color w:val="2C5282"/>
          <w:sz w:val="26"/>
          <w:szCs w:val="26"/>
        </w:rPr>
        <w:t xml:space="preserve">3.2  CirrMRI600+ — Cirrhotic Liver MRI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Source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GitHub — github.com/NUBagciLab/CirrMRI600Plus (Zenodo release pending)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Licence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Confirmed publicly released — licence on Zenodo upon paper acceptance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Size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628 MRI scans (310 T1-weighted + 318 T2-weighted) from 339 patients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Modality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Multi-sequence MRI — T1W and T2W volumetric scans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Labels</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3-stage cirrhosis grading: mild / moderate / severe  +  pixel-level segmentation masks</w:t>
            </w:r>
          </w:p>
        </w:tc>
      </w:tr>
    </w:tbl>
    <w:p>
      <w:pPr>
        <w:spacing w:after="0" w:before="120"/>
      </w:pPr>
      <w:r>
        <w:t xml:space="preserve"/>
      </w:r>
    </w:p>
    <w:p>
      <w:pPr>
        <w:pStyle w:val="Heading3"/>
        <w:spacing w:after="80" w:before="180"/>
      </w:pPr>
      <w:r>
        <w:rPr>
          <w:rFonts w:ascii="Arial" w:cs="Arial" w:eastAsia="Arial" w:hAnsi="Arial"/>
          <w:b/>
          <w:bCs/>
          <w:color w:val="2D3748"/>
          <w:sz w:val="23"/>
          <w:szCs w:val="23"/>
        </w:rPr>
        <w:t xml:space="preserve">What it contains</w:t>
      </w:r>
    </w:p>
    <w:p>
      <w:pPr>
        <w:pStyle w:val="ListParagraph"/>
        <w:numPr>
          <w:ilvl w:val="0"/>
          <w:numId w:val="2"/>
        </w:numPr>
        <w:spacing w:after="60" w:before="40"/>
      </w:pPr>
      <w:r>
        <w:rPr>
          <w:rFonts w:ascii="Arial" w:cs="Arial" w:eastAsia="Arial" w:hAnsi="Arial"/>
          <w:sz w:val="22"/>
          <w:szCs w:val="22"/>
        </w:rPr>
        <w:t xml:space="preserve">628 high-resolution abdominal MRI scans totalling approximately 40,000 annotated slices</w:t>
      </w:r>
    </w:p>
    <w:p>
      <w:pPr>
        <w:pStyle w:val="ListParagraph"/>
        <w:numPr>
          <w:ilvl w:val="0"/>
          <w:numId w:val="2"/>
        </w:numPr>
        <w:spacing w:after="60" w:before="40"/>
      </w:pPr>
      <w:r>
        <w:rPr>
          <w:rFonts w:ascii="Arial" w:cs="Arial" w:eastAsia="Arial" w:hAnsi="Arial"/>
          <w:sz w:val="22"/>
          <w:szCs w:val="22"/>
        </w:rPr>
        <w:t xml:space="preserve">Expert-validated segmentation labels annotated by radiologists for each scan</w:t>
      </w:r>
    </w:p>
    <w:p>
      <w:pPr>
        <w:pStyle w:val="ListParagraph"/>
        <w:numPr>
          <w:ilvl w:val="0"/>
          <w:numId w:val="2"/>
        </w:numPr>
        <w:spacing w:after="60" w:before="40"/>
      </w:pPr>
      <w:r>
        <w:rPr>
          <w:rFonts w:ascii="Arial" w:cs="Arial" w:eastAsia="Arial" w:hAnsi="Arial"/>
          <w:sz w:val="22"/>
          <w:szCs w:val="22"/>
        </w:rPr>
        <w:t xml:space="preserve">3-stage cirrhosis classification per patient in a CSV file (mild, moderate, severe)</w:t>
      </w:r>
    </w:p>
    <w:p>
      <w:pPr>
        <w:pStyle w:val="ListParagraph"/>
        <w:numPr>
          <w:ilvl w:val="0"/>
          <w:numId w:val="2"/>
        </w:numPr>
        <w:spacing w:after="60" w:before="40"/>
      </w:pPr>
      <w:r>
        <w:rPr>
          <w:rFonts w:ascii="Arial" w:cs="Arial" w:eastAsia="Arial" w:hAnsi="Arial"/>
          <w:sz w:val="22"/>
          <w:szCs w:val="22"/>
        </w:rPr>
        <w:t xml:space="preserve">Both enhanced and non-enhanced MRI included — multivendor and multiphase</w:t>
      </w:r>
    </w:p>
    <w:p>
      <w:pPr>
        <w:pStyle w:val="ListParagraph"/>
        <w:numPr>
          <w:ilvl w:val="0"/>
          <w:numId w:val="2"/>
        </w:numPr>
        <w:spacing w:after="60" w:before="40"/>
      </w:pPr>
      <w:r>
        <w:rPr>
          <w:rFonts w:ascii="Arial" w:cs="Arial" w:eastAsia="Arial" w:hAnsi="Arial"/>
          <w:sz w:val="22"/>
          <w:szCs w:val="22"/>
        </w:rPr>
        <w:t xml:space="preserve">Demographic and clinical parameters included alongside imaging</w:t>
      </w:r>
    </w:p>
    <w:p>
      <w:pPr>
        <w:spacing w:after="0" w:before="120"/>
      </w:pPr>
      <w:r>
        <w:t xml:space="preserve"/>
      </w:r>
    </w:p>
    <w:p>
      <w:pPr>
        <w:pStyle w:val="Heading3"/>
        <w:spacing w:after="80" w:before="180"/>
      </w:pPr>
      <w:r>
        <w:rPr>
          <w:rFonts w:ascii="Arial" w:cs="Arial" w:eastAsia="Arial" w:hAnsi="Arial"/>
          <w:b/>
          <w:bCs/>
          <w:color w:val="2D3748"/>
          <w:sz w:val="23"/>
          <w:szCs w:val="23"/>
        </w:rPr>
        <w:t xml:space="preserve">Why this fills a gap</w:t>
      </w:r>
    </w:p>
    <w:p>
      <w:pPr>
        <w:pStyle w:val="ListParagraph"/>
        <w:numPr>
          <w:ilvl w:val="0"/>
          <w:numId w:val="2"/>
        </w:numPr>
        <w:spacing w:after="60" w:before="40"/>
      </w:pPr>
      <w:r>
        <w:rPr>
          <w:rFonts w:ascii="Arial" w:cs="Arial" w:eastAsia="Arial" w:hAnsi="Arial"/>
          <w:sz w:val="22"/>
          <w:szCs w:val="22"/>
        </w:rPr>
        <w:t xml:space="preserve">Your current MRI source (Duke DLDS) provides series labels and segmentation but NO cirrhosis staging labels</w:t>
      </w:r>
    </w:p>
    <w:p>
      <w:pPr>
        <w:pStyle w:val="ListParagraph"/>
        <w:numPr>
          <w:ilvl w:val="0"/>
          <w:numId w:val="2"/>
        </w:numPr>
        <w:spacing w:after="60" w:before="40"/>
      </w:pPr>
      <w:r>
        <w:rPr>
          <w:rFonts w:ascii="Arial" w:cs="Arial" w:eastAsia="Arial" w:hAnsi="Arial"/>
          <w:sz w:val="22"/>
          <w:szCs w:val="22"/>
        </w:rPr>
        <w:t xml:space="preserve">CirrMRI600+ is the first MRI dataset designed specifically for cirrhosis — your primary target disease</w:t>
      </w:r>
    </w:p>
    <w:p>
      <w:pPr>
        <w:pStyle w:val="ListParagraph"/>
        <w:numPr>
          <w:ilvl w:val="0"/>
          <w:numId w:val="2"/>
        </w:numPr>
        <w:spacing w:after="60" w:before="40"/>
      </w:pPr>
      <w:r>
        <w:rPr>
          <w:rFonts w:ascii="Arial" w:cs="Arial" w:eastAsia="Arial" w:hAnsi="Arial"/>
          <w:sz w:val="22"/>
          <w:szCs w:val="22"/>
        </w:rPr>
        <w:t xml:space="preserve">The 3-stage grading (mild/moderate/severe) maps directly to your CUSP-Cascade fibrosis staging head</w:t>
      </w:r>
    </w:p>
    <w:p>
      <w:pPr>
        <w:spacing w:after="0" w:before="120"/>
      </w:pPr>
      <w:r>
        <w:t xml:space="preserve"/>
      </w:r>
    </w:p>
    <w:p>
      <w:pPr>
        <w:pStyle w:val="Heading3"/>
        <w:spacing w:after="80" w:before="180"/>
      </w:pPr>
      <w:r>
        <w:rPr>
          <w:rFonts w:ascii="Arial" w:cs="Arial" w:eastAsia="Arial" w:hAnsi="Arial"/>
          <w:b/>
          <w:bCs/>
          <w:color w:val="2D3748"/>
          <w:sz w:val="23"/>
          <w:szCs w:val="23"/>
        </w:rPr>
        <w:t xml:space="preserve">Use in your project</w:t>
      </w:r>
    </w:p>
    <w:p>
      <w:pPr>
        <w:pStyle w:val="ListParagraph"/>
        <w:numPr>
          <w:ilvl w:val="0"/>
          <w:numId w:val="2"/>
        </w:numPr>
        <w:spacing w:after="60" w:before="40"/>
      </w:pPr>
      <w:r>
        <w:rPr>
          <w:rFonts w:ascii="Arial" w:cs="Arial" w:eastAsia="Arial" w:hAnsi="Arial"/>
          <w:sz w:val="22"/>
          <w:szCs w:val="22"/>
        </w:rPr>
        <w:t xml:space="preserve">Fibrosis staging head: mild/moderate/severe labels are your staging supervision signal in MRI</w:t>
      </w:r>
    </w:p>
    <w:p>
      <w:pPr>
        <w:pStyle w:val="ListParagraph"/>
        <w:numPr>
          <w:ilvl w:val="0"/>
          <w:numId w:val="2"/>
        </w:numPr>
        <w:spacing w:after="60" w:before="40"/>
      </w:pPr>
      <w:r>
        <w:rPr>
          <w:rFonts w:ascii="Arial" w:cs="Arial" w:eastAsia="Arial" w:hAnsi="Arial"/>
          <w:sz w:val="22"/>
          <w:szCs w:val="22"/>
        </w:rPr>
        <w:t xml:space="preserve">MRI encoder branch of your Swin-CNN: T1W and T2W diversity strengthens the encoder</w:t>
      </w:r>
    </w:p>
    <w:p>
      <w:pPr>
        <w:pStyle w:val="ListParagraph"/>
        <w:numPr>
          <w:ilvl w:val="0"/>
          <w:numId w:val="2"/>
        </w:numPr>
        <w:spacing w:after="60" w:before="40"/>
      </w:pPr>
      <w:r>
        <w:rPr>
          <w:rFonts w:ascii="Arial" w:cs="Arial" w:eastAsia="Arial" w:hAnsi="Arial"/>
          <w:sz w:val="22"/>
          <w:szCs w:val="22"/>
        </w:rPr>
        <w:t xml:space="preserve">SimCLR pre-training: 40,000 annotated slices is substantial unlabelled imaging volume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4"/>
              <w:left w:val="single" w:color="2B6CB0" w:sz="16"/>
              <w:bottom w:val="single" w:color="2B6CB0" w:sz="4"/>
              <w:right w:val="single" w:color="2B6CB0" w:sz="4"/>
            </w:tcBorders>
            <w:shd w:fill="EBF8FF" w:val="clear"/>
            <w:tcMar>
              <w:top w:type="dxa" w:w="120"/>
              <w:left w:type="dxa" w:w="200"/>
              <w:bottom w:type="dxa" w:w="120"/>
              <w:right w:type="dxa" w:w="200"/>
            </w:tcMar>
          </w:tcPr>
          <w:p>
            <w:r>
              <w:rPr>
                <w:rFonts w:ascii="Arial" w:cs="Arial" w:eastAsia="Arial" w:hAnsi="Arial"/>
                <w:b/>
                <w:bCs/>
                <w:color w:val="2B6CB0"/>
                <w:sz w:val="20"/>
                <w:szCs w:val="20"/>
              </w:rPr>
              <w:t xml:space="preserve">Access note</w:t>
            </w:r>
          </w:p>
          <w:p>
            <w:pPr>
              <w:spacing w:after="0" w:before="40"/>
            </w:pPr>
            <w:r>
              <w:rPr>
                <w:rFonts w:ascii="Arial" w:cs="Arial" w:eastAsia="Arial" w:hAnsi="Arial"/>
                <w:color w:val="2D3748"/>
                <w:sz w:val="20"/>
                <w:szCs w:val="20"/>
              </w:rPr>
              <w:t xml:space="preserve">Check github.com/NUBagciLab/CirrMRI600Plus immediately — the repository contains training pipelines and the data may already be linked or downloadable.</w:t>
            </w:r>
          </w:p>
          <w:p>
            <w:pPr>
              <w:spacing w:after="0" w:before="40"/>
            </w:pPr>
            <w:r>
              <w:rPr>
                <w:rFonts w:ascii="Arial" w:cs="Arial" w:eastAsia="Arial" w:hAnsi="Arial"/>
                <w:color w:val="2D3748"/>
                <w:sz w:val="20"/>
                <w:szCs w:val="20"/>
              </w:rPr>
              <w:t xml:space="preserve">If not yet released, contact the authors via the arXiv paper (arXiv:2410.16296) for early access — standard academic practice.</w:t>
            </w:r>
          </w:p>
        </w:tc>
      </w:tr>
    </w:tbl>
    <w:p>
      <w:pPr>
        <w:spacing w:after="0" w:before="100"/>
      </w:pPr>
      <w:r>
        <w:t xml:space="preserve"/>
      </w:r>
    </w:p>
    <w:p>
      <w:pPr>
        <w:pStyle w:val="Heading2"/>
        <w:spacing w:after="120" w:before="240"/>
      </w:pPr>
      <w:r>
        <w:rPr>
          <w:rFonts w:ascii="Arial" w:cs="Arial" w:eastAsia="Arial" w:hAnsi="Arial"/>
          <w:b/>
          <w:bCs/>
          <w:color w:val="2C5282"/>
          <w:sz w:val="26"/>
          <w:szCs w:val="26"/>
        </w:rPr>
        <w:t xml:space="preserve">3.3  CHAOS — Combined Healthy Abdominal Organ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Source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Synapse.org — synapse.org/#!Synapse:syn3193805/wiki/217789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Licence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Free for academic research — no institutional access required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Size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40 CT volumes + 120 MRI volumes from healthy individuals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Modality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CT + multi-sequence MRI (in-phase, opposed-phase, T2-weighted)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Labels</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Liver, kidneys, spleen segmentation masks from healthy subjects</w:t>
            </w:r>
          </w:p>
        </w:tc>
      </w:tr>
    </w:tbl>
    <w:p>
      <w:pPr>
        <w:spacing w:after="0" w:before="120"/>
      </w:pPr>
      <w:r>
        <w:t xml:space="preserve"/>
      </w:r>
    </w:p>
    <w:p>
      <w:pPr>
        <w:pStyle w:val="Heading3"/>
        <w:spacing w:after="80" w:before="180"/>
      </w:pPr>
      <w:r>
        <w:rPr>
          <w:rFonts w:ascii="Arial" w:cs="Arial" w:eastAsia="Arial" w:hAnsi="Arial"/>
          <w:b/>
          <w:bCs/>
          <w:color w:val="2D3748"/>
          <w:sz w:val="23"/>
          <w:szCs w:val="23"/>
        </w:rPr>
        <w:t xml:space="preserve">What it contains</w:t>
      </w:r>
    </w:p>
    <w:p>
      <w:pPr>
        <w:pStyle w:val="ListParagraph"/>
        <w:numPr>
          <w:ilvl w:val="0"/>
          <w:numId w:val="2"/>
        </w:numPr>
        <w:spacing w:after="60" w:before="40"/>
      </w:pPr>
      <w:r>
        <w:rPr>
          <w:rFonts w:ascii="Arial" w:cs="Arial" w:eastAsia="Arial" w:hAnsi="Arial"/>
          <w:sz w:val="22"/>
          <w:szCs w:val="22"/>
        </w:rPr>
        <w:t xml:space="preserve">40 CT scans of healthy abdomens with liver segmentation — no liver disease present</w:t>
      </w:r>
    </w:p>
    <w:p>
      <w:pPr>
        <w:pStyle w:val="ListParagraph"/>
        <w:numPr>
          <w:ilvl w:val="0"/>
          <w:numId w:val="2"/>
        </w:numPr>
        <w:spacing w:after="60" w:before="40"/>
      </w:pPr>
      <w:r>
        <w:rPr>
          <w:rFonts w:ascii="Arial" w:cs="Arial" w:eastAsia="Arial" w:hAnsi="Arial"/>
          <w:sz w:val="22"/>
          <w:szCs w:val="22"/>
        </w:rPr>
        <w:t xml:space="preserve">120 MRI scans of healthy livers including in-phase, opposed-phase, and T2-weighted sequences</w:t>
      </w:r>
    </w:p>
    <w:p>
      <w:pPr>
        <w:pStyle w:val="ListParagraph"/>
        <w:numPr>
          <w:ilvl w:val="0"/>
          <w:numId w:val="2"/>
        </w:numPr>
        <w:spacing w:after="60" w:before="40"/>
      </w:pPr>
      <w:r>
        <w:rPr>
          <w:rFonts w:ascii="Arial" w:cs="Arial" w:eastAsia="Arial" w:hAnsi="Arial"/>
          <w:sz w:val="22"/>
          <w:szCs w:val="22"/>
        </w:rPr>
        <w:t xml:space="preserve">Expert-annotated segmentation masks for liver, kidneys, and spleen</w:t>
      </w:r>
    </w:p>
    <w:p>
      <w:pPr>
        <w:pStyle w:val="ListParagraph"/>
        <w:numPr>
          <w:ilvl w:val="0"/>
          <w:numId w:val="2"/>
        </w:numPr>
        <w:spacing w:after="60" w:before="40"/>
      </w:pPr>
      <w:r>
        <w:rPr>
          <w:rFonts w:ascii="Arial" w:cs="Arial" w:eastAsia="Arial" w:hAnsi="Arial"/>
          <w:sz w:val="22"/>
          <w:szCs w:val="22"/>
        </w:rPr>
        <w:t xml:space="preserve">All subjects are healthy — no pathology</w:t>
      </w:r>
    </w:p>
    <w:p>
      <w:pPr>
        <w:spacing w:after="0" w:before="120"/>
      </w:pPr>
      <w:r>
        <w:t xml:space="preserve"/>
      </w:r>
    </w:p>
    <w:p>
      <w:pPr>
        <w:pStyle w:val="Heading3"/>
        <w:spacing w:after="80" w:before="180"/>
      </w:pPr>
      <w:r>
        <w:rPr>
          <w:rFonts w:ascii="Arial" w:cs="Arial" w:eastAsia="Arial" w:hAnsi="Arial"/>
          <w:b/>
          <w:bCs/>
          <w:color w:val="2D3748"/>
          <w:sz w:val="23"/>
          <w:szCs w:val="23"/>
        </w:rPr>
        <w:t xml:space="preserve">Why this fills a gap</w:t>
      </w:r>
    </w:p>
    <w:p>
      <w:pPr>
        <w:pStyle w:val="ListParagraph"/>
        <w:numPr>
          <w:ilvl w:val="0"/>
          <w:numId w:val="2"/>
        </w:numPr>
        <w:spacing w:after="60" w:before="40"/>
      </w:pPr>
      <w:r>
        <w:rPr>
          <w:rFonts w:ascii="Arial" w:cs="Arial" w:eastAsia="Arial" w:hAnsi="Arial"/>
          <w:sz w:val="22"/>
          <w:szCs w:val="22"/>
        </w:rPr>
        <w:t xml:space="preserve">Every imaging dataset in your current collection contains diseased livers only</w:t>
      </w:r>
    </w:p>
    <w:p>
      <w:pPr>
        <w:pStyle w:val="ListParagraph"/>
        <w:numPr>
          <w:ilvl w:val="0"/>
          <w:numId w:val="2"/>
        </w:numPr>
        <w:spacing w:after="60" w:before="40"/>
      </w:pPr>
      <w:r>
        <w:rPr>
          <w:rFonts w:ascii="Arial" w:cs="Arial" w:eastAsia="Arial" w:hAnsi="Arial"/>
          <w:sz w:val="22"/>
          <w:szCs w:val="22"/>
        </w:rPr>
        <w:t xml:space="preserve">SimCLR contrastive pre-training requires both positive pairs (similar livers) and negative pairs (healthy vs diseased)</w:t>
      </w:r>
    </w:p>
    <w:p>
      <w:pPr>
        <w:pStyle w:val="ListParagraph"/>
        <w:numPr>
          <w:ilvl w:val="0"/>
          <w:numId w:val="2"/>
        </w:numPr>
        <w:spacing w:after="60" w:before="40"/>
      </w:pPr>
      <w:r>
        <w:rPr>
          <w:rFonts w:ascii="Arial" w:cs="Arial" w:eastAsia="Arial" w:hAnsi="Arial"/>
          <w:sz w:val="22"/>
          <w:szCs w:val="22"/>
        </w:rPr>
        <w:t xml:space="preserve">Without healthy liver images, your imaging encoder cannot learn to distinguish normal from abnormal morphology</w:t>
      </w:r>
    </w:p>
    <w:p>
      <w:pPr>
        <w:spacing w:after="0" w:before="120"/>
      </w:pPr>
      <w:r>
        <w:t xml:space="preserve"/>
      </w:r>
    </w:p>
    <w:p>
      <w:pPr>
        <w:pStyle w:val="Heading3"/>
        <w:spacing w:after="80" w:before="180"/>
      </w:pPr>
      <w:r>
        <w:rPr>
          <w:rFonts w:ascii="Arial" w:cs="Arial" w:eastAsia="Arial" w:hAnsi="Arial"/>
          <w:b/>
          <w:bCs/>
          <w:color w:val="2D3748"/>
          <w:sz w:val="23"/>
          <w:szCs w:val="23"/>
        </w:rPr>
        <w:t xml:space="preserve">Use in your project</w:t>
      </w:r>
    </w:p>
    <w:p>
      <w:pPr>
        <w:pStyle w:val="ListParagraph"/>
        <w:numPr>
          <w:ilvl w:val="0"/>
          <w:numId w:val="2"/>
        </w:numPr>
        <w:spacing w:after="60" w:before="40"/>
      </w:pPr>
      <w:r>
        <w:rPr>
          <w:rFonts w:ascii="Arial" w:cs="Arial" w:eastAsia="Arial" w:hAnsi="Arial"/>
          <w:sz w:val="22"/>
          <w:szCs w:val="22"/>
        </w:rPr>
        <w:t xml:space="preserve">SimCLR healthy negative samples: pair healthy CHAOS scans against diseased LiTS/Duke scans as contrastive negatives</w:t>
      </w:r>
    </w:p>
    <w:p>
      <w:pPr>
        <w:pStyle w:val="ListParagraph"/>
        <w:numPr>
          <w:ilvl w:val="0"/>
          <w:numId w:val="2"/>
        </w:numPr>
        <w:spacing w:after="60" w:before="40"/>
      </w:pPr>
      <w:r>
        <w:rPr>
          <w:rFonts w:ascii="Arial" w:cs="Arial" w:eastAsia="Arial" w:hAnsi="Arial"/>
          <w:sz w:val="22"/>
          <w:szCs w:val="22"/>
        </w:rPr>
        <w:t xml:space="preserve">Imaging encoder validation: test whether your encoder correctly separates healthy from cirrhotic liver representations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4"/>
              <w:left w:val="single" w:color="276749" w:sz="16"/>
              <w:bottom w:val="single" w:color="276749" w:sz="4"/>
              <w:right w:val="single" w:color="276749" w:sz="4"/>
            </w:tcBorders>
            <w:shd w:fill="F0FFF4" w:val="clear"/>
            <w:tcMar>
              <w:top w:type="dxa" w:w="120"/>
              <w:left w:type="dxa" w:w="200"/>
              <w:bottom w:type="dxa" w:w="120"/>
              <w:right w:type="dxa" w:w="200"/>
            </w:tcMar>
          </w:tcPr>
          <w:p>
            <w:r>
              <w:rPr>
                <w:rFonts w:ascii="Arial" w:cs="Arial" w:eastAsia="Arial" w:hAnsi="Arial"/>
                <w:b/>
                <w:bCs/>
                <w:color w:val="276749"/>
                <w:sz w:val="20"/>
                <w:szCs w:val="20"/>
              </w:rPr>
              <w:t xml:space="preserve">Access note</w:t>
            </w:r>
          </w:p>
          <w:p>
            <w:pPr>
              <w:spacing w:after="0" w:before="40"/>
            </w:pPr>
            <w:r>
              <w:rPr>
                <w:rFonts w:ascii="Arial" w:cs="Arial" w:eastAsia="Arial" w:hAnsi="Arial"/>
                <w:color w:val="2D3748"/>
                <w:sz w:val="20"/>
                <w:szCs w:val="20"/>
              </w:rPr>
              <w:t xml:space="preserve">Free download at synapse.org after creating a free account (email only — no institutional requirement).</w:t>
            </w:r>
          </w:p>
          <w:p>
            <w:pPr>
              <w:spacing w:after="0" w:before="40"/>
            </w:pPr>
            <w:r>
              <w:rPr>
                <w:rFonts w:ascii="Arial" w:cs="Arial" w:eastAsia="Arial" w:hAnsi="Arial"/>
                <w:color w:val="2D3748"/>
                <w:sz w:val="20"/>
                <w:szCs w:val="20"/>
              </w:rPr>
              <w:t xml:space="preserve">Lightweight storage compared to LiTS — approximately 2–3 GB total.</w:t>
            </w:r>
          </w:p>
        </w:tc>
      </w:tr>
    </w:tbl>
    <w:p>
      <w:pPr>
        <w:spacing w:after="0" w:before="100"/>
      </w:pPr>
      <w:r>
        <w:t xml:space="preserve"/>
      </w:r>
    </w:p>
    <w:p>
      <w:pPr>
        <w:pStyle w:val="Heading2"/>
        <w:spacing w:after="120" w:before="240"/>
      </w:pPr>
      <w:r>
        <w:rPr>
          <w:rFonts w:ascii="Arial" w:cs="Arial" w:eastAsia="Arial" w:hAnsi="Arial"/>
          <w:b/>
          <w:bCs/>
          <w:color w:val="2C5282"/>
          <w:sz w:val="26"/>
          <w:szCs w:val="26"/>
        </w:rPr>
        <w:t xml:space="preserve">3.4  LiQA — Liver Fibrosis Quantification and Analysis (MICCAI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Source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CARE 2024 MICCAI Challenge — contact organisers post-challenge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Licence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Research use — standard post-challenge data sharing</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Size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440 patients with multi-phase, multi-centre MRI scans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Modality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Multi-phase MRI from multiple hospitals and vendors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Labels</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Liver segmentation masks + fibrosis stage labels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When to 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Phase II only — generalisation evaluation</w:t>
            </w:r>
          </w:p>
        </w:tc>
      </w:tr>
    </w:tbl>
    <w:p>
      <w:pPr>
        <w:spacing w:after="0" w:before="120"/>
      </w:pPr>
      <w:r>
        <w:t xml:space="preserve"/>
      </w:r>
    </w:p>
    <w:p>
      <w:pPr>
        <w:pStyle w:val="Heading3"/>
        <w:spacing w:after="80" w:before="180"/>
      </w:pPr>
      <w:r>
        <w:rPr>
          <w:rFonts w:ascii="Arial" w:cs="Arial" w:eastAsia="Arial" w:hAnsi="Arial"/>
          <w:b/>
          <w:bCs/>
          <w:color w:val="2D3748"/>
          <w:sz w:val="23"/>
          <w:szCs w:val="23"/>
        </w:rPr>
        <w:t xml:space="preserve">What it contains</w:t>
      </w:r>
    </w:p>
    <w:p>
      <w:pPr>
        <w:pStyle w:val="ListParagraph"/>
        <w:numPr>
          <w:ilvl w:val="0"/>
          <w:numId w:val="2"/>
        </w:numPr>
        <w:spacing w:after="60" w:before="40"/>
      </w:pPr>
      <w:r>
        <w:rPr>
          <w:rFonts w:ascii="Arial" w:cs="Arial" w:eastAsia="Arial" w:hAnsi="Arial"/>
          <w:sz w:val="22"/>
          <w:szCs w:val="22"/>
        </w:rPr>
        <w:t xml:space="preserve">440 patients with hepatobiliary phase MRI from multiple clinical centres and MRI vendors</w:t>
      </w:r>
    </w:p>
    <w:p>
      <w:pPr>
        <w:pStyle w:val="ListParagraph"/>
        <w:numPr>
          <w:ilvl w:val="0"/>
          <w:numId w:val="2"/>
        </w:numPr>
        <w:spacing w:after="60" w:before="40"/>
      </w:pPr>
      <w:r>
        <w:rPr>
          <w:rFonts w:ascii="Arial" w:cs="Arial" w:eastAsia="Arial" w:hAnsi="Arial"/>
          <w:sz w:val="22"/>
          <w:szCs w:val="22"/>
        </w:rPr>
        <w:t xml:space="preserve">Fibrosis staging labels for each patient — your staging head's generalisation test</w:t>
      </w:r>
    </w:p>
    <w:p>
      <w:pPr>
        <w:pStyle w:val="ListParagraph"/>
        <w:numPr>
          <w:ilvl w:val="0"/>
          <w:numId w:val="2"/>
        </w:numPr>
        <w:spacing w:after="60" w:before="40"/>
      </w:pPr>
      <w:r>
        <w:rPr>
          <w:rFonts w:ascii="Arial" w:cs="Arial" w:eastAsia="Arial" w:hAnsi="Arial"/>
          <w:sz w:val="22"/>
          <w:szCs w:val="22"/>
        </w:rPr>
        <w:t xml:space="preserve">Designed under real-world conditions: domain shift between hospitals, missing modalities, spatial misalignment</w:t>
      </w:r>
    </w:p>
    <w:p>
      <w:pPr>
        <w:pStyle w:val="ListParagraph"/>
        <w:numPr>
          <w:ilvl w:val="0"/>
          <w:numId w:val="2"/>
        </w:numPr>
        <w:spacing w:after="60" w:before="40"/>
      </w:pPr>
      <w:r>
        <w:rPr>
          <w:rFonts w:ascii="Arial" w:cs="Arial" w:eastAsia="Arial" w:hAnsi="Arial"/>
          <w:sz w:val="22"/>
          <w:szCs w:val="22"/>
        </w:rPr>
        <w:t xml:space="preserve">The missing modality condition directly tests your CSG-Fusion gating mechanism</w:t>
      </w:r>
    </w:p>
    <w:p>
      <w:pPr>
        <w:spacing w:after="0" w:before="120"/>
      </w:pPr>
      <w:r>
        <w:t xml:space="preserve"/>
      </w:r>
    </w:p>
    <w:p>
      <w:pPr>
        <w:pStyle w:val="Heading3"/>
        <w:spacing w:after="80" w:before="180"/>
      </w:pPr>
      <w:r>
        <w:rPr>
          <w:rFonts w:ascii="Arial" w:cs="Arial" w:eastAsia="Arial" w:hAnsi="Arial"/>
          <w:b/>
          <w:bCs/>
          <w:color w:val="2D3748"/>
          <w:sz w:val="23"/>
          <w:szCs w:val="23"/>
        </w:rPr>
        <w:t xml:space="preserve">Use in your project</w:t>
      </w:r>
    </w:p>
    <w:p>
      <w:pPr>
        <w:pStyle w:val="ListParagraph"/>
        <w:numPr>
          <w:ilvl w:val="0"/>
          <w:numId w:val="2"/>
        </w:numPr>
        <w:spacing w:after="60" w:before="40"/>
      </w:pPr>
      <w:r>
        <w:rPr>
          <w:rFonts w:ascii="Arial" w:cs="Arial" w:eastAsia="Arial" w:hAnsi="Arial"/>
          <w:sz w:val="22"/>
          <w:szCs w:val="22"/>
        </w:rPr>
        <w:t xml:space="preserve">Phase II generalisation test: train on NAFLD/CirrMRI600+, evaluate on LiQA to measure cross-centre robustness</w:t>
      </w:r>
    </w:p>
    <w:p>
      <w:pPr>
        <w:pStyle w:val="ListParagraph"/>
        <w:numPr>
          <w:ilvl w:val="0"/>
          <w:numId w:val="2"/>
        </w:numPr>
        <w:spacing w:after="60" w:before="40"/>
      </w:pPr>
      <w:r>
        <w:rPr>
          <w:rFonts w:ascii="Arial" w:cs="Arial" w:eastAsia="Arial" w:hAnsi="Arial"/>
          <w:sz w:val="22"/>
          <w:szCs w:val="22"/>
        </w:rPr>
        <w:t xml:space="preserve">Missing modality ablation: test your CSG-Fusion with intentionally missing tabular or imaging inputs</w:t>
      </w:r>
    </w:p>
    <w:p>
      <w:pPr>
        <w:pStyle w:val="ListParagraph"/>
        <w:numPr>
          <w:ilvl w:val="0"/>
          <w:numId w:val="2"/>
        </w:numPr>
        <w:spacing w:after="60" w:before="40"/>
      </w:pPr>
      <w:r>
        <w:rPr>
          <w:rFonts w:ascii="Arial" w:cs="Arial" w:eastAsia="Arial" w:hAnsi="Arial"/>
          <w:sz w:val="22"/>
          <w:szCs w:val="22"/>
        </w:rPr>
        <w:t xml:space="preserve">Multi-centre evaluation section of your paper — reviewers expect this for clinical AI papers</w:t>
      </w:r>
    </w:p>
    <w:p>
      <w:pPr>
        <w:spacing w:after="0" w:before="100"/>
      </w:pPr>
      <w:r>
        <w:t xml:space="preserve"/>
      </w:r>
    </w:p>
    <w:p>
      <w:pPr>
        <w:pStyle w:val="Heading2"/>
        <w:spacing w:after="120" w:before="240"/>
      </w:pPr>
      <w:r>
        <w:rPr>
          <w:rFonts w:ascii="Arial" w:cs="Arial" w:eastAsia="Arial" w:hAnsi="Arial"/>
          <w:b/>
          <w:bCs/>
          <w:color w:val="2C5282"/>
          <w:sz w:val="26"/>
          <w:szCs w:val="26"/>
        </w:rPr>
        <w:t xml:space="preserve">3.5  TCGA-LIHC — The Cancer Genome Atlas Liver Hepatocellular Carcinoma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Source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GDC Portal — portal.gdc.cancer.gov (search TCGA-LIHC)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Licence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CC BY 3.0 — free, no credentialing required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Size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Genomic + clinical data for HCC patients (approximately 370 cases)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Modality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Multi-omics tabular: RNA-seq, DNA methylation, copy number variation, clinical data</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Labels</w:t>
            </w:r>
          </w:p>
        </w:tc>
        <w:tc>
          <w:tcPr>
            <w:tcW w:type="dxa" w:w="65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Survival data, tumour grade, stage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When to 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Phase II only — molecular feature extension</w:t>
            </w:r>
          </w:p>
        </w:tc>
      </w:tr>
    </w:tbl>
    <w:p>
      <w:pPr>
        <w:spacing w:after="0" w:before="120"/>
      </w:pPr>
      <w:r>
        <w:t xml:space="preserve"/>
      </w:r>
    </w:p>
    <w:p>
      <w:pPr>
        <w:pStyle w:val="Heading3"/>
        <w:spacing w:after="80" w:before="180"/>
      </w:pPr>
      <w:r>
        <w:rPr>
          <w:rFonts w:ascii="Arial" w:cs="Arial" w:eastAsia="Arial" w:hAnsi="Arial"/>
          <w:b/>
          <w:bCs/>
          <w:color w:val="2D3748"/>
          <w:sz w:val="23"/>
          <w:szCs w:val="23"/>
        </w:rPr>
        <w:t xml:space="preserve">What it contains</w:t>
      </w:r>
    </w:p>
    <w:p>
      <w:pPr>
        <w:pStyle w:val="ListParagraph"/>
        <w:numPr>
          <w:ilvl w:val="0"/>
          <w:numId w:val="2"/>
        </w:numPr>
        <w:spacing w:after="60" w:before="40"/>
      </w:pPr>
      <w:r>
        <w:rPr>
          <w:rFonts w:ascii="Arial" w:cs="Arial" w:eastAsia="Arial" w:hAnsi="Arial"/>
          <w:sz w:val="22"/>
          <w:szCs w:val="22"/>
        </w:rPr>
        <w:t xml:space="preserve">RNA sequencing expression profiles — gene expression across thousands of genes</w:t>
      </w:r>
    </w:p>
    <w:p>
      <w:pPr>
        <w:pStyle w:val="ListParagraph"/>
        <w:numPr>
          <w:ilvl w:val="0"/>
          <w:numId w:val="2"/>
        </w:numPr>
        <w:spacing w:after="60" w:before="40"/>
      </w:pPr>
      <w:r>
        <w:rPr>
          <w:rFonts w:ascii="Arial" w:cs="Arial" w:eastAsia="Arial" w:hAnsi="Arial"/>
          <w:sz w:val="22"/>
          <w:szCs w:val="22"/>
        </w:rPr>
        <w:t xml:space="preserve">DNA methylation data — epigenetic markers</w:t>
      </w:r>
    </w:p>
    <w:p>
      <w:pPr>
        <w:pStyle w:val="ListParagraph"/>
        <w:numPr>
          <w:ilvl w:val="0"/>
          <w:numId w:val="2"/>
        </w:numPr>
        <w:spacing w:after="60" w:before="40"/>
      </w:pPr>
      <w:r>
        <w:rPr>
          <w:rFonts w:ascii="Arial" w:cs="Arial" w:eastAsia="Arial" w:hAnsi="Arial"/>
          <w:sz w:val="22"/>
          <w:szCs w:val="22"/>
        </w:rPr>
        <w:t xml:space="preserve">Copy number variation — structural genomic alterations</w:t>
      </w:r>
    </w:p>
    <w:p>
      <w:pPr>
        <w:pStyle w:val="ListParagraph"/>
        <w:numPr>
          <w:ilvl w:val="0"/>
          <w:numId w:val="2"/>
        </w:numPr>
        <w:spacing w:after="60" w:before="40"/>
      </w:pPr>
      <w:r>
        <w:rPr>
          <w:rFonts w:ascii="Arial" w:cs="Arial" w:eastAsia="Arial" w:hAnsi="Arial"/>
          <w:sz w:val="22"/>
          <w:szCs w:val="22"/>
        </w:rPr>
        <w:t xml:space="preserve">Clinical data: survival time, vital status, tumour stage, grade, treatment history</w:t>
      </w:r>
    </w:p>
    <w:p>
      <w:pPr>
        <w:spacing w:after="0" w:before="120"/>
      </w:pPr>
      <w:r>
        <w:t xml:space="preserve"/>
      </w:r>
    </w:p>
    <w:p>
      <w:pPr>
        <w:pStyle w:val="Heading3"/>
        <w:spacing w:after="80" w:before="180"/>
      </w:pPr>
      <w:r>
        <w:rPr>
          <w:rFonts w:ascii="Arial" w:cs="Arial" w:eastAsia="Arial" w:hAnsi="Arial"/>
          <w:b/>
          <w:bCs/>
          <w:color w:val="2D3748"/>
          <w:sz w:val="23"/>
          <w:szCs w:val="23"/>
        </w:rPr>
        <w:t xml:space="preserve">Use in your project</w:t>
      </w:r>
    </w:p>
    <w:p>
      <w:pPr>
        <w:pStyle w:val="ListParagraph"/>
        <w:numPr>
          <w:ilvl w:val="0"/>
          <w:numId w:val="2"/>
        </w:numPr>
        <w:spacing w:after="60" w:before="40"/>
      </w:pPr>
      <w:r>
        <w:rPr>
          <w:rFonts w:ascii="Arial" w:cs="Arial" w:eastAsia="Arial" w:hAnsi="Arial"/>
          <w:sz w:val="22"/>
          <w:szCs w:val="22"/>
        </w:rPr>
        <w:t xml:space="preserve">Optional extension: add molecular features to your FT-Transformer tabular encoder in Phase II</w:t>
      </w:r>
    </w:p>
    <w:p>
      <w:pPr>
        <w:pStyle w:val="ListParagraph"/>
        <w:numPr>
          <w:ilvl w:val="0"/>
          <w:numId w:val="2"/>
        </w:numPr>
        <w:spacing w:after="60" w:before="40"/>
      </w:pPr>
      <w:r>
        <w:rPr>
          <w:rFonts w:ascii="Arial" w:cs="Arial" w:eastAsia="Arial" w:hAnsi="Arial"/>
          <w:sz w:val="22"/>
          <w:szCs w:val="22"/>
        </w:rPr>
        <w:t xml:space="preserve">Survival prediction task: train an additional task head on survival prediction using TCGA-LIHC clinical + genomic features</w:t>
      </w:r>
    </w:p>
    <w:p>
      <w:pPr>
        <w:pStyle w:val="ListParagraph"/>
        <w:numPr>
          <w:ilvl w:val="0"/>
          <w:numId w:val="2"/>
        </w:numPr>
        <w:spacing w:after="60" w:before="40"/>
      </w:pPr>
      <w:r>
        <w:rPr>
          <w:rFonts w:ascii="Arial" w:cs="Arial" w:eastAsia="Arial" w:hAnsi="Arial"/>
          <w:sz w:val="22"/>
          <w:szCs w:val="22"/>
        </w:rPr>
        <w:t xml:space="preserve">Adds a third dimension to your multi-task framework beyond blood tests and imaging</w:t>
      </w:r>
    </w:p>
    <w:p>
      <w:pPr>
        <w:spacing w:after="0" w:before="100"/>
      </w:pPr>
      <w:r>
        <w:t xml:space="preserve"/>
      </w:r>
    </w:p>
    <w:p>
      <w:pPr>
        <w:pBdr>
          <w:bottom w:val="single" w:color="CBD5E0" w:sz="4" w:space="1"/>
        </w:pBdr>
        <w:spacing w:after="160" w:before="160"/>
      </w:pPr>
      <w:r>
        <w:t xml:space="preserve"/>
      </w:r>
    </w:p>
    <w:p>
      <w:pPr>
        <w:pStyle w:val="Heading1"/>
        <w:spacing w:after="160" w:before="320"/>
      </w:pPr>
      <w:r>
        <w:rPr>
          <w:rFonts w:ascii="Arial" w:cs="Arial" w:eastAsia="Arial" w:hAnsi="Arial"/>
          <w:b/>
          <w:bCs/>
          <w:color w:val="1A365D"/>
          <w:sz w:val="30"/>
          <w:szCs w:val="30"/>
        </w:rPr>
        <w:t xml:space="preserve">4.  Priority Order and Action Plan</w:t>
      </w:r>
    </w:p>
    <w:p>
      <w:pPr>
        <w:spacing w:after="100" w:before="60"/>
      </w:pPr>
      <w:r>
        <w:rPr>
          <w:rFonts w:ascii="Arial" w:cs="Arial" w:eastAsia="Arial" w:hAnsi="Arial"/>
          <w:sz w:val="22"/>
          <w:szCs w:val="22"/>
        </w:rPr>
        <w:t xml:space="preserve">What to do this week, what to do this semester, and what to defer.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960"/>
        <w:gridCol w:w="1600"/>
      </w:tblGrid>
      <w:tr>
        <w:trPr>
          <w:tblHeader/>
        </w:trPr>
        <w:tc>
          <w:tcPr>
            <w:tcW w:type="dxa" w:w="100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280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Dataset</w:t>
            </w:r>
          </w:p>
        </w:tc>
        <w:tc>
          <w:tcPr>
            <w:tcW w:type="dxa" w:w="396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Action</w:t>
            </w:r>
          </w:p>
        </w:tc>
        <w:tc>
          <w:tcPr>
            <w:tcW w:type="dxa" w:w="1600"/>
            <w:tcBorders>
              <w:top w:val="single" w:color="2C5282" w:sz="2"/>
              <w:left w:val="single" w:color="2C5282" w:sz="2"/>
              <w:bottom w:val="single" w:color="2C5282" w:sz="2"/>
              <w:right w:val="single" w:color="2C5282" w:sz="2"/>
            </w:tcBorders>
            <w:shd w:fill="1A365D" w:val="clear"/>
            <w:tcMar>
              <w:top w:type="dxa" w:w="80"/>
              <w:left w:type="dxa" w:w="140"/>
              <w:bottom w:type="dxa" w:w="80"/>
              <w:right w:type="dxa" w:w="140"/>
            </w:tcMar>
          </w:tcPr>
          <w:p>
            <w:r>
              <w:rPr>
                <w:rFonts w:ascii="Arial" w:cs="Arial" w:eastAsia="Arial" w:hAnsi="Arial"/>
                <w:b/>
                <w:bCs/>
                <w:color w:val="FFFFFF"/>
                <w:sz w:val="20"/>
                <w:szCs w:val="20"/>
              </w:rPr>
              <w:t xml:space="preserve">Timeline</w:t>
            </w:r>
          </w:p>
        </w:tc>
      </w:tr>
      <w:tr>
        <w:tc>
          <w:tcPr>
            <w:tcW w:type="dxa" w:w="10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val="false"/>
                <w:bCs w:val="false"/>
                <w:color w:val="C53030"/>
                <w:sz w:val="20"/>
                <w:szCs w:val="20"/>
              </w:rPr>
              <w:t xml:space="preserv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BUPA</w:t>
            </w:r>
          </w:p>
        </w:tc>
        <w:tc>
          <w:tcPr>
            <w:tcW w:type="dxa" w:w="39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C53030"/>
                <w:sz w:val="20"/>
                <w:szCs w:val="20"/>
              </w:rPr>
              <w:t xml:space="preserve">Remove from all code, experiments, and paper references immediately</w:t>
            </w:r>
          </w:p>
        </w:tc>
        <w:tc>
          <w:tcPr>
            <w:tcW w:type="dxa" w:w="1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Today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C53030"/>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NAFLD Mendeley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Update link from V1 to V3 in your document and download script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Today</w:t>
            </w:r>
          </w:p>
        </w:tc>
      </w:tr>
      <w:tr>
        <w:tc>
          <w:tcPr>
            <w:tcW w:type="dxa" w:w="10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val="false"/>
                <w:bCs w:val="false"/>
                <w:color w:val="C53030"/>
                <w:sz w:val="20"/>
                <w:szCs w:val="20"/>
              </w:rPr>
              <w:t xml:space="preserv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NAFLD (all experiments)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Fix data split to patient level using GroupShuffleSplit — check all existing notebooks</w:t>
            </w:r>
          </w:p>
        </w:tc>
        <w:tc>
          <w:tcPr>
            <w:tcW w:type="dxa" w:w="1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Today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92400E"/>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HCC-TACE-Seg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Register on TCIA, download clinical CSV and CT scans, integrate into pipeline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This week</w:t>
            </w:r>
          </w:p>
        </w:tc>
      </w:tr>
      <w:tr>
        <w:tc>
          <w:tcPr>
            <w:tcW w:type="dxa" w:w="10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val="false"/>
                <w:bCs w:val="false"/>
                <w:color w:val="92400E"/>
                <w:sz w:val="20"/>
                <w:szCs w:val="20"/>
              </w:rPr>
              <w:t xml:space="preserv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LiTS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Register on CodaLab, begin download (70GB — start early)</w:t>
            </w:r>
          </w:p>
        </w:tc>
        <w:tc>
          <w:tcPr>
            <w:tcW w:type="dxa" w:w="1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This week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92400E"/>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Duke DLDS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Submit Zenodo access form — 2 to 5 days for approval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This week</w:t>
            </w:r>
          </w:p>
        </w:tc>
      </w:tr>
      <w:tr>
        <w:tc>
          <w:tcPr>
            <w:tcW w:type="dxa" w:w="10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val="false"/>
                <w:bCs w:val="false"/>
                <w:color w:val="92400E"/>
                <w:sz w:val="20"/>
                <w:szCs w:val="20"/>
              </w:rPr>
              <w:t xml:space="preserv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CirrMRI600+</w:t>
            </w:r>
          </w:p>
        </w:tc>
        <w:tc>
          <w:tcPr>
            <w:tcW w:type="dxa" w:w="39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Check GitHub repo for data release, contact authors if not yet posted</w:t>
            </w:r>
          </w:p>
        </w:tc>
        <w:tc>
          <w:tcPr>
            <w:tcW w:type="dxa" w:w="1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This week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76749"/>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CHAOS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Download from synapse.org — fast, small, no approval 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This week</w:t>
            </w:r>
          </w:p>
        </w:tc>
      </w:tr>
      <w:tr>
        <w:tc>
          <w:tcPr>
            <w:tcW w:type="dxa" w:w="10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val="false"/>
                <w:bCs w:val="false"/>
                <w:color w:val="276749"/>
                <w:sz w:val="20"/>
                <w:szCs w:val="20"/>
              </w:rPr>
              <w:t xml:space="preserv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ILPD + HCC + Cirrhosis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All downloadable today via ucimlrepo and Kaggle — start preprocessing</w:t>
            </w:r>
          </w:p>
        </w:tc>
        <w:tc>
          <w:tcPr>
            <w:tcW w:type="dxa" w:w="1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Immediately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3C9A"/>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LiQA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Contact CARE 2024 challenge organisers for post-challenge data access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Phase II</w:t>
            </w:r>
          </w:p>
        </w:tc>
      </w:tr>
      <w:tr>
        <w:tc>
          <w:tcPr>
            <w:tcW w:type="dxa" w:w="10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val="false"/>
                <w:bCs w:val="false"/>
                <w:color w:val="553C9A"/>
                <w:sz w:val="20"/>
                <w:szCs w:val="20"/>
              </w:rPr>
              <w:t xml:space="preserv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TCGA-LIHC</w:t>
            </w:r>
          </w:p>
        </w:tc>
        <w:tc>
          <w:tcPr>
            <w:tcW w:type="dxa" w:w="396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Download from GDC portal when starting molecular extension in Phase II</w:t>
            </w:r>
          </w:p>
        </w:tc>
        <w:tc>
          <w:tcPr>
            <w:tcW w:type="dxa" w:w="1600"/>
            <w:tcBorders>
              <w:top w:val="single" w:color="CCCCCC" w:sz="1"/>
              <w:left w:val="single" w:color="CCCCCC" w:sz="1"/>
              <w:bottom w:val="single" w:color="CCCCCC" w:sz="1"/>
              <w:right w:val="single" w:color="CCCCCC" w:sz="1"/>
            </w:tcBorders>
            <w:shd w:fill="F7FAFC" w:val="clear"/>
            <w:tcMar>
              <w:top w:type="dxa" w:w="80"/>
              <w:left w:type="dxa" w:w="140"/>
              <w:bottom w:type="dxa" w:w="80"/>
              <w:right w:type="dxa" w:w="140"/>
            </w:tcMar>
          </w:tcPr>
          <w:p>
            <w:r>
              <w:rPr>
                <w:rFonts w:ascii="Arial" w:cs="Arial" w:eastAsia="Arial" w:hAnsi="Arial"/>
                <w:b/>
                <w:bCs/>
                <w:color w:val="2D3748"/>
                <w:sz w:val="20"/>
                <w:szCs w:val="20"/>
              </w:rPr>
              <w:t xml:space="preserve">Phase II</w:t>
            </w:r>
          </w:p>
        </w:tc>
      </w:tr>
    </w:tbl>
    <w:p>
      <w:pPr>
        <w:spacing w:after="0" w:before="200"/>
      </w:pPr>
      <w:r>
        <w:t xml:space="preserve"/>
      </w:r>
    </w:p>
    <w:p>
      <w:pPr>
        <w:spacing w:after="100" w:before="60"/>
      </w:pPr>
      <w:r>
        <w:rPr>
          <w:rFonts w:ascii="Arial" w:cs="Arial" w:eastAsia="Arial" w:hAnsi="Arial"/>
          <w:i/>
          <w:iCs/>
          <w:color w:val="718096"/>
          <w:sz w:val="22"/>
          <w:szCs w:val="22"/>
        </w:rPr>
        <w:t xml:space="preserve">Document prepared for CMCHT-XAI Final Year Project — Sri Krishna College of Technology, Coimbatore.</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CMCHT-XAI · Dataset Reference Document  |  Page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65D"/>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C528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D374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2026-06-24T01:19:42.970Z</dcterms:created>
  <dcterms:modified xsi:type="dcterms:W3CDTF">2026-06-24T01:19:42.970Z</dcterms:modified>
</cp:coreProperties>
</file>

<file path=docProps/custom.xml><?xml version="1.0" encoding="utf-8"?>
<Properties xmlns="http://schemas.openxmlformats.org/officeDocument/2006/custom-properties" xmlns:vt="http://schemas.openxmlformats.org/officeDocument/2006/docPropsVTypes"/>
</file>