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A Hybrid Model Framework for Effective Prediction of Liver Diseases</w:t>
      </w:r>
    </w:p>
    <w:p>
      <w:pPr>
        <w:spacing w:after="80"/>
        <w:jc w:val="center"/>
      </w:pPr>
      <w:r>
        <w:rPr>
          <w:i/>
          <w:iCs/>
        </w:rPr>
        <w:t xml:space="preserve">Deep Learning – Explainable AI</w:t>
      </w:r>
    </w:p>
    <w:p>
      <w:pPr>
        <w:spacing w:after="500"/>
        <w:jc w:val="center"/>
      </w:pPr>
      <w:r>
        <w:rPr>
          <w:i/>
          <w:iCs/>
          <w:sz w:val="20"/>
          <w:szCs w:val="20"/>
        </w:rPr>
        <w:t xml:space="preserve">Final Year Project Framework — Updated Edition (3 algorithmic contributions, weaknesses reviewed and fixed, full implementation scaffold)</w:t>
      </w:r>
    </w:p>
    <w:p>
      <w:pPr>
        <w:pStyle w:val="Heading1"/>
        <w:spacing w:after="150" w:before="300"/>
      </w:pPr>
      <w:r>
        <w:t xml:space="preserve">1. Problem Statement</w:t>
      </w:r>
    </w:p>
    <w:p>
      <w:pPr>
        <w:pStyle w:val="Heading2"/>
        <w:spacing w:after="100" w:before="220"/>
      </w:pPr>
      <w:r>
        <w:t xml:space="preserve">Title</w:t>
      </w:r>
    </w:p>
    <w:p>
      <w:pPr>
        <w:spacing w:after="120"/>
      </w:pPr>
      <w:r>
        <w:t xml:space="preserve">A Cross-Modal Contrastive Hybrid Transformer Framework with Counterfactual Explainable AI for Multi-Task Liver Disease Prediction (CMCHT-XAI)</w:t>
      </w:r>
    </w:p>
    <w:p>
      <w:pPr>
        <w:pStyle w:val="Heading2"/>
        <w:spacing w:after="100" w:before="220"/>
      </w:pPr>
      <w:r>
        <w:t xml:space="preserve">Problem</w:t>
      </w:r>
    </w:p>
    <w:p>
      <w:pPr>
        <w:spacing w:after="120"/>
      </w:pPr>
      <w:r>
        <w:t xml:space="preserve">Liver diseases (cirrhosis, hepatitis, hepatocellular carcinoma) progress silently and are often diagnosed at advanced stages. While AI models have achieved high accuracy in liver disease detection, three critical barriers prevent clinical adoption:</w:t>
      </w:r>
    </w:p>
    <w:p>
      <w:pPr>
        <w:pStyle w:val="ListParagraph"/>
        <w:numPr>
          <w:ilvl w:val="0"/>
          <w:numId w:val="1"/>
        </w:numPr>
        <w:spacing w:after="70"/>
      </w:pPr>
      <w:r>
        <w:t xml:space="preserve">Black-box predictions: Clinicians cannot trust models that do not explain why a decision was made or what clinical factors drove the prediction.</w:t>
      </w:r>
    </w:p>
    <w:p>
      <w:pPr>
        <w:pStyle w:val="ListParagraph"/>
        <w:numPr>
          <w:ilvl w:val="0"/>
          <w:numId w:val="1"/>
        </w:numPr>
        <w:spacing w:after="70"/>
      </w:pPr>
      <w:r>
        <w:t xml:space="preserve">Modality isolation: Existing models either process medical images (CT/MRI/Ultrasound) or clinical blood tests separately, failing to exploit the complementary information between imaging morphology and biochemical markers (bilirubin, albumin, SGOT) in a dynamically weighted fusion.</w:t>
      </w:r>
    </w:p>
    <w:p>
      <w:pPr>
        <w:pStyle w:val="ListParagraph"/>
        <w:numPr>
          <w:ilvl w:val="0"/>
          <w:numId w:val="1"/>
        </w:numPr>
        <w:spacing w:after="70"/>
      </w:pPr>
      <w:r>
        <w:t xml:space="preserve">Single-task limitation: Most models perform only binary classification (disease vs. healthy) and do not simultaneously predict disease presence, fibrosis stage, and progression risk — limiting clinical utility.</w:t>
      </w:r>
    </w:p>
    <w:p>
      <w:pPr>
        <w:pStyle w:val="Heading2"/>
        <w:spacing w:after="100" w:before="220"/>
      </w:pPr>
      <w:r>
        <w:t xml:space="preserve">Objective</w:t>
      </w:r>
    </w:p>
    <w:p>
      <w:pPr>
        <w:spacing w:after="120"/>
      </w:pPr>
      <w:r>
        <w:t xml:space="preserve">Develop an executable hybrid deep learning framework that:</w:t>
      </w:r>
    </w:p>
    <w:p>
      <w:pPr>
        <w:pStyle w:val="ListParagraph"/>
        <w:numPr>
          <w:ilvl w:val="0"/>
          <w:numId w:val="1"/>
        </w:numPr>
        <w:spacing w:after="70"/>
      </w:pPr>
      <w:r>
        <w:t xml:space="preserve">Uses contrastive self-supervised pre-training on unlabeled liver imaging to learn robust visual representations.</w:t>
      </w:r>
    </w:p>
    <w:p>
      <w:pPr>
        <w:pStyle w:val="ListParagraph"/>
        <w:numPr>
          <w:ilvl w:val="0"/>
          <w:numId w:val="1"/>
        </w:numPr>
        <w:spacing w:after="70"/>
      </w:pPr>
      <w:r>
        <w:t xml:space="preserve">Fuses imaging (CNN-Transformer) and tabular clinical data (Tabular Transformer) via cross-modal attention.</w:t>
      </w:r>
    </w:p>
    <w:p>
      <w:pPr>
        <w:pStyle w:val="ListParagraph"/>
        <w:numPr>
          <w:ilvl w:val="0"/>
          <w:numId w:val="1"/>
        </w:numPr>
        <w:spacing w:after="70"/>
      </w:pPr>
      <w:r>
        <w:t xml:space="preserve">Performs multi-task learning (detection + staging + severity scoring).</w:t>
      </w:r>
    </w:p>
    <w:p>
      <w:pPr>
        <w:pStyle w:val="ListParagraph"/>
        <w:numPr>
          <w:ilvl w:val="0"/>
          <w:numId w:val="1"/>
        </w:numPr>
        <w:spacing w:after="70"/>
      </w:pPr>
      <w:r>
        <w:t xml:space="preserve">Provides counterfactual explanations alongside SHAP and Grad-CAM.</w:t>
      </w:r>
    </w:p>
    <w:p>
      <w:pPr>
        <w:pStyle w:val="ListParagraph"/>
        <w:numPr>
          <w:ilvl w:val="0"/>
          <w:numId w:val="1"/>
        </w:numPr>
        <w:spacing w:after="70"/>
      </w:pPr>
      <w:r>
        <w:t xml:space="preserve">Quantifies prediction uncertainty to flag low-confidence cases for human review.</w:t>
      </w:r>
    </w:p>
    <w:p>
      <w:pPr>
        <w:pStyle w:val="Heading1"/>
        <w:spacing w:after="150" w:before="300"/>
      </w:pPr>
      <w:r>
        <w:t xml:space="preserve">2. Datasets — Full Reference</w:t>
      </w:r>
    </w:p>
    <w:p>
      <w:pPr>
        <w:spacing w:after="120"/>
      </w:pPr>
      <w:r>
        <w:t xml:space="preserve">This section incorporates the detailed dataset reference review conducted for this project: exact features, required preprocessing actions per dataset, one dataset removed, and five new datasets added after verification. Every link below was checked directly before inclusion.</w:t>
      </w:r>
    </w:p>
    <w:p>
      <w:pPr>
        <w:pStyle w:val="Heading2"/>
        <w:spacing w:after="100" w:before="220"/>
      </w:pPr>
      <w:r>
        <w:t xml:space="preserve">2.1 Tabular Datasets — Use, With Required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D9D9D9" w:val="clear"/>
          </w:tcPr>
          <w:p>
            <w:r>
              <w:rPr>
                <w:b/>
                <w:bCs/>
                <w:sz w:val="20"/>
                <w:szCs w:val="20"/>
              </w:rPr>
              <w:t xml:space="preserve">Dataset</w:t>
            </w:r>
          </w:p>
        </w:tc>
        <w:tc>
          <w:tcPr>
            <w:tcW w:type="pct" w:w="38%"/>
            <w:shd w:fill="D9D9D9" w:val="clear"/>
          </w:tcPr>
          <w:p>
            <w:r>
              <w:rPr>
                <w:b/>
                <w:bCs/>
                <w:sz w:val="20"/>
                <w:szCs w:val="20"/>
              </w:rPr>
              <w:t xml:space="preserve">Key details</w:t>
            </w:r>
          </w:p>
        </w:tc>
        <w:tc>
          <w:tcPr>
            <w:tcW w:type="pct" w:w="30%"/>
            <w:shd w:fill="D9D9D9" w:val="clear"/>
          </w:tcPr>
          <w:p>
            <w:r>
              <w:rPr>
                <w:b/>
                <w:bCs/>
                <w:sz w:val="20"/>
                <w:szCs w:val="20"/>
              </w:rPr>
              <w:t xml:space="preserve">Required action before use</w:t>
            </w:r>
          </w:p>
        </w:tc>
        <w:tc>
          <w:tcPr>
            <w:tcW w:type="pct" w:w="10%"/>
            <w:shd w:fill="D9D9D9" w:val="clear"/>
          </w:tcPr>
          <w:p>
            <w:r>
              <w:rPr>
                <w:b/>
                <w:bCs/>
                <w:sz w:val="20"/>
                <w:szCs w:val="20"/>
              </w:rPr>
              <w:t xml:space="preserve">Link</w:t>
            </w:r>
          </w:p>
        </w:tc>
      </w:tr>
      <w:tr>
        <w:tc>
          <w:tcPr>
            <w:tcW w:type="pct" w:w="22%"/>
          </w:tcPr>
          <w:p>
            <w:r>
              <w:rPr>
                <w:b w:val="false"/>
                <w:bCs w:val="false"/>
                <w:sz w:val="20"/>
                <w:szCs w:val="20"/>
              </w:rPr>
              <w:t xml:space="preserve">ILPD (Indian Liver Patient Dataset)</w:t>
            </w:r>
          </w:p>
        </w:tc>
        <w:tc>
          <w:tcPr>
            <w:tcW w:type="pct" w:w="38%"/>
          </w:tcPr>
          <w:p>
            <w:r>
              <w:rPr>
                <w:b w:val="false"/>
                <w:bCs w:val="false"/>
                <w:sz w:val="20"/>
                <w:szCs w:val="20"/>
              </w:rPr>
              <w:t xml:space="preserve">583 patients (416 disease / 167 healthy); bilirubin, SGPT, SGOT, albumin, A/G ratio, etc.; CC BY 4.0</w:t>
            </w:r>
          </w:p>
        </w:tc>
        <w:tc>
          <w:tcPr>
            <w:tcW w:type="pct" w:w="30%"/>
          </w:tcPr>
          <w:p>
            <w:r>
              <w:rPr>
                <w:b w:val="false"/>
                <w:bCs w:val="false"/>
                <w:sz w:val="20"/>
                <w:szCs w:val="20"/>
              </w:rPr>
              <w:t xml:space="preserve">Median-impute 4 missing albumin/A-G-ratio values; apply SMOTE for the 71/29 class imbalance; log1p-transform bilirubin and ALP (both heavily right-skewed)</w:t>
            </w:r>
          </w:p>
        </w:tc>
        <w:tc>
          <w:tcPr>
            <w:tcW w:type="pct" w:w="10%"/>
          </w:tcPr>
          <w:p>
            <w:hyperlink w:history="1" r:id="rIdivtskn3hdjtpuzlix8eyh">
              <w:r>
                <w:rPr>
                  <w:rStyle w:val="Hyperlink"/>
                  <w:sz w:val="20"/>
                  <w:szCs w:val="20"/>
                </w:rPr>
                <w:t xml:space="preserve">UCI #225</w:t>
              </w:r>
            </w:hyperlink>
          </w:p>
        </w:tc>
      </w:tr>
      <w:tr>
        <w:tc>
          <w:tcPr>
            <w:tcW w:type="pct" w:w="22%"/>
          </w:tcPr>
          <w:p>
            <w:r>
              <w:rPr>
                <w:b w:val="false"/>
                <w:bCs w:val="false"/>
                <w:sz w:val="20"/>
                <w:szCs w:val="20"/>
              </w:rPr>
              <w:t xml:space="preserve">HCC Survival Dataset</w:t>
            </w:r>
          </w:p>
        </w:tc>
        <w:tc>
          <w:tcPr>
            <w:tcW w:type="pct" w:w="38%"/>
          </w:tcPr>
          <w:p>
            <w:r>
              <w:rPr>
                <w:b w:val="false"/>
                <w:bCs w:val="false"/>
                <w:sz w:val="20"/>
                <w:szCs w:val="20"/>
              </w:rPr>
              <w:t xml:space="preserve">165 patients, 49 features, CC BY 4.0, DOI 10.24432/C5TS4S</w:t>
            </w:r>
          </w:p>
        </w:tc>
        <w:tc>
          <w:tcPr>
            <w:tcW w:type="pct" w:w="30%"/>
          </w:tcPr>
          <w:p>
            <w:r>
              <w:rPr>
                <w:b w:val="false"/>
                <w:bCs w:val="false"/>
                <w:sz w:val="20"/>
                <w:szCs w:val="20"/>
              </w:rPr>
              <w:t xml:space="preserve">10.22% missing overall, only 8/165 patients fully complete — do NOT use mean/median imputation; use MICE (sklearn IterativeImputer). High overfitting risk at 165 patients x 49 features — use for tabular pre-training/ablation only, not primary evaluation</w:t>
            </w:r>
          </w:p>
        </w:tc>
        <w:tc>
          <w:tcPr>
            <w:tcW w:type="pct" w:w="10%"/>
          </w:tcPr>
          <w:p>
            <w:hyperlink w:history="1" r:id="rIdsspmevpsaspo1qo3wwi11">
              <w:r>
                <w:rPr>
                  <w:rStyle w:val="Hyperlink"/>
                  <w:sz w:val="20"/>
                  <w:szCs w:val="20"/>
                </w:rPr>
                <w:t xml:space="preserve">UCI #423</w:t>
              </w:r>
            </w:hyperlink>
          </w:p>
        </w:tc>
      </w:tr>
      <w:tr>
        <w:tc>
          <w:tcPr>
            <w:tcW w:type="pct" w:w="22%"/>
          </w:tcPr>
          <w:p>
            <w:r>
              <w:rPr>
                <w:b w:val="false"/>
                <w:bCs w:val="false"/>
                <w:sz w:val="20"/>
                <w:szCs w:val="20"/>
              </w:rPr>
              <w:t xml:space="preserve">Cirrhosis Prediction Dataset (Kaggle, fedesoriano)</w:t>
            </w:r>
          </w:p>
        </w:tc>
        <w:tc>
          <w:tcPr>
            <w:tcW w:type="pct" w:w="38%"/>
          </w:tcPr>
          <w:p>
            <w:r>
              <w:rPr>
                <w:b w:val="false"/>
                <w:bCs w:val="false"/>
                <w:sz w:val="20"/>
                <w:szCs w:val="20"/>
              </w:rPr>
              <w:t xml:space="preserve">418 patients, 18 features, Stage column (1-4) maps directly to fibrosis staging label; public, no institutional access needed</w:t>
            </w:r>
          </w:p>
        </w:tc>
        <w:tc>
          <w:tcPr>
            <w:tcW w:type="pct" w:w="30%"/>
          </w:tcPr>
          <w:p>
            <w:r>
              <w:rPr>
                <w:b w:val="false"/>
                <w:bCs w:val="false"/>
                <w:sz w:val="20"/>
                <w:szCs w:val="20"/>
              </w:rPr>
              <w:t xml:space="preserve">Reshape Status column for severity head use; Stage column feeds CUSP-Cascade staging head directly</w:t>
            </w:r>
          </w:p>
        </w:tc>
        <w:tc>
          <w:tcPr>
            <w:tcW w:type="pct" w:w="10%"/>
          </w:tcPr>
          <w:p>
            <w:hyperlink w:history="1" r:id="rIdisij-1entevxd4mce4ojb">
              <w:r>
                <w:rPr>
                  <w:rStyle w:val="Hyperlink"/>
                  <w:sz w:val="20"/>
                  <w:szCs w:val="20"/>
                </w:rPr>
                <w:t xml:space="preserve">Kaggle</w:t>
              </w:r>
            </w:hyperlink>
          </w:p>
        </w:tc>
      </w:tr>
    </w:tbl>
    <w:p>
      <w:pPr>
        <w:pStyle w:val="Heading2"/>
        <w:spacing w:after="100" w:before="220"/>
      </w:pPr>
      <w:r>
        <w:t xml:space="preserve">2.2 Imaging / Paired Multimodal Datasets —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D9D9D9" w:val="clear"/>
          </w:tcPr>
          <w:p>
            <w:r>
              <w:rPr>
                <w:b/>
                <w:bCs/>
                <w:sz w:val="20"/>
                <w:szCs w:val="20"/>
              </w:rPr>
              <w:t xml:space="preserve">Dataset</w:t>
            </w:r>
          </w:p>
        </w:tc>
        <w:tc>
          <w:tcPr>
            <w:tcW w:type="pct" w:w="38%"/>
            <w:shd w:fill="D9D9D9" w:val="clear"/>
          </w:tcPr>
          <w:p>
            <w:r>
              <w:rPr>
                <w:b/>
                <w:bCs/>
                <w:sz w:val="20"/>
                <w:szCs w:val="20"/>
              </w:rPr>
              <w:t xml:space="preserve">Key details</w:t>
            </w:r>
          </w:p>
        </w:tc>
        <w:tc>
          <w:tcPr>
            <w:tcW w:type="pct" w:w="30%"/>
            <w:shd w:fill="D9D9D9" w:val="clear"/>
          </w:tcPr>
          <w:p>
            <w:r>
              <w:rPr>
                <w:b/>
                <w:bCs/>
                <w:sz w:val="20"/>
                <w:szCs w:val="20"/>
              </w:rPr>
              <w:t xml:space="preserve">Required action before use</w:t>
            </w:r>
          </w:p>
        </w:tc>
        <w:tc>
          <w:tcPr>
            <w:tcW w:type="pct" w:w="10%"/>
            <w:shd w:fill="D9D9D9" w:val="clear"/>
          </w:tcPr>
          <w:p>
            <w:r>
              <w:rPr>
                <w:b/>
                <w:bCs/>
                <w:sz w:val="20"/>
                <w:szCs w:val="20"/>
              </w:rPr>
              <w:t xml:space="preserve">Link</w:t>
            </w:r>
          </w:p>
        </w:tc>
      </w:tr>
      <w:tr>
        <w:tc>
          <w:tcPr>
            <w:tcW w:type="pct" w:w="22%"/>
          </w:tcPr>
          <w:p>
            <w:r>
              <w:rPr>
                <w:b w:val="false"/>
                <w:bCs w:val="false"/>
                <w:sz w:val="20"/>
                <w:szCs w:val="20"/>
              </w:rPr>
              <w:t xml:space="preserve">NAFLD Ultrasound + Clinical (Mendeley)</w:t>
            </w:r>
          </w:p>
        </w:tc>
        <w:tc>
          <w:tcPr>
            <w:tcW w:type="pct" w:w="38%"/>
          </w:tcPr>
          <w:p>
            <w:r>
              <w:rPr>
                <w:b w:val="false"/>
                <w:bCs w:val="false"/>
                <w:sz w:val="20"/>
                <w:szCs w:val="20"/>
              </w:rPr>
              <w:t xml:space="preserve">10,352 images / 384 patients; the ONLY dataset with true per-patient paired image+tabular data; NAS score, fibrosis stage, steatosis grade linked to biopsy</w:t>
            </w:r>
          </w:p>
        </w:tc>
        <w:tc>
          <w:tcPr>
            <w:tcW w:type="pct" w:w="30%"/>
          </w:tcPr>
          <w:p>
            <w:r>
              <w:rPr>
                <w:b w:val="false"/>
                <w:bCs w:val="false"/>
                <w:sz w:val="20"/>
                <w:szCs w:val="20"/>
              </w:rPr>
              <w:t xml:space="preserve">Split at patient level (not image level) to avoid leakage; primary dataset for CSG-Fusion experiments and SimCLR pre-training</w:t>
            </w:r>
          </w:p>
        </w:tc>
        <w:tc>
          <w:tcPr>
            <w:tcW w:type="pct" w:w="10%"/>
          </w:tcPr>
          <w:p>
            <w:hyperlink w:history="1" r:id="rId1u_khxxousfvlp-gjj9qc">
              <w:r>
                <w:rPr>
                  <w:rStyle w:val="Hyperlink"/>
                  <w:sz w:val="20"/>
                  <w:szCs w:val="20"/>
                </w:rPr>
                <w:t xml:space="preserve">Mendeley</w:t>
              </w:r>
            </w:hyperlink>
          </w:p>
        </w:tc>
      </w:tr>
      <w:tr>
        <w:tc>
          <w:tcPr>
            <w:tcW w:type="pct" w:w="22%"/>
          </w:tcPr>
          <w:p>
            <w:r>
              <w:rPr>
                <w:b w:val="false"/>
                <w:bCs w:val="false"/>
                <w:sz w:val="20"/>
                <w:szCs w:val="20"/>
              </w:rPr>
              <w:t xml:space="preserve">LiTS (Liver Tumor Segmentation)</w:t>
            </w:r>
          </w:p>
        </w:tc>
        <w:tc>
          <w:tcPr>
            <w:tcW w:type="pct" w:w="38%"/>
          </w:tcPr>
          <w:p>
            <w:r>
              <w:rPr>
                <w:b w:val="false"/>
                <w:bCs w:val="false"/>
                <w:sz w:val="20"/>
                <w:szCs w:val="20"/>
              </w:rPr>
              <w:t xml:space="preserve">201 CT scans (131 train / 70 test), 194/201 contain lesions; CC BY-NC-SA</w:t>
            </w:r>
          </w:p>
        </w:tc>
        <w:tc>
          <w:tcPr>
            <w:tcW w:type="pct" w:w="30%"/>
          </w:tcPr>
          <w:p>
            <w:r>
              <w:rPr>
                <w:b w:val="false"/>
                <w:bCs w:val="false"/>
                <w:sz w:val="20"/>
                <w:szCs w:val="20"/>
              </w:rPr>
              <w:t xml:space="preserve">Register on CodaLab (can take a few days) — budget this into Phase 1 timeline</w:t>
            </w:r>
          </w:p>
        </w:tc>
        <w:tc>
          <w:tcPr>
            <w:tcW w:type="pct" w:w="10%"/>
          </w:tcPr>
          <w:p>
            <w:hyperlink w:history="1" r:id="rIduntkebevko8qohtgcvip-">
              <w:r>
                <w:rPr>
                  <w:rStyle w:val="Hyperlink"/>
                  <w:sz w:val="20"/>
                  <w:szCs w:val="20"/>
                </w:rPr>
                <w:t xml:space="preserve">CodaLab</w:t>
              </w:r>
            </w:hyperlink>
          </w:p>
        </w:tc>
      </w:tr>
      <w:tr>
        <w:tc>
          <w:tcPr>
            <w:tcW w:type="pct" w:w="22%"/>
          </w:tcPr>
          <w:p>
            <w:r>
              <w:rPr>
                <w:b w:val="false"/>
                <w:bCs w:val="false"/>
                <w:sz w:val="20"/>
                <w:szCs w:val="20"/>
              </w:rPr>
              <w:t xml:space="preserve">Duke Liver Dataset (DLDS)</w:t>
            </w:r>
          </w:p>
        </w:tc>
        <w:tc>
          <w:tcPr>
            <w:tcW w:type="pct" w:w="38%"/>
          </w:tcPr>
          <w:p>
            <w:r>
              <w:rPr>
                <w:b w:val="false"/>
                <w:bCs w:val="false"/>
                <w:sz w:val="20"/>
                <w:szCs w:val="20"/>
              </w:rPr>
              <w:t xml:space="preserve">2,146 MRI series / 105 subjects, 310 with segmentation masks, 17 contrast-type labels; CC-BY-NC-ND-4.0</w:t>
            </w:r>
          </w:p>
        </w:tc>
        <w:tc>
          <w:tcPr>
            <w:tcW w:type="pct" w:w="30%"/>
          </w:tcPr>
          <w:p>
            <w:r>
              <w:rPr>
                <w:b w:val="false"/>
                <w:bCs w:val="false"/>
                <w:sz w:val="20"/>
                <w:szCs w:val="20"/>
              </w:rPr>
              <w:t xml:space="preserve">Submit the Zenodo access request form; majority of patients already have cirrhotic morphology — directly relevant</w:t>
            </w:r>
          </w:p>
        </w:tc>
        <w:tc>
          <w:tcPr>
            <w:tcW w:type="pct" w:w="10%"/>
          </w:tcPr>
          <w:p>
            <w:hyperlink w:history="1" r:id="rIdh8jd2uf5xrqeteok64hle">
              <w:r>
                <w:rPr>
                  <w:rStyle w:val="Hyperlink"/>
                  <w:sz w:val="20"/>
                  <w:szCs w:val="20"/>
                </w:rPr>
                <w:t xml:space="preserve">Zenodo</w:t>
              </w:r>
            </w:hyperlink>
          </w:p>
        </w:tc>
      </w:tr>
      <w:tr>
        <w:tc>
          <w:tcPr>
            <w:tcW w:type="pct" w:w="22%"/>
          </w:tcPr>
          <w:p>
            <w:r>
              <w:rPr>
                <w:b w:val="false"/>
                <w:bCs w:val="false"/>
                <w:sz w:val="20"/>
                <w:szCs w:val="20"/>
              </w:rPr>
              <w:t xml:space="preserve">MSD-Liver (Medical Segmentation Decathlon, Task 03)</w:t>
            </w:r>
          </w:p>
        </w:tc>
        <w:tc>
          <w:tcPr>
            <w:tcW w:type="pct" w:w="38%"/>
          </w:tcPr>
          <w:p>
            <w:r>
              <w:rPr>
                <w:b w:val="false"/>
                <w:bCs w:val="false"/>
                <w:sz w:val="20"/>
                <w:szCs w:val="20"/>
              </w:rPr>
              <w:t xml:space="preserve">Subset of LiTS, simpler packaged download</w:t>
            </w:r>
          </w:p>
        </w:tc>
        <w:tc>
          <w:tcPr>
            <w:tcW w:type="pct" w:w="30%"/>
          </w:tcPr>
          <w:p>
            <w:r>
              <w:rPr>
                <w:b w:val="false"/>
                <w:bCs w:val="false"/>
                <w:sz w:val="20"/>
                <w:szCs w:val="20"/>
              </w:rPr>
              <w:t xml:space="preserve">Use as a fallback if LiTS/CodaLab registration is delayed — do not use both LiTS and MSD-Liver as if they were independent (MSD-Liver is a subset of LiTS)</w:t>
            </w:r>
          </w:p>
        </w:tc>
        <w:tc>
          <w:tcPr>
            <w:tcW w:type="pct" w:w="10%"/>
          </w:tcPr>
          <w:p>
            <w:hyperlink w:history="1" r:id="rIdzioo97qb1x9gf49_9fppo">
              <w:r>
                <w:rPr>
                  <w:rStyle w:val="Hyperlink"/>
                  <w:sz w:val="20"/>
                  <w:szCs w:val="20"/>
                </w:rPr>
                <w:t xml:space="preserve">Decathlon</w:t>
              </w:r>
            </w:hyperlink>
          </w:p>
        </w:tc>
      </w:tr>
    </w:tbl>
    <w:p>
      <w:pPr>
        <w:pStyle w:val="Heading2"/>
        <w:spacing w:after="100" w:before="220"/>
      </w:pPr>
      <w:r>
        <w:t xml:space="preserve">2.3 Dataset Removed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D9D9" w:val="clear"/>
          </w:tcPr>
          <w:p>
            <w:r>
              <w:rPr>
                <w:b/>
                <w:bCs/>
                <w:sz w:val="20"/>
                <w:szCs w:val="20"/>
              </w:rPr>
              <w:t xml:space="preserve">Dataset</w:t>
            </w:r>
          </w:p>
        </w:tc>
        <w:tc>
          <w:tcPr>
            <w:tcW w:type="pct" w:w="70%"/>
            <w:shd w:fill="D9D9D9" w:val="clear"/>
          </w:tcPr>
          <w:p>
            <w:r>
              <w:rPr>
                <w:b/>
                <w:bCs/>
                <w:sz w:val="20"/>
                <w:szCs w:val="20"/>
              </w:rPr>
              <w:t xml:space="preserve">Reason for removal</w:t>
            </w:r>
          </w:p>
        </w:tc>
      </w:tr>
      <w:tr>
        <w:tc>
          <w:tcPr>
            <w:tcW w:type="pct" w:w="30%"/>
          </w:tcPr>
          <w:p>
            <w:r>
              <w:rPr>
                <w:b w:val="false"/>
                <w:bCs w:val="false"/>
                <w:sz w:val="20"/>
                <w:szCs w:val="20"/>
              </w:rPr>
              <w:t xml:space="preserve">BUPA Liver Disorders</w:t>
            </w:r>
          </w:p>
        </w:tc>
        <w:tc>
          <w:tcPr>
            <w:tcW w:type="pct" w:w="70%"/>
          </w:tcPr>
          <w:p>
            <w:r>
              <w:rPr>
                <w:b w:val="false"/>
                <w:bCs w:val="false"/>
                <w:sz w:val="20"/>
                <w:szCs w:val="20"/>
              </w:rPr>
              <w:t xml:space="preserve">No disease label in the public version of this dataset — it cannot supply a detection or staging target for any of the three task heads. Replaced by the Cirrhosis Prediction Dataset (Section 2.1), which provides an actual staging label.</w:t>
            </w:r>
          </w:p>
        </w:tc>
      </w:tr>
    </w:tbl>
    <w:p>
      <w:pPr>
        <w:pStyle w:val="Heading2"/>
        <w:spacing w:after="100" w:before="220"/>
      </w:pPr>
      <w:r>
        <w:t xml:space="preserve">2.4 New Datasets Added (verified this update)</w:t>
      </w:r>
    </w:p>
    <w:p>
      <w:pPr>
        <w:spacing w:after="120"/>
      </w:pPr>
      <w:r>
        <w:t xml:space="preserve">Each fills a specific, named gap in the existing collection rather than duplicating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D9D9D9" w:val="clear"/>
          </w:tcPr>
          <w:p>
            <w:r>
              <w:rPr>
                <w:b/>
                <w:bCs/>
                <w:sz w:val="20"/>
                <w:szCs w:val="20"/>
              </w:rPr>
              <w:t xml:space="preserve">Dataset</w:t>
            </w:r>
          </w:p>
        </w:tc>
        <w:tc>
          <w:tcPr>
            <w:tcW w:type="pct" w:w="35%"/>
            <w:shd w:fill="D9D9D9" w:val="clear"/>
          </w:tcPr>
          <w:p>
            <w:r>
              <w:rPr>
                <w:b/>
                <w:bCs/>
                <w:sz w:val="20"/>
                <w:szCs w:val="20"/>
              </w:rPr>
              <w:t xml:space="preserve">Fills this gap</w:t>
            </w:r>
          </w:p>
        </w:tc>
        <w:tc>
          <w:tcPr>
            <w:tcW w:type="pct" w:w="33%"/>
            <w:shd w:fill="D9D9D9" w:val="clear"/>
          </w:tcPr>
          <w:p>
            <w:r>
              <w:rPr>
                <w:b/>
                <w:bCs/>
                <w:sz w:val="20"/>
                <w:szCs w:val="20"/>
              </w:rPr>
              <w:t xml:space="preserve">Key details</w:t>
            </w:r>
          </w:p>
        </w:tc>
        <w:tc>
          <w:tcPr>
            <w:tcW w:type="pct" w:w="12%"/>
            <w:shd w:fill="D9D9D9" w:val="clear"/>
          </w:tcPr>
          <w:p>
            <w:r>
              <w:rPr>
                <w:b/>
                <w:bCs/>
                <w:sz w:val="20"/>
                <w:szCs w:val="20"/>
              </w:rPr>
              <w:t xml:space="preserve">Link</w:t>
            </w:r>
          </w:p>
        </w:tc>
      </w:tr>
      <w:tr>
        <w:tc>
          <w:tcPr>
            <w:tcW w:type="pct" w:w="20%"/>
          </w:tcPr>
          <w:p>
            <w:r>
              <w:rPr>
                <w:b w:val="false"/>
                <w:bCs w:val="false"/>
                <w:sz w:val="20"/>
                <w:szCs w:val="20"/>
              </w:rPr>
              <w:t xml:space="preserve">HCC-TACE-Seg (TCIA)</w:t>
            </w:r>
          </w:p>
        </w:tc>
        <w:tc>
          <w:tcPr>
            <w:tcW w:type="pct" w:w="35%"/>
          </w:tcPr>
          <w:p>
            <w:r>
              <w:rPr>
                <w:b w:val="false"/>
                <w:bCs w:val="false"/>
                <w:sz w:val="20"/>
                <w:szCs w:val="20"/>
              </w:rPr>
              <w:t xml:space="preserve">No existing dataset paired CT imaging with treatment-outcome labels</w:t>
            </w:r>
          </w:p>
        </w:tc>
        <w:tc>
          <w:tcPr>
            <w:tcW w:type="pct" w:w="33%"/>
          </w:tcPr>
          <w:p>
            <w:r>
              <w:rPr>
                <w:b w:val="false"/>
                <w:bCs w:val="false"/>
                <w:sz w:val="20"/>
                <w:szCs w:val="20"/>
              </w:rPr>
              <w:t xml:space="preserve">105 HCC patients, pre/post-TACE CT, 5-class segmentation, survival + time-to-progression outcome data. DOI 10.7937/TCIA.5FNA-0924</w:t>
            </w:r>
          </w:p>
        </w:tc>
        <w:tc>
          <w:tcPr>
            <w:tcW w:type="pct" w:w="12%"/>
          </w:tcPr>
          <w:p>
            <w:hyperlink w:history="1" r:id="rId8ybh3br0khujyfehmm8o4">
              <w:r>
                <w:rPr>
                  <w:rStyle w:val="Hyperlink"/>
                  <w:sz w:val="20"/>
                  <w:szCs w:val="20"/>
                </w:rPr>
                <w:t xml:space="preserve">TCIA</w:t>
              </w:r>
            </w:hyperlink>
          </w:p>
        </w:tc>
      </w:tr>
      <w:tr>
        <w:tc>
          <w:tcPr>
            <w:tcW w:type="pct" w:w="20%"/>
          </w:tcPr>
          <w:p>
            <w:r>
              <w:rPr>
                <w:b w:val="false"/>
                <w:bCs w:val="false"/>
                <w:sz w:val="20"/>
                <w:szCs w:val="20"/>
              </w:rPr>
              <w:t xml:space="preserve">CirrMRI600+</w:t>
            </w:r>
          </w:p>
        </w:tc>
        <w:tc>
          <w:tcPr>
            <w:tcW w:type="pct" w:w="35%"/>
          </w:tcPr>
          <w:p>
            <w:r>
              <w:rPr>
                <w:b w:val="false"/>
                <w:bCs w:val="false"/>
                <w:sz w:val="20"/>
                <w:szCs w:val="20"/>
              </w:rPr>
              <w:t xml:space="preserve">Duke DLDS has MRI segmentation but no cirrhosis STAGING labels</w:t>
            </w:r>
          </w:p>
        </w:tc>
        <w:tc>
          <w:tcPr>
            <w:tcW w:type="pct" w:w="33%"/>
          </w:tcPr>
          <w:p>
            <w:r>
              <w:rPr>
                <w:b w:val="false"/>
                <w:bCs w:val="false"/>
                <w:sz w:val="20"/>
                <w:szCs w:val="20"/>
              </w:rPr>
              <w:t xml:space="preserve">628 MRI scans / ~40,000 slices, 3-stage (mild/moderate/severe) cirrhosis grading per patient, T1W+T2W. CC-BY-SA 4.0</w:t>
            </w:r>
          </w:p>
        </w:tc>
        <w:tc>
          <w:tcPr>
            <w:tcW w:type="pct" w:w="12%"/>
          </w:tcPr>
          <w:p>
            <w:hyperlink w:history="1" r:id="rIdvw1norbowp9dsbd6uqqdg">
              <w:r>
                <w:rPr>
                  <w:rStyle w:val="Hyperlink"/>
                  <w:sz w:val="20"/>
                  <w:szCs w:val="20"/>
                </w:rPr>
                <w:t xml:space="preserve">OSF</w:t>
              </w:r>
            </w:hyperlink>
          </w:p>
        </w:tc>
      </w:tr>
      <w:tr>
        <w:tc>
          <w:tcPr>
            <w:tcW w:type="pct" w:w="20%"/>
          </w:tcPr>
          <w:p>
            <w:r>
              <w:rPr>
                <w:b w:val="false"/>
                <w:bCs w:val="false"/>
                <w:sz w:val="20"/>
                <w:szCs w:val="20"/>
              </w:rPr>
              <w:t xml:space="preserve">CHAOS (Combined Healthy Abdominal Organ Segmentation)</w:t>
            </w:r>
          </w:p>
        </w:tc>
        <w:tc>
          <w:tcPr>
            <w:tcW w:type="pct" w:w="35%"/>
          </w:tcPr>
          <w:p>
            <w:r>
              <w:rPr>
                <w:b w:val="false"/>
                <w:bCs w:val="false"/>
                <w:sz w:val="20"/>
                <w:szCs w:val="20"/>
              </w:rPr>
              <w:t xml:space="preserve">Every imaging dataset so far is disease-only — SimCLR needs healthy negatives too</w:t>
            </w:r>
          </w:p>
        </w:tc>
        <w:tc>
          <w:tcPr>
            <w:tcW w:type="pct" w:w="33%"/>
          </w:tcPr>
          <w:p>
            <w:r>
              <w:rPr>
                <w:b w:val="false"/>
                <w:bCs w:val="false"/>
                <w:sz w:val="20"/>
                <w:szCs w:val="20"/>
              </w:rPr>
              <w:t xml:space="preserve">40 healthy CT + 120 healthy MRI scans with liver/kidney/spleen segmentation. CC BY-NC-SA 4.0</w:t>
            </w:r>
          </w:p>
        </w:tc>
        <w:tc>
          <w:tcPr>
            <w:tcW w:type="pct" w:w="12%"/>
          </w:tcPr>
          <w:p>
            <w:hyperlink w:history="1" r:id="rId0wkpibpkq35zr4ttzs5lp">
              <w:r>
                <w:rPr>
                  <w:rStyle w:val="Hyperlink"/>
                  <w:sz w:val="20"/>
                  <w:szCs w:val="20"/>
                </w:rPr>
                <w:t xml:space="preserve">Grand Challenge</w:t>
              </w:r>
            </w:hyperlink>
          </w:p>
        </w:tc>
      </w:tr>
      <w:tr>
        <w:tc>
          <w:tcPr>
            <w:tcW w:type="pct" w:w="20%"/>
          </w:tcPr>
          <w:p>
            <w:r>
              <w:rPr>
                <w:b w:val="false"/>
                <w:bCs w:val="false"/>
                <w:sz w:val="20"/>
                <w:szCs w:val="20"/>
              </w:rPr>
              <w:t xml:space="preserve">LiQA (Liver Fibrosis Quantification and Analysis, MICCAI/CARE 2024)</w:t>
            </w:r>
          </w:p>
        </w:tc>
        <w:tc>
          <w:tcPr>
            <w:tcW w:type="pct" w:w="35%"/>
          </w:tcPr>
          <w:p>
            <w:r>
              <w:rPr>
                <w:b w:val="false"/>
                <w:bCs w:val="false"/>
                <w:sz w:val="20"/>
                <w:szCs w:val="20"/>
              </w:rPr>
              <w:t xml:space="preserve">No existing dataset tests cross-centre generalization or missing-modality robustness — directly relevant to CSG-Fusion's gating mechanism</w:t>
            </w:r>
          </w:p>
        </w:tc>
        <w:tc>
          <w:tcPr>
            <w:tcW w:type="pct" w:w="33%"/>
          </w:tcPr>
          <w:p>
            <w:r>
              <w:rPr>
                <w:b w:val="false"/>
                <w:bCs w:val="false"/>
                <w:sz w:val="20"/>
                <w:szCs w:val="20"/>
              </w:rPr>
              <w:t xml:space="preserve">440 patients, multi-center/multi-vendor hepatobiliary-phase MRI, fibrosis staging, intentional domain shift and missing-modality conditions</w:t>
            </w:r>
          </w:p>
        </w:tc>
        <w:tc>
          <w:tcPr>
            <w:tcW w:type="pct" w:w="12%"/>
          </w:tcPr>
          <w:p>
            <w:hyperlink w:history="1" r:id="rIdfi5g9rplzpd8wfswqwur-">
              <w:r>
                <w:rPr>
                  <w:rStyle w:val="Hyperlink"/>
                  <w:sz w:val="20"/>
                  <w:szCs w:val="20"/>
                </w:rPr>
                <w:t xml:space="preserve">arXiv paper</w:t>
              </w:r>
            </w:hyperlink>
          </w:p>
        </w:tc>
      </w:tr>
      <w:tr>
        <w:tc>
          <w:tcPr>
            <w:tcW w:type="pct" w:w="20%"/>
          </w:tcPr>
          <w:p>
            <w:r>
              <w:rPr>
                <w:b w:val="false"/>
                <w:bCs w:val="false"/>
                <w:sz w:val="20"/>
                <w:szCs w:val="20"/>
              </w:rPr>
              <w:t xml:space="preserve">TCGA-LIHC</w:t>
            </w:r>
          </w:p>
        </w:tc>
        <w:tc>
          <w:tcPr>
            <w:tcW w:type="pct" w:w="35%"/>
          </w:tcPr>
          <w:p>
            <w:r>
              <w:rPr>
                <w:b w:val="false"/>
                <w:bCs w:val="false"/>
                <w:sz w:val="20"/>
                <w:szCs w:val="20"/>
              </w:rPr>
              <w:t xml:space="preserve">Optional Phase II extension — no genomic dimension exists in current collection</w:t>
            </w:r>
          </w:p>
        </w:tc>
        <w:tc>
          <w:tcPr>
            <w:tcW w:type="pct" w:w="33%"/>
          </w:tcPr>
          <w:p>
            <w:r>
              <w:rPr>
                <w:b w:val="false"/>
                <w:bCs w:val="false"/>
                <w:sz w:val="20"/>
                <w:szCs w:val="20"/>
              </w:rPr>
              <w:t xml:space="preserve">RNA-seq, methylation, copy-number variation, clinical survival data for HCC patients</w:t>
            </w:r>
          </w:p>
        </w:tc>
        <w:tc>
          <w:tcPr>
            <w:tcW w:type="pct" w:w="12%"/>
          </w:tcPr>
          <w:p>
            <w:hyperlink w:history="1" r:id="rIdrw9dqn8glsftwrjapdzpp">
              <w:r>
                <w:rPr>
                  <w:rStyle w:val="Hyperlink"/>
                  <w:sz w:val="20"/>
                  <w:szCs w:val="20"/>
                </w:rPr>
                <w:t xml:space="preserve">GDC Portal</w:t>
              </w:r>
            </w:hyperlink>
          </w:p>
        </w:tc>
      </w:tr>
    </w:tbl>
    <w:p>
      <w:pPr>
        <w:spacing w:after="120"/>
      </w:pPr>
      <w:r>
        <w:rPr>
          <w:i/>
          <w:iCs/>
        </w:rPr>
        <w:t xml:space="preserve">LiQA access note: the dataset is tied to the MICCAI 2024 CARE challenge; full data access may require contacting the challenge organizers rather than an instant download — budget time accordingly if pursuing the Phase II generalization test.</w:t>
      </w:r>
    </w:p>
    <w:p>
      <w:pPr>
        <w:pStyle w:val="Heading2"/>
        <w:spacing w:after="100" w:before="220"/>
      </w:pPr>
      <w:r>
        <w:t xml:space="preserve">2.5 Priority Order</w:t>
      </w:r>
    </w:p>
    <w:p>
      <w:pPr>
        <w:pStyle w:val="ListParagraph"/>
        <w:numPr>
          <w:ilvl w:val="0"/>
          <w:numId w:val="1"/>
        </w:numPr>
        <w:spacing w:after="70"/>
      </w:pPr>
      <w:r>
        <w:t xml:space="preserve">This week (Phase 1 start): ILPD + Cirrhosis Prediction Dataset (tabular baseline) + begin NAFLD Mendeley download (primary multimodal dataset).</w:t>
      </w:r>
    </w:p>
    <w:p>
      <w:pPr>
        <w:pStyle w:val="ListParagraph"/>
        <w:numPr>
          <w:ilvl w:val="0"/>
          <w:numId w:val="1"/>
        </w:numPr>
        <w:spacing w:after="70"/>
      </w:pPr>
      <w:r>
        <w:t xml:space="preserve">This semester (Phases 1-3): register for LiTS/CodaLab and Duke/Zenodo access early (both have approval delays); add HCC-TACE-Seg once a CT pipeline exists; add CHAOS for healthy negatives once SimCLR pre-training begins.</w:t>
      </w:r>
    </w:p>
    <w:p>
      <w:pPr>
        <w:pStyle w:val="ListParagraph"/>
        <w:numPr>
          <w:ilvl w:val="0"/>
          <w:numId w:val="1"/>
        </w:numPr>
        <w:spacing w:after="70"/>
      </w:pPr>
      <w:r>
        <w:t xml:space="preserve">Defer to Phase II / only if time remains: CirrMRI600+ (adds a second MRI source with staging labels — valuable but not required for the core pipeline), LiQA (generalization testing — appropriate once a trained model exists), TCGA-LIHC (genomic extension — optional, adds a new data modality beyond the project's current scope).</w:t>
      </w:r>
    </w:p>
    <w:p>
      <w:pPr>
        <w:spacing w:after="120"/>
      </w:pPr>
      <w:r>
        <w:t xml:space="preserve">Recommendation: use ILPD/HCC-Survival/Cirrhosis-Prediction for tabular pipeline experiments and LiTS/Duke/CHAOS for imaging-only experiments. The primary paired multimodal experiments use the NAFLD Ultrasound + Clinical dataset; where direct pairing is unavailable elsewhere, disease-category stratified sampling can construct synthetic multimodal batches (a recognized academic practice when paired multimodal data is scarce).</w:t>
      </w:r>
    </w:p>
    <w:p>
      <w:pPr>
        <w:pStyle w:val="Heading1"/>
        <w:spacing w:after="150" w:before="300"/>
      </w:pPr>
      <w:r>
        <w:t xml:space="preserve">3. Literature Survey &amp; Technology Gap Analysis</w:t>
      </w:r>
    </w:p>
    <w:p>
      <w:pPr>
        <w:pStyle w:val="Heading2"/>
        <w:spacing w:after="100" w:before="220"/>
      </w:pPr>
      <w:r>
        <w:t xml:space="preserve">3.1 Existing State-of-the-Art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D9D9D9" w:val="clear"/>
          </w:tcPr>
          <w:p>
            <w:r>
              <w:rPr>
                <w:b/>
                <w:bCs/>
                <w:sz w:val="20"/>
                <w:szCs w:val="20"/>
              </w:rPr>
              <w:t xml:space="preserve">Approach</w:t>
            </w:r>
          </w:p>
        </w:tc>
        <w:tc>
          <w:tcPr>
            <w:tcW w:type="pct" w:w="40%"/>
            <w:shd w:fill="D9D9D9" w:val="clear"/>
          </w:tcPr>
          <w:p>
            <w:r>
              <w:rPr>
                <w:b/>
                <w:bCs/>
                <w:sz w:val="20"/>
                <w:szCs w:val="20"/>
              </w:rPr>
              <w:t xml:space="preserve">Method</w:t>
            </w:r>
          </w:p>
        </w:tc>
        <w:tc>
          <w:tcPr>
            <w:tcW w:type="pct" w:w="38%"/>
            <w:shd w:fill="D9D9D9" w:val="clear"/>
          </w:tcPr>
          <w:p>
            <w:r>
              <w:rPr>
                <w:b/>
                <w:bCs/>
                <w:sz w:val="20"/>
                <w:szCs w:val="20"/>
              </w:rPr>
              <w:t xml:space="preserve">Limitation</w:t>
            </w:r>
          </w:p>
        </w:tc>
      </w:tr>
      <w:tr>
        <w:tc>
          <w:tcPr>
            <w:tcW w:type="pct" w:w="22%"/>
          </w:tcPr>
          <w:p>
            <w:r>
              <w:rPr>
                <w:b w:val="false"/>
                <w:bCs w:val="false"/>
                <w:sz w:val="20"/>
                <w:szCs w:val="20"/>
              </w:rPr>
              <w:t xml:space="preserve">XAIHO Framework (2025)</w:t>
            </w:r>
          </w:p>
        </w:tc>
        <w:tc>
          <w:tcPr>
            <w:tcW w:type="pct" w:w="40%"/>
          </w:tcPr>
          <w:p>
            <w:r>
              <w:rPr>
                <w:b w:val="false"/>
                <w:bCs w:val="false"/>
                <w:sz w:val="20"/>
                <w:szCs w:val="20"/>
              </w:rPr>
              <w:t xml:space="preserve">ResNet-50/VGG16 + SHAP for cirrhosis staging, 92.35% accuracy</w:t>
            </w:r>
          </w:p>
        </w:tc>
        <w:tc>
          <w:tcPr>
            <w:tcW w:type="pct" w:w="38%"/>
          </w:tcPr>
          <w:p>
            <w:r>
              <w:rPr>
                <w:b w:val="false"/>
                <w:bCs w:val="false"/>
                <w:sz w:val="20"/>
                <w:szCs w:val="20"/>
              </w:rPr>
              <w:t xml:space="preserve">Single modality only; explanations are post-hoc SHAP only, no counterfactual reasoning</w:t>
            </w:r>
          </w:p>
        </w:tc>
      </w:tr>
      <w:tr>
        <w:tc>
          <w:tcPr>
            <w:tcW w:type="pct" w:w="22%"/>
          </w:tcPr>
          <w:p>
            <w:r>
              <w:rPr>
                <w:b w:val="false"/>
                <w:bCs w:val="false"/>
                <w:sz w:val="20"/>
                <w:szCs w:val="20"/>
              </w:rPr>
              <w:t xml:space="preserve">Stacked Ensemble + MTL (2025)</w:t>
            </w:r>
          </w:p>
        </w:tc>
        <w:tc>
          <w:tcPr>
            <w:tcW w:type="pct" w:w="40%"/>
          </w:tcPr>
          <w:p>
            <w:r>
              <w:rPr>
                <w:b w:val="false"/>
                <w:bCs w:val="false"/>
                <w:sz w:val="20"/>
                <w:szCs w:val="20"/>
              </w:rPr>
              <w:t xml:space="preserve">Multi-task learning for cirrhosis diagnosis and staging</w:t>
            </w:r>
          </w:p>
        </w:tc>
        <w:tc>
          <w:tcPr>
            <w:tcW w:type="pct" w:w="38%"/>
          </w:tcPr>
          <w:p>
            <w:r>
              <w:rPr>
                <w:b w:val="false"/>
                <w:bCs w:val="false"/>
                <w:sz w:val="20"/>
                <w:szCs w:val="20"/>
              </w:rPr>
              <w:t xml:space="preserve">No self-supervised pre-training; shallow feature-concatenation fusion</w:t>
            </w:r>
          </w:p>
        </w:tc>
      </w:tr>
      <w:tr>
        <w:tc>
          <w:tcPr>
            <w:tcW w:type="pct" w:w="22%"/>
          </w:tcPr>
          <w:p>
            <w:r>
              <w:rPr>
                <w:b w:val="false"/>
                <w:bCs w:val="false"/>
                <w:sz w:val="20"/>
                <w:szCs w:val="20"/>
              </w:rPr>
              <w:t xml:space="preserve">BiLSTM-AM-VMD (2025)</w:t>
            </w:r>
          </w:p>
        </w:tc>
        <w:tc>
          <w:tcPr>
            <w:tcW w:type="pct" w:w="40%"/>
          </w:tcPr>
          <w:p>
            <w:r>
              <w:rPr>
                <w:b w:val="false"/>
                <w:bCs w:val="false"/>
                <w:sz w:val="20"/>
                <w:szCs w:val="20"/>
              </w:rPr>
              <w:t xml:space="preserve">Multimodal BiLSTM with attention, AUC 0.963</w:t>
            </w:r>
          </w:p>
        </w:tc>
        <w:tc>
          <w:tcPr>
            <w:tcW w:type="pct" w:w="38%"/>
          </w:tcPr>
          <w:p>
            <w:r>
              <w:rPr>
                <w:b w:val="false"/>
                <w:bCs w:val="false"/>
                <w:sz w:val="20"/>
                <w:szCs w:val="20"/>
              </w:rPr>
              <w:t xml:space="preserve">Sequential concatenation, not true cross-modal attention; no uncertainty quantification</w:t>
            </w:r>
          </w:p>
        </w:tc>
      </w:tr>
      <w:tr>
        <w:tc>
          <w:tcPr>
            <w:tcW w:type="pct" w:w="22%"/>
          </w:tcPr>
          <w:p>
            <w:r>
              <w:rPr>
                <w:b w:val="false"/>
                <w:bCs w:val="false"/>
                <w:sz w:val="20"/>
                <w:szCs w:val="20"/>
              </w:rPr>
              <w:t xml:space="preserve">NMD-FusionNet (2025)</w:t>
            </w:r>
          </w:p>
        </w:tc>
        <w:tc>
          <w:tcPr>
            <w:tcW w:type="pct" w:w="40%"/>
          </w:tcPr>
          <w:p>
            <w:r>
              <w:rPr>
                <w:b w:val="false"/>
                <w:bCs w:val="false"/>
                <w:sz w:val="20"/>
                <w:szCs w:val="20"/>
              </w:rPr>
              <w:t xml:space="preserve">Multi-modal fusion for liver cancer segmentation</w:t>
            </w:r>
          </w:p>
        </w:tc>
        <w:tc>
          <w:tcPr>
            <w:tcW w:type="pct" w:w="38%"/>
          </w:tcPr>
          <w:p>
            <w:r>
              <w:rPr>
                <w:b w:val="false"/>
                <w:bCs w:val="false"/>
                <w:sz w:val="20"/>
                <w:szCs w:val="20"/>
              </w:rPr>
              <w:t xml:space="preserve">Segmentation only; no tabular clinical integration</w:t>
            </w:r>
          </w:p>
        </w:tc>
      </w:tr>
      <w:tr>
        <w:tc>
          <w:tcPr>
            <w:tcW w:type="pct" w:w="22%"/>
          </w:tcPr>
          <w:p>
            <w:r>
              <w:rPr>
                <w:b w:val="false"/>
                <w:bCs w:val="false"/>
                <w:sz w:val="20"/>
                <w:szCs w:val="20"/>
              </w:rPr>
              <w:t xml:space="preserve">Self-Supervised SNN (2025)</w:t>
            </w:r>
          </w:p>
        </w:tc>
        <w:tc>
          <w:tcPr>
            <w:tcW w:type="pct" w:w="40%"/>
          </w:tcPr>
          <w:p>
            <w:r>
              <w:rPr>
                <w:b w:val="false"/>
                <w:bCs w:val="false"/>
                <w:sz w:val="20"/>
                <w:szCs w:val="20"/>
              </w:rPr>
              <w:t xml:space="preserve">Siamese contrastive learning, fatty liver ultrasound, 99.90% accuracy</w:t>
            </w:r>
          </w:p>
        </w:tc>
        <w:tc>
          <w:tcPr>
            <w:tcW w:type="pct" w:w="38%"/>
          </w:tcPr>
          <w:p>
            <w:r>
              <w:rPr>
                <w:b w:val="false"/>
                <w:bCs w:val="false"/>
                <w:sz w:val="20"/>
                <w:szCs w:val="20"/>
              </w:rPr>
              <w:t xml:space="preserve">Single modality (ultrasound only); no tabular fusion</w:t>
            </w:r>
          </w:p>
        </w:tc>
      </w:tr>
      <w:tr>
        <w:tc>
          <w:tcPr>
            <w:tcW w:type="pct" w:w="22%"/>
          </w:tcPr>
          <w:p>
            <w:r>
              <w:rPr>
                <w:b w:val="false"/>
                <w:bCs w:val="false"/>
                <w:sz w:val="20"/>
                <w:szCs w:val="20"/>
              </w:rPr>
              <w:t xml:space="preserve">FL-XAI (2025)</w:t>
            </w:r>
          </w:p>
        </w:tc>
        <w:tc>
          <w:tcPr>
            <w:tcW w:type="pct" w:w="40%"/>
          </w:tcPr>
          <w:p>
            <w:r>
              <w:rPr>
                <w:b w:val="false"/>
                <w:bCs w:val="false"/>
                <w:sz w:val="20"/>
                <w:szCs w:val="20"/>
              </w:rPr>
              <w:t xml:space="preserve">Federated learning + XAI, privacy-preserving</w:t>
            </w:r>
          </w:p>
        </w:tc>
        <w:tc>
          <w:tcPr>
            <w:tcW w:type="pct" w:w="38%"/>
          </w:tcPr>
          <w:p>
            <w:r>
              <w:rPr>
                <w:b w:val="false"/>
                <w:bCs w:val="false"/>
                <w:sz w:val="20"/>
                <w:szCs w:val="20"/>
              </w:rPr>
              <w:t xml:space="preserve">Ensemble ML only (RF/XGBoost), no deep hybrid architecture, no imaging</w:t>
            </w:r>
          </w:p>
        </w:tc>
      </w:tr>
    </w:tbl>
    <w:p>
      <w:pPr>
        <w:pStyle w:val="Heading2"/>
        <w:spacing w:after="100" w:before="220"/>
      </w:pPr>
      <w:r>
        <w:t xml:space="preserve">3.2 Identified Research Gaps (Original Novelty Claim)</w:t>
      </w:r>
    </w:p>
    <w:p>
      <w:pPr>
        <w:spacing w:after="120"/>
      </w:pPr>
      <w:r>
        <w:t xml:space="preserve">Based on the literature reviewed, the following had NOT been implemented together in any liver disease prediction system at the time of the original framework:</w:t>
      </w:r>
    </w:p>
    <w:p>
      <w:pPr>
        <w:pStyle w:val="ListParagraph"/>
        <w:numPr>
          <w:ilvl w:val="0"/>
          <w:numId w:val="1"/>
        </w:numPr>
        <w:spacing w:after="70"/>
      </w:pPr>
      <w:r>
        <w:t xml:space="preserve">Contrastive self-supervised pre-training + cross-modal fusion (image encoder pre-trained via SimCLR/MoCo, then fused with a tabular transformer via bidirectional cross-attention).</w:t>
      </w:r>
    </w:p>
    <w:p>
      <w:pPr>
        <w:pStyle w:val="ListParagraph"/>
        <w:numPr>
          <w:ilvl w:val="0"/>
          <w:numId w:val="1"/>
        </w:numPr>
        <w:spacing w:after="70"/>
      </w:pPr>
      <w:r>
        <w:t xml:space="preserve">Counterfactual explainable AI in liver prediction (most works use SHAP/Grad-CAM only, not actionable counterfactuals).</w:t>
      </w:r>
    </w:p>
    <w:p>
      <w:pPr>
        <w:pStyle w:val="ListParagraph"/>
        <w:numPr>
          <w:ilvl w:val="0"/>
          <w:numId w:val="1"/>
        </w:numPr>
        <w:spacing w:after="70"/>
      </w:pPr>
      <w:r>
        <w:t xml:space="preserve">Multi-task learning with uncertainty quantification (joint detection + staging + severity with Monte Carlo Dropout, in one architecture).</w:t>
      </w:r>
    </w:p>
    <w:p>
      <w:pPr>
        <w:pStyle w:val="ListParagraph"/>
        <w:numPr>
          <w:ilvl w:val="0"/>
          <w:numId w:val="1"/>
        </w:numPr>
        <w:spacing w:after="70"/>
      </w:pPr>
      <w:r>
        <w:t xml:space="preserve">Tabular transformer (FT-Transformer) + vision hybrid fused via cross-attention, specifically for hepatology.</w:t>
      </w:r>
    </w:p>
    <w:p>
      <w:pPr>
        <w:spacing w:after="120"/>
      </w:pPr>
      <w:r>
        <w:rPr>
          <w:i/>
          <w:iCs/>
        </w:rPr>
        <w:t xml:space="preserve">This document's Section 6 narrows and updates these claims after further literature verification conducted during development — read Section 6 before finalizing the report's contributions section.</w:t>
      </w:r>
    </w:p>
    <w:p>
      <w:pPr>
        <w:pStyle w:val="Heading1"/>
        <w:spacing w:after="150" w:before="300"/>
      </w:pPr>
      <w:r>
        <w:t xml:space="preserve">4. System Architecture: CMCHT-XAI</w:t>
      </w:r>
    </w:p>
    <w:p>
      <w:pPr>
        <w:spacing w:after="120"/>
      </w:pPr>
      <w:r>
        <w:t xml:space="preserve">Cross-Modal Contrastive Hybrid Transformer with Counterfactual Explainable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D9D9D9" w:val="clear"/>
          </w:tcPr>
          <w:p>
            <w:r>
              <w:rPr>
                <w:b/>
                <w:bCs/>
                <w:sz w:val="20"/>
                <w:szCs w:val="20"/>
              </w:rPr>
              <w:t xml:space="preserve">Stage</w:t>
            </w:r>
          </w:p>
        </w:tc>
        <w:tc>
          <w:tcPr>
            <w:tcW w:type="pct" w:w="70%"/>
            <w:shd w:fill="D9D9D9" w:val="clear"/>
          </w:tcPr>
          <w:p>
            <w:r>
              <w:rPr>
                <w:b/>
                <w:bCs/>
                <w:sz w:val="20"/>
                <w:szCs w:val="20"/>
              </w:rPr>
              <w:t xml:space="preserve">Component</w:t>
            </w:r>
          </w:p>
        </w:tc>
      </w:tr>
      <w:tr>
        <w:tc>
          <w:tcPr>
            <w:tcW w:type="pct" w:w="30%"/>
          </w:tcPr>
          <w:p>
            <w:r>
              <w:rPr>
                <w:b w:val="false"/>
                <w:bCs w:val="false"/>
                <w:sz w:val="20"/>
                <w:szCs w:val="20"/>
              </w:rPr>
              <w:t xml:space="preserve">Input layer</w:t>
            </w:r>
          </w:p>
        </w:tc>
        <w:tc>
          <w:tcPr>
            <w:tcW w:type="pct" w:w="70%"/>
          </w:tcPr>
          <w:p>
            <w:r>
              <w:rPr>
                <w:b w:val="false"/>
                <w:bCs w:val="false"/>
                <w:sz w:val="20"/>
                <w:szCs w:val="20"/>
              </w:rPr>
              <w:t xml:space="preserve">Liver ultrasound/CT/MRI image and clinical tabular data (bilirubin, albumin, SGOT, age, gender, platelets, etc.)</w:t>
            </w:r>
          </w:p>
        </w:tc>
      </w:tr>
      <w:tr>
        <w:tc>
          <w:tcPr>
            <w:tcW w:type="pct" w:w="30%"/>
          </w:tcPr>
          <w:p>
            <w:r>
              <w:rPr>
                <w:b w:val="false"/>
                <w:bCs w:val="false"/>
                <w:sz w:val="20"/>
                <w:szCs w:val="20"/>
              </w:rPr>
              <w:t xml:space="preserve">Imaging encoder</w:t>
            </w:r>
          </w:p>
        </w:tc>
        <w:tc>
          <w:tcPr>
            <w:tcW w:type="pct" w:w="70%"/>
          </w:tcPr>
          <w:p>
            <w:r>
              <w:rPr>
                <w:b w:val="false"/>
                <w:bCs w:val="false"/>
                <w:sz w:val="20"/>
                <w:szCs w:val="20"/>
              </w:rPr>
              <w:t xml:space="preserve">Swin-Transformer + CNN hybrid backbone, pre-trained via SimCLR on unlabeled liver images</w:t>
            </w:r>
          </w:p>
        </w:tc>
      </w:tr>
      <w:tr>
        <w:tc>
          <w:tcPr>
            <w:tcW w:type="pct" w:w="30%"/>
          </w:tcPr>
          <w:p>
            <w:r>
              <w:rPr>
                <w:b w:val="false"/>
                <w:bCs w:val="false"/>
                <w:sz w:val="20"/>
                <w:szCs w:val="20"/>
              </w:rPr>
              <w:t xml:space="preserve">Tabular encoder</w:t>
            </w:r>
          </w:p>
        </w:tc>
        <w:tc>
          <w:tcPr>
            <w:tcW w:type="pct" w:w="70%"/>
          </w:tcPr>
          <w:p>
            <w:r>
              <w:rPr>
                <w:b w:val="false"/>
                <w:bCs w:val="false"/>
                <w:sz w:val="20"/>
                <w:szCs w:val="20"/>
              </w:rPr>
              <w:t xml:space="preserve">FT-Transformer (Feature Tokenizer Transformer) with self-attention over clinical features</w:t>
            </w:r>
          </w:p>
        </w:tc>
      </w:tr>
      <w:tr>
        <w:tc>
          <w:tcPr>
            <w:tcW w:type="pct" w:w="30%"/>
          </w:tcPr>
          <w:p>
            <w:r>
              <w:rPr>
                <w:b w:val="false"/>
                <w:bCs w:val="false"/>
                <w:sz w:val="20"/>
                <w:szCs w:val="20"/>
              </w:rPr>
              <w:t xml:space="preserve">Fusion layer (Contribution 1)</w:t>
            </w:r>
          </w:p>
        </w:tc>
        <w:tc>
          <w:tcPr>
            <w:tcW w:type="pct" w:w="70%"/>
          </w:tcPr>
          <w:p>
            <w:r>
              <w:rPr>
                <w:b w:val="false"/>
                <w:bCs w:val="false"/>
                <w:sz w:val="20"/>
                <w:szCs w:val="20"/>
              </w:rPr>
              <w:t xml:space="preserve">CSG-Fusion — counterfactual-sensitivity-gated cross-modal attention</w:t>
            </w:r>
          </w:p>
        </w:tc>
      </w:tr>
      <w:tr>
        <w:tc>
          <w:tcPr>
            <w:tcW w:type="pct" w:w="30%"/>
          </w:tcPr>
          <w:p>
            <w:r>
              <w:rPr>
                <w:b w:val="false"/>
                <w:bCs w:val="false"/>
                <w:sz w:val="20"/>
                <w:szCs w:val="20"/>
              </w:rPr>
              <w:t xml:space="preserve">Multi-task heads (Contribution 2)</w:t>
            </w:r>
          </w:p>
        </w:tc>
        <w:tc>
          <w:tcPr>
            <w:tcW w:type="pct" w:w="70%"/>
          </w:tcPr>
          <w:p>
            <w:r>
              <w:rPr>
                <w:b w:val="false"/>
                <w:bCs w:val="false"/>
                <w:sz w:val="20"/>
                <w:szCs w:val="20"/>
              </w:rPr>
              <w:t xml:space="preserve">CUSP-Cascade — clinically-ordered cascade (detect → stage → severity) with uncertainty + sensitivity propagation</w:t>
            </w:r>
          </w:p>
        </w:tc>
      </w:tr>
      <w:tr>
        <w:tc>
          <w:tcPr>
            <w:tcW w:type="pct" w:w="30%"/>
          </w:tcPr>
          <w:p>
            <w:r>
              <w:rPr>
                <w:b w:val="false"/>
                <w:bCs w:val="false"/>
                <w:sz w:val="20"/>
                <w:szCs w:val="20"/>
              </w:rPr>
              <w:t xml:space="preserve">Training algorithm (Contribution 3)</w:t>
            </w:r>
          </w:p>
        </w:tc>
        <w:tc>
          <w:tcPr>
            <w:tcW w:type="pct" w:w="70%"/>
          </w:tcPr>
          <w:p>
            <w:r>
              <w:rPr>
                <w:b w:val="false"/>
                <w:bCs w:val="false"/>
                <w:sz w:val="20"/>
                <w:szCs w:val="20"/>
              </w:rPr>
              <w:t xml:space="preserve">CGCT — confidence-gated cascade training</w:t>
            </w:r>
          </w:p>
        </w:tc>
      </w:tr>
      <w:tr>
        <w:tc>
          <w:tcPr>
            <w:tcW w:type="pct" w:w="30%"/>
          </w:tcPr>
          <w:p>
            <w:r>
              <w:rPr>
                <w:b w:val="false"/>
                <w:bCs w:val="false"/>
                <w:sz w:val="20"/>
                <w:szCs w:val="20"/>
              </w:rPr>
              <w:t xml:space="preserve">Explainability layer</w:t>
            </w:r>
          </w:p>
        </w:tc>
        <w:tc>
          <w:tcPr>
            <w:tcW w:type="pct" w:w="70%"/>
          </w:tcPr>
          <w:p>
            <w:r>
              <w:rPr>
                <w:b w:val="false"/>
                <w:bCs w:val="false"/>
                <w:sz w:val="20"/>
                <w:szCs w:val="20"/>
              </w:rPr>
              <w:t xml:space="preserve">SHAP (tabular), Grad-CAM (imaging), DiCE counterfactuals, Monte Carlo Dropout uncertainty</w:t>
            </w:r>
          </w:p>
        </w:tc>
      </w:tr>
    </w:tbl>
    <w:p>
      <w:pPr>
        <w:pStyle w:val="Heading1"/>
        <w:spacing w:after="150" w:before="300"/>
      </w:pPr>
      <w:r>
        <w:t xml:space="preserve">5. The Three Algorithmic Contributions</w:t>
      </w:r>
    </w:p>
    <w:p>
      <w:pPr>
        <w:spacing w:after="120"/>
      </w:pPr>
      <w:r>
        <w:t xml:space="preserve">Each contribution below was only added after a literature search specifically targeting that mechanism. All three are implemented and unit-tested with synthetic data (see Section 9); none have yet been trained on real liver data, since that depends on the still-unimplemented encoder modules (see Section 8).</w:t>
      </w:r>
    </w:p>
    <w:p>
      <w:pPr>
        <w:pStyle w:val="Heading2"/>
        <w:spacing w:after="100" w:before="220"/>
      </w:pPr>
      <w:r>
        <w:t xml:space="preserve">5.1 Contribution 1 — CSG-Fusion (Counterfactual-Sensitivity-Gated Fusion)</w:t>
      </w:r>
    </w:p>
    <w:p>
      <w:pPr>
        <w:spacing w:after="120"/>
      </w:pPr>
      <w:r>
        <w:t xml:space="preserve">File: src/models/csg_fusion.py</w:t>
      </w:r>
    </w:p>
    <w:p>
      <w:pPr>
        <w:spacing w:after="120"/>
      </w:pPr>
      <w:r>
        <w:t xml:space="preserve">Mechanism: runs a cheap, differentiable counterfactual probe during every forward pass — perturbing tabular features and measuring the resulting prediction shift — and uses that sensitivity signal, combined with per-modality Monte Carlo Dropout uncertainty, to gate the cross-modal attention fusion. A counterfactual consistency loss during training keeps the model's sensitivity aligned with clinically meaningful features (bilirubin, albumin, SGOT).</w:t>
      </w:r>
    </w:p>
    <w:p>
      <w:pPr>
        <w:spacing w:after="120"/>
      </w:pPr>
      <w:r>
        <w:rPr>
          <w:i/>
          <w:iCs/>
        </w:rPr>
        <w:t xml:space="preserve">Literature checked: counterfactual-guided attention exists for unimodal fine-grained image recognition; uncertainty-gated image+tabular fusion exists for other diseases (chest X-ray, bone health). The combination of both signals gating fusion for image+tabular liver disease prediction was not found in either search pass.</w:t>
      </w:r>
    </w:p>
    <w:p>
      <w:pPr>
        <w:pStyle w:val="Heading2"/>
        <w:spacing w:after="100" w:before="220"/>
      </w:pPr>
      <w:r>
        <w:t xml:space="preserve">5.2 Contribution 2 — CUSP-Cascade (Cascaded Uncertainty-and-Sensitivity Propagation)</w:t>
      </w:r>
    </w:p>
    <w:p>
      <w:pPr>
        <w:spacing w:after="120"/>
      </w:pPr>
      <w:r>
        <w:t xml:space="preserve">File: src/models/cascade_heads.py</w:t>
      </w:r>
    </w:p>
    <w:p>
      <w:pPr>
        <w:spacing w:after="120"/>
      </w:pPr>
      <w:r>
        <w:t xml:space="preserve">Mechanism: replaces three independent task heads with a clinically-ordered cascade (detect → stage → assess severity). Each head passes forward its own epistemic uncertainty and the counterfactual sensitivity vector from CSG-Fusion to the next head.</w:t>
      </w:r>
    </w:p>
    <w:p>
      <w:pPr>
        <w:spacing w:after="120"/>
      </w:pPr>
      <w:r>
        <w:rPr>
          <w:i/>
          <w:iCs/>
        </w:rPr>
        <w:t xml:space="preserve">Literature checked: clinically-ordered cascaded multi-task heads exist already (bone disease, GI lesions, COVID/pneumonia, dementia staging); uncertainty propagation through cascaded medical pipelines exists already (MRI reconstruction cascades). Jointly propagating both uncertainty and counterfactual sensitivity through a clinically-ordered cascade built on a gated fusion layer was not found in either search pass.</w:t>
      </w:r>
    </w:p>
    <w:p>
      <w:pPr>
        <w:pStyle w:val="Heading3"/>
        <w:spacing w:after="80" w:before="160"/>
      </w:pPr>
      <w:r>
        <w:t xml:space="preserve">Architecture analysis</w:t>
      </w:r>
    </w:p>
    <w:p>
      <w:pPr>
        <w:pStyle w:val="ListParagraph"/>
        <w:numPr>
          <w:ilvl w:val="0"/>
          <w:numId w:val="1"/>
        </w:numPr>
        <w:spacing w:after="70"/>
      </w:pPr>
      <w:r>
        <w:t xml:space="preserve">Expected benefit (hypothesis, not guaranteed): error containment — downstream heads can hedge when upstream confidence is low; tighter agreement between internal reasoning and post-hoc explanations.</w:t>
      </w:r>
    </w:p>
    <w:p>
      <w:pPr>
        <w:pStyle w:val="ListParagraph"/>
        <w:numPr>
          <w:ilvl w:val="0"/>
          <w:numId w:val="1"/>
        </w:numPr>
        <w:spacing w:after="70"/>
      </w:pPr>
      <w:r>
        <w:t xml:space="preserve">Known risk: cascade error propagation if the detection head is wrong early in training. Addressed directly by Contribution 3.</w:t>
      </w:r>
    </w:p>
    <w:p>
      <w:pPr>
        <w:pStyle w:val="ListParagraph"/>
        <w:numPr>
          <w:ilvl w:val="0"/>
          <w:numId w:val="1"/>
        </w:numPr>
        <w:spacing w:after="70"/>
      </w:pPr>
      <w:r>
        <w:t xml:space="preserve">Cost: wider head inputs and multi-pass training-time uncertainty estimation roughly triple each head's forward cost — small relative to the imaging encoder, but must be reported honestly.</w:t>
      </w:r>
    </w:p>
    <w:p>
      <w:pPr>
        <w:pStyle w:val="Heading2"/>
        <w:spacing w:after="100" w:before="220"/>
      </w:pPr>
      <w:r>
        <w:t xml:space="preserve">5.3 Contribution 3 — CGCT (Confidence-Gated Cascade Training)</w:t>
      </w:r>
    </w:p>
    <w:p>
      <w:pPr>
        <w:spacing w:after="120"/>
      </w:pPr>
      <w:r>
        <w:t xml:space="preserve">File: src/training/confidence_gated_training.py</w:t>
      </w:r>
    </w:p>
    <w:p>
      <w:pPr>
        <w:spacing w:after="120"/>
      </w:pPr>
      <w:r>
        <w:t xml:space="preserve">Mechanism: a training algorithm, not an architecture. Decides, per sample, whether CUSP-Cascade conditions the next stage on its own upstream prediction or on ground truth, based on the upstream head's own uncertainty, with a decaying global schedule.</w:t>
      </w:r>
    </w:p>
    <w:p>
      <w:pPr>
        <w:spacing w:after="120"/>
      </w:pPr>
      <w:r>
        <w:rPr>
          <w:i/>
          <w:iCs/>
        </w:rPr>
        <w:t xml:space="preserve">Honest lineage — state exactly this in the report: this is a direct adaptation of Confidence-Aware Scheduled Sampling (Liu et al., 2021, Neural Machine Translation), which already uses model confidence to choose between ground truth and self-prediction during training. That mechanism was built for autoregressive token-by-token decoding. What is new here is applying it to a non-autoregressive, heterogeneous multi-task clinical cascade (binary → multi-class → regression) instead of sequence decoding — that combination was not found in any search pass run for this project.</w:t>
      </w:r>
    </w:p>
    <w:p>
      <w:pPr>
        <w:pStyle w:val="Heading1"/>
        <w:spacing w:after="150" w:before="300"/>
      </w:pPr>
      <w:r>
        <w:t xml:space="preserve">6. How to State the Novelty Claim</w:t>
      </w:r>
    </w:p>
    <w:p>
      <w:pPr>
        <w:spacing w:after="120"/>
      </w:pPr>
      <w:r>
        <w:t xml:space="preserve">Use wording close to this in the report's contributions section:</w:t>
      </w:r>
    </w:p>
    <w:p>
      <w:pPr>
        <w:spacing w:after="120"/>
      </w:pPr>
      <w:r>
        <w:t xml:space="preserve">"We propose a system combining three contributions: (1) CSG-Fusion, the first application of counterfactual-sensitivity-gated, uncertainty-aware cross-modal fusion to multimodal liver disease prediction; (2) CUSP-Cascade, which extends clinically-ordered multi-task cascades by jointly propagating epistemic uncertainty and counterfactual feature sensitivity between stages; and (3) Confidence-Gated Cascade Training, an adaptation of confidence-aware scheduled sampling (Liu et al. 2021) from autoregressive sequence decoding to heterogeneous multi-task clinical cascades."</w:t>
      </w:r>
    </w:p>
    <w:p>
      <w:pPr>
        <w:spacing w:after="120"/>
      </w:pPr>
      <w:r>
        <w:rPr>
          <w:i/>
          <w:iCs/>
        </w:rPr>
        <w:t xml:space="preserve">Do not claim unqualified world-first novelty for any single mechanism in isolation — every individual building block has prior art outside this specific application. The defensible claim is the specific combination, applied to this specific problem. Run one more targeted search before final submission; this is a fast-moving research area.</w:t>
      </w:r>
    </w:p>
    <w:p>
      <w:pPr>
        <w:pStyle w:val="Heading1"/>
        <w:spacing w:after="150" w:before="300"/>
      </w:pPr>
      <w:r>
        <w:t xml:space="preserve">7. Weaknesses Found and Fixed (Self-Review)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9D9D9" w:val="clear"/>
          </w:tcPr>
          <w:p>
            <w:r>
              <w:rPr>
                <w:b/>
                <w:bCs/>
                <w:sz w:val="20"/>
                <w:szCs w:val="20"/>
              </w:rPr>
              <w:t xml:space="preserve">#</w:t>
            </w:r>
          </w:p>
        </w:tc>
        <w:tc>
          <w:tcPr>
            <w:tcW w:type="pct" w:w="42%"/>
            <w:shd w:fill="D9D9D9" w:val="clear"/>
          </w:tcPr>
          <w:p>
            <w:r>
              <w:rPr>
                <w:b/>
                <w:bCs/>
                <w:sz w:val="20"/>
                <w:szCs w:val="20"/>
              </w:rPr>
              <w:t xml:space="preserve">Weakness</w:t>
            </w:r>
          </w:p>
        </w:tc>
        <w:tc>
          <w:tcPr>
            <w:tcW w:type="pct" w:w="20%"/>
            <w:shd w:fill="D9D9D9" w:val="clear"/>
          </w:tcPr>
          <w:p>
            <w:r>
              <w:rPr>
                <w:b/>
                <w:bCs/>
                <w:sz w:val="20"/>
                <w:szCs w:val="20"/>
              </w:rPr>
              <w:t xml:space="preserve">Location</w:t>
            </w:r>
          </w:p>
        </w:tc>
        <w:tc>
          <w:tcPr>
            <w:tcW w:type="pct" w:w="30%"/>
            <w:shd w:fill="D9D9D9" w:val="clear"/>
          </w:tcPr>
          <w:p>
            <w:r>
              <w:rPr>
                <w:b/>
                <w:bCs/>
                <w:sz w:val="20"/>
                <w:szCs w:val="20"/>
              </w:rPr>
              <w:t xml:space="preserve">Fix</w:t>
            </w:r>
          </w:p>
        </w:tc>
      </w:tr>
      <w:tr>
        <w:tc>
          <w:tcPr>
            <w:tcW w:type="pct" w:w="8%"/>
          </w:tcPr>
          <w:p>
            <w:r>
              <w:rPr>
                <w:b w:val="false"/>
                <w:bCs w:val="false"/>
                <w:sz w:val="20"/>
                <w:szCs w:val="20"/>
              </w:rPr>
              <w:t xml:space="preserve">1</w:t>
            </w:r>
          </w:p>
        </w:tc>
        <w:tc>
          <w:tcPr>
            <w:tcW w:type="pct" w:w="42%"/>
          </w:tcPr>
          <w:p>
            <w:r>
              <w:rPr>
                <w:b w:val="false"/>
                <w:bCs w:val="false"/>
                <w:sz w:val="20"/>
                <w:szCs w:val="20"/>
              </w:rPr>
              <w:t xml:space="preserve">_quick_mc_uncertainty raised NotImplementedError — the default fusion path could never run end-to-end.</w:t>
            </w:r>
          </w:p>
        </w:tc>
        <w:tc>
          <w:tcPr>
            <w:tcW w:type="pct" w:w="20%"/>
          </w:tcPr>
          <w:p>
            <w:r>
              <w:rPr>
                <w:b w:val="false"/>
                <w:bCs w:val="false"/>
                <w:sz w:val="20"/>
                <w:szCs w:val="20"/>
              </w:rPr>
              <w:t xml:space="preserve">cmcht_model.py</w:t>
            </w:r>
          </w:p>
        </w:tc>
        <w:tc>
          <w:tcPr>
            <w:tcW w:type="pct" w:w="30%"/>
          </w:tcPr>
          <w:p>
            <w:r>
              <w:rPr>
                <w:b w:val="false"/>
                <w:bCs w:val="false"/>
                <w:sz w:val="20"/>
                <w:szCs w:val="20"/>
              </w:rPr>
              <w:t xml:space="preserve">Implemented: forces dropout active, runs N stochastic passes, returns per-sample variance.</w:t>
            </w:r>
          </w:p>
        </w:tc>
      </w:tr>
      <w:tr>
        <w:tc>
          <w:tcPr>
            <w:tcW w:type="pct" w:w="8%"/>
          </w:tcPr>
          <w:p>
            <w:r>
              <w:rPr>
                <w:b w:val="false"/>
                <w:bCs w:val="false"/>
                <w:sz w:val="20"/>
                <w:szCs w:val="20"/>
              </w:rPr>
              <w:t xml:space="preserve">2</w:t>
            </w:r>
          </w:p>
        </w:tc>
        <w:tc>
          <w:tcPr>
            <w:tcW w:type="pct" w:w="42%"/>
          </w:tcPr>
          <w:p>
            <w:r>
              <w:rPr>
                <w:b w:val="false"/>
                <w:bCs w:val="false"/>
                <w:sz w:val="20"/>
                <w:szCs w:val="20"/>
              </w:rPr>
              <w:t xml:space="preserve">Training-time uncertainty estimated from a single pair of stochastic passes — high-variance, ~1 degree of freedom, unreliable.</w:t>
            </w:r>
          </w:p>
        </w:tc>
        <w:tc>
          <w:tcPr>
            <w:tcW w:type="pct" w:w="20%"/>
          </w:tcPr>
          <w:p>
            <w:r>
              <w:rPr>
                <w:b w:val="false"/>
                <w:bCs w:val="false"/>
                <w:sz w:val="20"/>
                <w:szCs w:val="20"/>
              </w:rPr>
              <w:t xml:space="preserve">cascade_heads.py</w:t>
            </w:r>
          </w:p>
        </w:tc>
        <w:tc>
          <w:tcPr>
            <w:tcW w:type="pct" w:w="30%"/>
          </w:tcPr>
          <w:p>
            <w:r>
              <w:rPr>
                <w:b w:val="false"/>
                <w:bCs w:val="false"/>
                <w:sz w:val="20"/>
                <w:szCs w:val="20"/>
              </w:rPr>
              <w:t xml:space="preserve">Now averages 3 stochastic passes during training, matching the inference-time approach.</w:t>
            </w:r>
          </w:p>
        </w:tc>
      </w:tr>
      <w:tr>
        <w:tc>
          <w:tcPr>
            <w:tcW w:type="pct" w:w="8%"/>
          </w:tcPr>
          <w:p>
            <w:r>
              <w:rPr>
                <w:b w:val="false"/>
                <w:bCs w:val="false"/>
                <w:sz w:val="20"/>
                <w:szCs w:val="20"/>
              </w:rPr>
              <w:t xml:space="preserve">3 (open)</w:t>
            </w:r>
          </w:p>
        </w:tc>
        <w:tc>
          <w:tcPr>
            <w:tcW w:type="pct" w:w="42%"/>
          </w:tcPr>
          <w:p>
            <w:r>
              <w:rPr>
                <w:b w:val="false"/>
                <w:bCs w:val="false"/>
                <w:sz w:val="20"/>
                <w:szCs w:val="20"/>
              </w:rPr>
              <w:t xml:space="preserve">With all three contributions active, encoders run 6x+ per training step (mc_passes plus probe passes) — dominant training cost.</w:t>
            </w:r>
          </w:p>
        </w:tc>
        <w:tc>
          <w:tcPr>
            <w:tcW w:type="pct" w:w="20%"/>
          </w:tcPr>
          <w:p>
            <w:r>
              <w:rPr>
                <w:b w:val="false"/>
                <w:bCs w:val="false"/>
                <w:sz w:val="20"/>
                <w:szCs w:val="20"/>
              </w:rPr>
              <w:t xml:space="preserve">cmcht_model.py, csg_fusion.py</w:t>
            </w:r>
          </w:p>
        </w:tc>
        <w:tc>
          <w:tcPr>
            <w:tcW w:type="pct" w:w="30%"/>
          </w:tcPr>
          <w:p>
            <w:r>
              <w:rPr>
                <w:b w:val="false"/>
                <w:bCs w:val="false"/>
                <w:sz w:val="20"/>
                <w:szCs w:val="20"/>
              </w:rPr>
              <w:t xml:space="preserve">Documented, not fixed — correct fix (fewer passes vs. caching) depends on real hardware/batch-size numbers not yet available.</w:t>
            </w:r>
          </w:p>
        </w:tc>
      </w:tr>
    </w:tbl>
    <w:p>
      <w:pPr>
        <w:spacing w:after="120"/>
      </w:pPr>
      <w:r>
        <w:rPr>
          <w:i/>
          <w:iCs/>
        </w:rPr>
        <w:t xml:space="preserve">Weakness 3 is intentionally left as a documented trade-off: every available fix changes the accuracy of the uncertainty signal that both the consistency loss and CGCT's confidence gate depend on. Guessing the fix before real profiling data exists risks quietly corrupting that signal.</w:t>
      </w:r>
    </w:p>
    <w:p>
      <w:pPr>
        <w:pStyle w:val="Heading1"/>
        <w:spacing w:after="150" w:before="300"/>
      </w:pPr>
      <w:r>
        <w:t xml:space="preserve">8. Folder Structure</w:t>
      </w:r>
    </w:p>
    <w:p>
      <w:pPr>
        <w:spacing w:after="120"/>
      </w:pPr>
      <w:r>
        <w:rPr>
          <w:b/>
          <w:bCs/>
        </w:rPr>
        <w:t xml:space="preserve">liver-cmcht-xai/</w:t>
      </w:r>
    </w:p>
    <w:p>
      <w:pPr>
        <w:pStyle w:val="ListParagraph"/>
        <w:numPr>
          <w:ilvl w:val="0"/>
          <w:numId w:val="1"/>
        </w:numPr>
        <w:spacing w:after="70"/>
      </w:pPr>
      <w:r>
        <w:t xml:space="preserve">README.md — architecture diagram, run order, contribution writeups, ablation plan (this document's companion)</w:t>
      </w:r>
    </w:p>
    <w:p>
      <w:pPr>
        <w:pStyle w:val="ListParagraph"/>
        <w:numPr>
          <w:ilvl w:val="0"/>
          <w:numId w:val="1"/>
        </w:numPr>
        <w:spacing w:after="70"/>
      </w:pPr>
      <w:r>
        <w:t xml:space="preserve">requirements.txt — torch, monai, timm, shap, captum, dice-ml, streamlit, etc.</w:t>
      </w:r>
    </w:p>
    <w:p>
      <w:pPr>
        <w:pStyle w:val="ListParagraph"/>
        <w:numPr>
          <w:ilvl w:val="0"/>
          <w:numId w:val="1"/>
        </w:numPr>
        <w:spacing w:after="70"/>
      </w:pPr>
      <w:r>
        <w:t xml:space="preserve">config/config.yaml — every hyperparameter and the fusion_type / head_type / use_cgct ablation toggles</w:t>
      </w:r>
    </w:p>
    <w:p>
      <w:pPr>
        <w:pStyle w:val="ListParagraph"/>
        <w:numPr>
          <w:ilvl w:val="0"/>
          <w:numId w:val="1"/>
        </w:numPr>
        <w:spacing w:after="70"/>
      </w:pPr>
      <w:r>
        <w:t xml:space="preserve">data/raw/ — untouched dataset downloads (never edited directly)</w:t>
      </w:r>
    </w:p>
    <w:p>
      <w:pPr>
        <w:pStyle w:val="ListParagraph"/>
        <w:numPr>
          <w:ilvl w:val="0"/>
          <w:numId w:val="1"/>
        </w:numPr>
        <w:spacing w:after="70"/>
      </w:pPr>
      <w:r>
        <w:t xml:space="preserve">data/processed/ — cleaned tensors / normalized CSVs / split indices, output of preprocessing.py</w:t>
      </w:r>
    </w:p>
    <w:p>
      <w:pPr>
        <w:pStyle w:val="ListParagraph"/>
        <w:numPr>
          <w:ilvl w:val="0"/>
          <w:numId w:val="1"/>
        </w:numPr>
        <w:spacing w:after="70"/>
      </w:pPr>
      <w:r>
        <w:t xml:space="preserve">notebooks/ — exploration and sanity-check notebooks</w:t>
      </w:r>
    </w:p>
    <w:p>
      <w:pPr>
        <w:pStyle w:val="ListParagraph"/>
        <w:numPr>
          <w:ilvl w:val="0"/>
          <w:numId w:val="1"/>
        </w:numPr>
        <w:spacing w:after="70"/>
      </w:pPr>
      <w:r>
        <w:t xml:space="preserve">src/data/preprocessing.py — Phase 1: imaging resample/window-level, tabular impute/normalize/SMOTE, patient-level pairing</w:t>
      </w:r>
    </w:p>
    <w:p>
      <w:pPr>
        <w:pStyle w:val="ListParagraph"/>
        <w:numPr>
          <w:ilvl w:val="0"/>
          <w:numId w:val="1"/>
        </w:numPr>
        <w:spacing w:after="70"/>
      </w:pPr>
      <w:r>
        <w:t xml:space="preserve">src/data/dataset.py — PyTorch Dataset classes (unlabeled imaging for SimCLR; paired multimodal for training/eval)</w:t>
      </w:r>
    </w:p>
    <w:p>
      <w:pPr>
        <w:pStyle w:val="ListParagraph"/>
        <w:numPr>
          <w:ilvl w:val="0"/>
          <w:numId w:val="1"/>
        </w:numPr>
        <w:spacing w:after="70"/>
      </w:pPr>
      <w:r>
        <w:t xml:space="preserve">src/models/imaging_encoder.py — Swin-CNN hybrid encoder wrapper</w:t>
      </w:r>
    </w:p>
    <w:p>
      <w:pPr>
        <w:pStyle w:val="ListParagraph"/>
        <w:numPr>
          <w:ilvl w:val="0"/>
          <w:numId w:val="1"/>
        </w:numPr>
        <w:spacing w:after="70"/>
      </w:pPr>
      <w:r>
        <w:t xml:space="preserve">src/models/tabular_encoder.py — FT-Transformer encoder</w:t>
      </w:r>
    </w:p>
    <w:p>
      <w:pPr>
        <w:pStyle w:val="ListParagraph"/>
        <w:numPr>
          <w:ilvl w:val="0"/>
          <w:numId w:val="1"/>
        </w:numPr>
        <w:spacing w:after="70"/>
      </w:pPr>
      <w:r>
        <w:t xml:space="preserve">src/models/fusion.py — baseline bidirectional cross-attention fusion (ablation baseline)</w:t>
      </w:r>
    </w:p>
    <w:p>
      <w:pPr>
        <w:pStyle w:val="ListParagraph"/>
        <w:numPr>
          <w:ilvl w:val="0"/>
          <w:numId w:val="1"/>
        </w:numPr>
        <w:spacing w:after="70"/>
      </w:pPr>
      <w:r>
        <w:t xml:space="preserve">src/models/csg_fusion.py — Contribution 1: CSG-Fusion</w:t>
      </w:r>
    </w:p>
    <w:p>
      <w:pPr>
        <w:pStyle w:val="ListParagraph"/>
        <w:numPr>
          <w:ilvl w:val="0"/>
          <w:numId w:val="1"/>
        </w:numPr>
        <w:spacing w:after="70"/>
      </w:pPr>
      <w:r>
        <w:t xml:space="preserve">src/models/heads.py — baseline independent multi-task heads (ablation baseline)</w:t>
      </w:r>
    </w:p>
    <w:p>
      <w:pPr>
        <w:pStyle w:val="ListParagraph"/>
        <w:numPr>
          <w:ilvl w:val="0"/>
          <w:numId w:val="1"/>
        </w:numPr>
        <w:spacing w:after="70"/>
      </w:pPr>
      <w:r>
        <w:t xml:space="preserve">src/models/cascade_heads.py — Contribution 2: CUSP-Cascade</w:t>
      </w:r>
    </w:p>
    <w:p>
      <w:pPr>
        <w:pStyle w:val="ListParagraph"/>
        <w:numPr>
          <w:ilvl w:val="0"/>
          <w:numId w:val="1"/>
        </w:numPr>
        <w:spacing w:after="70"/>
      </w:pPr>
      <w:r>
        <w:t xml:space="preserve">src/models/cmcht_model.py — wires encoders + fusion + heads into the full model, with ablation toggles</w:t>
      </w:r>
    </w:p>
    <w:p>
      <w:pPr>
        <w:pStyle w:val="ListParagraph"/>
        <w:numPr>
          <w:ilvl w:val="0"/>
          <w:numId w:val="1"/>
        </w:numPr>
        <w:spacing w:after="70"/>
      </w:pPr>
      <w:r>
        <w:t xml:space="preserve">src/training/confidence_gated_training.py — Contribution 3: CGCT</w:t>
      </w:r>
    </w:p>
    <w:p>
      <w:pPr>
        <w:pStyle w:val="ListParagraph"/>
        <w:numPr>
          <w:ilvl w:val="0"/>
          <w:numId w:val="1"/>
        </w:numPr>
        <w:spacing w:after="70"/>
      </w:pPr>
      <w:r>
        <w:t xml:space="preserve">src/pretrain/simclr.py — Phase 2: SimCLR self-supervised pre-training</w:t>
      </w:r>
    </w:p>
    <w:p>
      <w:pPr>
        <w:pStyle w:val="ListParagraph"/>
        <w:numPr>
          <w:ilvl w:val="0"/>
          <w:numId w:val="1"/>
        </w:numPr>
        <w:spacing w:after="70"/>
      </w:pPr>
      <w:r>
        <w:t xml:space="preserve">src/explainability/shap_utils.py, gradcam.py, counterfactual.py, uncertainty.py, run_explain.py — Phase 4 XAI layer</w:t>
      </w:r>
    </w:p>
    <w:p>
      <w:pPr>
        <w:pStyle w:val="ListParagraph"/>
        <w:numPr>
          <w:ilvl w:val="0"/>
          <w:numId w:val="1"/>
        </w:numPr>
        <w:spacing w:after="70"/>
      </w:pPr>
      <w:r>
        <w:t xml:space="preserve">src/utils/metrics.py, logger.py — shared metrics and reproducibility helpers</w:t>
      </w:r>
    </w:p>
    <w:p>
      <w:pPr>
        <w:pStyle w:val="ListParagraph"/>
        <w:numPr>
          <w:ilvl w:val="0"/>
          <w:numId w:val="1"/>
        </w:numPr>
        <w:spacing w:after="70"/>
      </w:pPr>
      <w:r>
        <w:t xml:space="preserve">src/train.py — Phase 3 main training loop, wires in CGCT and the consistency loss</w:t>
      </w:r>
    </w:p>
    <w:p>
      <w:pPr>
        <w:pStyle w:val="ListParagraph"/>
        <w:numPr>
          <w:ilvl w:val="0"/>
          <w:numId w:val="1"/>
        </w:numPr>
        <w:spacing w:after="70"/>
      </w:pPr>
      <w:r>
        <w:t xml:space="preserve">src/evaluate.py — Phase 5 evaluation + ablation runner</w:t>
      </w:r>
    </w:p>
    <w:p>
      <w:pPr>
        <w:pStyle w:val="ListParagraph"/>
        <w:numPr>
          <w:ilvl w:val="0"/>
          <w:numId w:val="1"/>
        </w:numPr>
        <w:spacing w:after="70"/>
      </w:pPr>
      <w:r>
        <w:t xml:space="preserve">dashboard/app.py — Phase 6 Streamlit clinical dashboard</w:t>
      </w:r>
    </w:p>
    <w:p>
      <w:pPr>
        <w:pStyle w:val="ListParagraph"/>
        <w:numPr>
          <w:ilvl w:val="0"/>
          <w:numId w:val="1"/>
        </w:numPr>
        <w:spacing w:after="70"/>
      </w:pPr>
      <w:r>
        <w:t xml:space="preserve">checkpoints/, results/ — saved weights and metrics/plots (gitignored)</w:t>
      </w:r>
    </w:p>
    <w:p>
      <w:pPr>
        <w:pStyle w:val="ListParagraph"/>
        <w:numPr>
          <w:ilvl w:val="0"/>
          <w:numId w:val="1"/>
        </w:numPr>
        <w:spacing w:after="70"/>
      </w:pPr>
      <w:r>
        <w:t xml:space="preserve">tests/test_models.py — unit tests, including the three contributions</w:t>
      </w:r>
    </w:p>
    <w:p>
      <w:pPr>
        <w:pStyle w:val="Heading1"/>
        <w:spacing w:after="150" w:before="300"/>
      </w:pPr>
      <w:r>
        <w:t xml:space="preserve">9. Verification Performed</w:t>
      </w:r>
    </w:p>
    <w:p>
      <w:pPr>
        <w:spacing w:after="120"/>
      </w:pPr>
      <w:r>
        <w:t xml:space="preserve">All three new modules (csg_fusion.py, cascade_heads.py, confidence_gated_training.py) were syntax-checked AND executed end-to-end with synthetic tensors — including a full forward pass through CUSP-Cascade with CGCT mixing active and the fixed UncertaintyAwareHead — confirming correct output shapes and value ranges. This confirms the code runs as designed; it does not replace training on real data.</w:t>
      </w:r>
    </w:p>
    <w:p>
      <w:pPr>
        <w:pStyle w:val="Heading1"/>
        <w:spacing w:after="150" w:before="300"/>
      </w:pPr>
      <w:r>
        <w:t xml:space="preserve">10. Required Ablation Plan</w:t>
      </w:r>
    </w:p>
    <w:p>
      <w:pPr>
        <w:pStyle w:val="ListParagraph"/>
        <w:numPr>
          <w:ilvl w:val="0"/>
          <w:numId w:val="1"/>
        </w:numPr>
        <w:spacing w:after="70"/>
      </w:pPr>
      <w:r>
        <w:t xml:space="preserve">1. cross_attention fusion + independent heads (full baseline)</w:t>
      </w:r>
    </w:p>
    <w:p>
      <w:pPr>
        <w:pStyle w:val="ListParagraph"/>
        <w:numPr>
          <w:ilvl w:val="0"/>
          <w:numId w:val="1"/>
        </w:numPr>
        <w:spacing w:after="70"/>
      </w:pPr>
      <w:r>
        <w:t xml:space="preserve">2. csg fusion + independent heads (Contribution 1 alone)</w:t>
      </w:r>
    </w:p>
    <w:p>
      <w:pPr>
        <w:pStyle w:val="ListParagraph"/>
        <w:numPr>
          <w:ilvl w:val="0"/>
          <w:numId w:val="1"/>
        </w:numPr>
        <w:spacing w:after="70"/>
      </w:pPr>
      <w:r>
        <w:t xml:space="preserve">3. cross_attention fusion + cusp cascade, no CGCT (Contribution 2 alone)</w:t>
      </w:r>
    </w:p>
    <w:p>
      <w:pPr>
        <w:pStyle w:val="ListParagraph"/>
        <w:numPr>
          <w:ilvl w:val="0"/>
          <w:numId w:val="1"/>
        </w:numPr>
        <w:spacing w:after="70"/>
      </w:pPr>
      <w:r>
        <w:t xml:space="preserve">4. csg fusion + cusp cascade, no CGCT (Contributions 1+2)</w:t>
      </w:r>
    </w:p>
    <w:p>
      <w:pPr>
        <w:pStyle w:val="ListParagraph"/>
        <w:numPr>
          <w:ilvl w:val="0"/>
          <w:numId w:val="1"/>
        </w:numPr>
        <w:spacing w:after="70"/>
      </w:pPr>
      <w:r>
        <w:t xml:space="preserve">5. csg fusion + cusp cascade + CGCT (full proposed system)</w:t>
      </w:r>
    </w:p>
    <w:p>
      <w:pPr>
        <w:pStyle w:val="Heading1"/>
        <w:spacing w:after="150" w:before="300"/>
      </w:pPr>
      <w:r>
        <w:t xml:space="preserve">11. Implementation Roadmap (20 Weeks)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D9D9D9" w:val="clear"/>
          </w:tcPr>
          <w:p>
            <w:r>
              <w:rPr>
                <w:b/>
                <w:bCs/>
                <w:sz w:val="20"/>
                <w:szCs w:val="20"/>
              </w:rPr>
              <w:t xml:space="preserve">Phase</w:t>
            </w:r>
          </w:p>
        </w:tc>
        <w:tc>
          <w:tcPr>
            <w:tcW w:type="pct" w:w="15%"/>
            <w:shd w:fill="D9D9D9" w:val="clear"/>
          </w:tcPr>
          <w:p>
            <w:r>
              <w:rPr>
                <w:b/>
                <w:bCs/>
                <w:sz w:val="20"/>
                <w:szCs w:val="20"/>
              </w:rPr>
              <w:t xml:space="preserve">Weeks</w:t>
            </w:r>
          </w:p>
        </w:tc>
        <w:tc>
          <w:tcPr>
            <w:tcW w:type="pct" w:w="60%"/>
            <w:shd w:fill="D9D9D9" w:val="clear"/>
          </w:tcPr>
          <w:p>
            <w:r>
              <w:rPr>
                <w:b/>
                <w:bCs/>
                <w:sz w:val="20"/>
                <w:szCs w:val="20"/>
              </w:rPr>
              <w:t xml:space="preserve">Deliverable</w:t>
            </w:r>
          </w:p>
        </w:tc>
      </w:tr>
      <w:tr>
        <w:tc>
          <w:tcPr>
            <w:tcW w:type="pct" w:w="25%"/>
          </w:tcPr>
          <w:p>
            <w:r>
              <w:rPr>
                <w:b w:val="false"/>
                <w:bCs w:val="false"/>
                <w:sz w:val="20"/>
                <w:szCs w:val="20"/>
              </w:rPr>
              <w:t xml:space="preserve">1. Data prep</w:t>
            </w:r>
          </w:p>
        </w:tc>
        <w:tc>
          <w:tcPr>
            <w:tcW w:type="pct" w:w="15%"/>
          </w:tcPr>
          <w:p>
            <w:r>
              <w:rPr>
                <w:b w:val="false"/>
                <w:bCs w:val="false"/>
                <w:sz w:val="20"/>
                <w:szCs w:val="20"/>
              </w:rPr>
              <w:t xml:space="preserve">1-3</w:t>
            </w:r>
          </w:p>
        </w:tc>
        <w:tc>
          <w:tcPr>
            <w:tcW w:type="pct" w:w="60%"/>
          </w:tcPr>
          <w:p>
            <w:r>
              <w:rPr>
                <w:b w:val="false"/>
                <w:bCs w:val="false"/>
                <w:sz w:val="20"/>
                <w:szCs w:val="20"/>
              </w:rPr>
              <w:t xml:space="preserve">Cleaned tensors/CSVs in data/processed/</w:t>
            </w:r>
          </w:p>
        </w:tc>
      </w:tr>
      <w:tr>
        <w:tc>
          <w:tcPr>
            <w:tcW w:type="pct" w:w="25%"/>
          </w:tcPr>
          <w:p>
            <w:r>
              <w:rPr>
                <w:b w:val="false"/>
                <w:bCs w:val="false"/>
                <w:sz w:val="20"/>
                <w:szCs w:val="20"/>
              </w:rPr>
              <w:t xml:space="preserve">2. Pre-training</w:t>
            </w:r>
          </w:p>
        </w:tc>
        <w:tc>
          <w:tcPr>
            <w:tcW w:type="pct" w:w="15%"/>
          </w:tcPr>
          <w:p>
            <w:r>
              <w:rPr>
                <w:b w:val="false"/>
                <w:bCs w:val="false"/>
                <w:sz w:val="20"/>
                <w:szCs w:val="20"/>
              </w:rPr>
              <w:t xml:space="preserve">4-6</w:t>
            </w:r>
          </w:p>
        </w:tc>
        <w:tc>
          <w:tcPr>
            <w:tcW w:type="pct" w:w="60%"/>
          </w:tcPr>
          <w:p>
            <w:r>
              <w:rPr>
                <w:b w:val="false"/>
                <w:bCs w:val="false"/>
                <w:sz w:val="20"/>
                <w:szCs w:val="20"/>
              </w:rPr>
              <w:t xml:space="preserve">checkpoints/simclr_encoder.pth</w:t>
            </w:r>
          </w:p>
        </w:tc>
      </w:tr>
      <w:tr>
        <w:tc>
          <w:tcPr>
            <w:tcW w:type="pct" w:w="25%"/>
          </w:tcPr>
          <w:p>
            <w:r>
              <w:rPr>
                <w:b w:val="false"/>
                <w:bCs w:val="false"/>
                <w:sz w:val="20"/>
                <w:szCs w:val="20"/>
              </w:rPr>
              <w:t xml:space="preserve">3. Hybrid training</w:t>
            </w:r>
          </w:p>
        </w:tc>
        <w:tc>
          <w:tcPr>
            <w:tcW w:type="pct" w:w="15%"/>
          </w:tcPr>
          <w:p>
            <w:r>
              <w:rPr>
                <w:b w:val="false"/>
                <w:bCs w:val="false"/>
                <w:sz w:val="20"/>
                <w:szCs w:val="20"/>
              </w:rPr>
              <w:t xml:space="preserve">7-12</w:t>
            </w:r>
          </w:p>
        </w:tc>
        <w:tc>
          <w:tcPr>
            <w:tcW w:type="pct" w:w="60%"/>
          </w:tcPr>
          <w:p>
            <w:r>
              <w:rPr>
                <w:b w:val="false"/>
                <w:bCs w:val="false"/>
                <w:sz w:val="20"/>
                <w:szCs w:val="20"/>
              </w:rPr>
              <w:t xml:space="preserve">checkpoints/cmcht_xai_best.pth</w:t>
            </w:r>
          </w:p>
        </w:tc>
      </w:tr>
      <w:tr>
        <w:tc>
          <w:tcPr>
            <w:tcW w:type="pct" w:w="25%"/>
          </w:tcPr>
          <w:p>
            <w:r>
              <w:rPr>
                <w:b w:val="false"/>
                <w:bCs w:val="false"/>
                <w:sz w:val="20"/>
                <w:szCs w:val="20"/>
              </w:rPr>
              <w:t xml:space="preserve">4. XAI &amp; uncertainty</w:t>
            </w:r>
          </w:p>
        </w:tc>
        <w:tc>
          <w:tcPr>
            <w:tcW w:type="pct" w:w="15%"/>
          </w:tcPr>
          <w:p>
            <w:r>
              <w:rPr>
                <w:b w:val="false"/>
                <w:bCs w:val="false"/>
                <w:sz w:val="20"/>
                <w:szCs w:val="20"/>
              </w:rPr>
              <w:t xml:space="preserve">13-15</w:t>
            </w:r>
          </w:p>
        </w:tc>
        <w:tc>
          <w:tcPr>
            <w:tcW w:type="pct" w:w="60%"/>
          </w:tcPr>
          <w:p>
            <w:r>
              <w:rPr>
                <w:b w:val="false"/>
                <w:bCs w:val="false"/>
                <w:sz w:val="20"/>
                <w:szCs w:val="20"/>
              </w:rPr>
              <w:t xml:space="preserve">SHAP/Grad-CAM/counterfactual outputs in results/</w:t>
            </w:r>
          </w:p>
        </w:tc>
      </w:tr>
      <w:tr>
        <w:tc>
          <w:tcPr>
            <w:tcW w:type="pct" w:w="25%"/>
          </w:tcPr>
          <w:p>
            <w:r>
              <w:rPr>
                <w:b w:val="false"/>
                <w:bCs w:val="false"/>
                <w:sz w:val="20"/>
                <w:szCs w:val="20"/>
              </w:rPr>
              <w:t xml:space="preserve">5. Evaluation</w:t>
            </w:r>
          </w:p>
        </w:tc>
        <w:tc>
          <w:tcPr>
            <w:tcW w:type="pct" w:w="15%"/>
          </w:tcPr>
          <w:p>
            <w:r>
              <w:rPr>
                <w:b w:val="false"/>
                <w:bCs w:val="false"/>
                <w:sz w:val="20"/>
                <w:szCs w:val="20"/>
              </w:rPr>
              <w:t xml:space="preserve">16-18</w:t>
            </w:r>
          </w:p>
        </w:tc>
        <w:tc>
          <w:tcPr>
            <w:tcW w:type="pct" w:w="60%"/>
          </w:tcPr>
          <w:p>
            <w:r>
              <w:rPr>
                <w:b w:val="false"/>
                <w:bCs w:val="false"/>
                <w:sz w:val="20"/>
                <w:szCs w:val="20"/>
              </w:rPr>
              <w:t xml:space="preserve">Metrics + ablation tables in results/</w:t>
            </w:r>
          </w:p>
        </w:tc>
      </w:tr>
      <w:tr>
        <w:tc>
          <w:tcPr>
            <w:tcW w:type="pct" w:w="25%"/>
          </w:tcPr>
          <w:p>
            <w:r>
              <w:rPr>
                <w:b w:val="false"/>
                <w:bCs w:val="false"/>
                <w:sz w:val="20"/>
                <w:szCs w:val="20"/>
              </w:rPr>
              <w:t xml:space="preserve">6. Dashboard &amp; docs</w:t>
            </w:r>
          </w:p>
        </w:tc>
        <w:tc>
          <w:tcPr>
            <w:tcW w:type="pct" w:w="15%"/>
          </w:tcPr>
          <w:p>
            <w:r>
              <w:rPr>
                <w:b w:val="false"/>
                <w:bCs w:val="false"/>
                <w:sz w:val="20"/>
                <w:szCs w:val="20"/>
              </w:rPr>
              <w:t xml:space="preserve">19-20</w:t>
            </w:r>
          </w:p>
        </w:tc>
        <w:tc>
          <w:tcPr>
            <w:tcW w:type="pct" w:w="60%"/>
          </w:tcPr>
          <w:p>
            <w:r>
              <w:rPr>
                <w:b w:val="false"/>
                <w:bCs w:val="false"/>
                <w:sz w:val="20"/>
                <w:szCs w:val="20"/>
              </w:rPr>
              <w:t xml:space="preserve">Streamlit demo, technical report, paper draft</w:t>
            </w:r>
          </w:p>
        </w:tc>
      </w:tr>
    </w:tbl>
    <w:p>
      <w:pPr>
        <w:pStyle w:val="Heading1"/>
        <w:spacing w:after="150" w:before="300"/>
      </w:pPr>
      <w:r>
        <w:t xml:space="preserve">12. Key References</w:t>
      </w:r>
    </w:p>
    <w:p>
      <w:pPr>
        <w:pStyle w:val="ListParagraph"/>
        <w:numPr>
          <w:ilvl w:val="0"/>
          <w:numId w:val="1"/>
        </w:numPr>
        <w:spacing w:after="70"/>
      </w:pPr>
      <w:r>
        <w:t xml:space="preserve">Gorishniy et al. (2021) — Revisiting Deep Learning Models for Tabular Data (FT-Transformer)</w:t>
      </w:r>
    </w:p>
    <w:p>
      <w:pPr>
        <w:pStyle w:val="ListParagraph"/>
        <w:numPr>
          <w:ilvl w:val="0"/>
          <w:numId w:val="1"/>
        </w:numPr>
        <w:spacing w:after="70"/>
      </w:pPr>
      <w:r>
        <w:t xml:space="preserve">Liu et al. (2021) — Swin Transformer: Hierarchical Vision Transformer</w:t>
      </w:r>
    </w:p>
    <w:p>
      <w:pPr>
        <w:pStyle w:val="ListParagraph"/>
        <w:numPr>
          <w:ilvl w:val="0"/>
          <w:numId w:val="1"/>
        </w:numPr>
        <w:spacing w:after="70"/>
      </w:pPr>
      <w:r>
        <w:t xml:space="preserve">Chen et al. (2020) — A Simple Framework for Contrastive Learning (SimCLR)</w:t>
      </w:r>
    </w:p>
    <w:p>
      <w:pPr>
        <w:pStyle w:val="ListParagraph"/>
        <w:numPr>
          <w:ilvl w:val="0"/>
          <w:numId w:val="1"/>
        </w:numPr>
        <w:spacing w:after="70"/>
      </w:pPr>
      <w:r>
        <w:t xml:space="preserve">Mothilal et al. (2020) — Explaining ML Classifiers through Diverse Counterfactual Explanations (DiCE)</w:t>
      </w:r>
    </w:p>
    <w:p>
      <w:pPr>
        <w:pStyle w:val="ListParagraph"/>
        <w:numPr>
          <w:ilvl w:val="0"/>
          <w:numId w:val="1"/>
        </w:numPr>
        <w:spacing w:after="70"/>
      </w:pPr>
      <w:r>
        <w:t xml:space="preserve">Liu et al. (2021) — Confidence-Aware Scheduled Sampling for Neural Machine Translation (source algorithm for Contribution 3)</w:t>
      </w:r>
    </w:p>
    <w:p>
      <w:pPr>
        <w:pStyle w:val="Heading1"/>
        <w:spacing w:after="150" w:before="300"/>
      </w:pPr>
      <w:r>
        <w:t xml:space="preserve">13. Tools &amp; Libraries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shd w:fill="D9D9D9" w:val="clear"/>
          </w:tcPr>
          <w:p>
            <w:r>
              <w:rPr>
                <w:b/>
                <w:bCs/>
                <w:sz w:val="20"/>
                <w:szCs w:val="20"/>
              </w:rPr>
              <w:t xml:space="preserve">Purpose</w:t>
            </w:r>
          </w:p>
        </w:tc>
        <w:tc>
          <w:tcPr>
            <w:tcW w:type="pct" w:w="60%"/>
            <w:shd w:fill="D9D9D9" w:val="clear"/>
          </w:tcPr>
          <w:p>
            <w:r>
              <w:rPr>
                <w:b/>
                <w:bCs/>
                <w:sz w:val="20"/>
                <w:szCs w:val="20"/>
              </w:rPr>
              <w:t xml:space="preserve">Tool</w:t>
            </w:r>
          </w:p>
        </w:tc>
      </w:tr>
      <w:tr>
        <w:tc>
          <w:tcPr>
            <w:tcW w:type="pct" w:w="40%"/>
          </w:tcPr>
          <w:p>
            <w:r>
              <w:rPr>
                <w:b w:val="false"/>
                <w:bCs w:val="false"/>
                <w:sz w:val="20"/>
                <w:szCs w:val="20"/>
              </w:rPr>
              <w:t xml:space="preserve">Deep learning framework</w:t>
            </w:r>
          </w:p>
        </w:tc>
        <w:tc>
          <w:tcPr>
            <w:tcW w:type="pct" w:w="60%"/>
          </w:tcPr>
          <w:p>
            <w:r>
              <w:rPr>
                <w:b w:val="false"/>
                <w:bCs w:val="false"/>
                <w:sz w:val="20"/>
                <w:szCs w:val="20"/>
              </w:rPr>
              <w:t xml:space="preserve">PyTorch 2.0+</w:t>
            </w:r>
          </w:p>
        </w:tc>
      </w:tr>
      <w:tr>
        <w:tc>
          <w:tcPr>
            <w:tcW w:type="pct" w:w="40%"/>
          </w:tcPr>
          <w:p>
            <w:r>
              <w:rPr>
                <w:b w:val="false"/>
                <w:bCs w:val="false"/>
                <w:sz w:val="20"/>
                <w:szCs w:val="20"/>
              </w:rPr>
              <w:t xml:space="preserve">Medical imaging</w:t>
            </w:r>
          </w:p>
        </w:tc>
        <w:tc>
          <w:tcPr>
            <w:tcW w:type="pct" w:w="60%"/>
          </w:tcPr>
          <w:p>
            <w:r>
              <w:rPr>
                <w:b w:val="false"/>
                <w:bCs w:val="false"/>
                <w:sz w:val="20"/>
                <w:szCs w:val="20"/>
              </w:rPr>
              <w:t xml:space="preserve">MONAI, SimpleITK, NiBabel</w:t>
            </w:r>
          </w:p>
        </w:tc>
      </w:tr>
      <w:tr>
        <w:tc>
          <w:tcPr>
            <w:tcW w:type="pct" w:w="40%"/>
          </w:tcPr>
          <w:p>
            <w:r>
              <w:rPr>
                <w:b w:val="false"/>
                <w:bCs w:val="false"/>
                <w:sz w:val="20"/>
                <w:szCs w:val="20"/>
              </w:rPr>
              <w:t xml:space="preserve">Tabular transformer</w:t>
            </w:r>
          </w:p>
        </w:tc>
        <w:tc>
          <w:tcPr>
            <w:tcW w:type="pct" w:w="60%"/>
          </w:tcPr>
          <w:p>
            <w:r>
              <w:rPr>
                <w:b w:val="false"/>
                <w:bCs w:val="false"/>
                <w:sz w:val="20"/>
                <w:szCs w:val="20"/>
              </w:rPr>
              <w:t xml:space="preserve">custom FT-Transformer / rtdl</w:t>
            </w:r>
          </w:p>
        </w:tc>
      </w:tr>
      <w:tr>
        <w:tc>
          <w:tcPr>
            <w:tcW w:type="pct" w:w="40%"/>
          </w:tcPr>
          <w:p>
            <w:r>
              <w:rPr>
                <w:b w:val="false"/>
                <w:bCs w:val="false"/>
                <w:sz w:val="20"/>
                <w:szCs w:val="20"/>
              </w:rPr>
              <w:t xml:space="preserve">Contrastive learning</w:t>
            </w:r>
          </w:p>
        </w:tc>
        <w:tc>
          <w:tcPr>
            <w:tcW w:type="pct" w:w="60%"/>
          </w:tcPr>
          <w:p>
            <w:r>
              <w:rPr>
                <w:b w:val="false"/>
                <w:bCs w:val="false"/>
                <w:sz w:val="20"/>
                <w:szCs w:val="20"/>
              </w:rPr>
              <w:t xml:space="preserve">solo-learn (SimCLR, MoCo) or custom</w:t>
            </w:r>
          </w:p>
        </w:tc>
      </w:tr>
      <w:tr>
        <w:tc>
          <w:tcPr>
            <w:tcW w:type="pct" w:w="40%"/>
          </w:tcPr>
          <w:p>
            <w:r>
              <w:rPr>
                <w:b w:val="false"/>
                <w:bCs w:val="false"/>
                <w:sz w:val="20"/>
                <w:szCs w:val="20"/>
              </w:rPr>
              <w:t xml:space="preserve">Explainability</w:t>
            </w:r>
          </w:p>
        </w:tc>
        <w:tc>
          <w:tcPr>
            <w:tcW w:type="pct" w:w="60%"/>
          </w:tcPr>
          <w:p>
            <w:r>
              <w:rPr>
                <w:b w:val="false"/>
                <w:bCs w:val="false"/>
                <w:sz w:val="20"/>
                <w:szCs w:val="20"/>
              </w:rPr>
              <w:t xml:space="preserve">SHAP, Captum (Grad-CAM), DiCE, Alibi</w:t>
            </w:r>
          </w:p>
        </w:tc>
      </w:tr>
      <w:tr>
        <w:tc>
          <w:tcPr>
            <w:tcW w:type="pct" w:w="40%"/>
          </w:tcPr>
          <w:p>
            <w:r>
              <w:rPr>
                <w:b w:val="false"/>
                <w:bCs w:val="false"/>
                <w:sz w:val="20"/>
                <w:szCs w:val="20"/>
              </w:rPr>
              <w:t xml:space="preserve">Uncertainty</w:t>
            </w:r>
          </w:p>
        </w:tc>
        <w:tc>
          <w:tcPr>
            <w:tcW w:type="pct" w:w="60%"/>
          </w:tcPr>
          <w:p>
            <w:r>
              <w:rPr>
                <w:b w:val="false"/>
                <w:bCs w:val="false"/>
                <w:sz w:val="20"/>
                <w:szCs w:val="20"/>
              </w:rPr>
              <w:t xml:space="preserve">custom Monte Carlo Dropout</w:t>
            </w:r>
          </w:p>
        </w:tc>
      </w:tr>
      <w:tr>
        <w:tc>
          <w:tcPr>
            <w:tcW w:type="pct" w:w="40%"/>
          </w:tcPr>
          <w:p>
            <w:r>
              <w:rPr>
                <w:b w:val="false"/>
                <w:bCs w:val="false"/>
                <w:sz w:val="20"/>
                <w:szCs w:val="20"/>
              </w:rPr>
              <w:t xml:space="preserve">Data balancing</w:t>
            </w:r>
          </w:p>
        </w:tc>
        <w:tc>
          <w:tcPr>
            <w:tcW w:type="pct" w:w="60%"/>
          </w:tcPr>
          <w:p>
            <w:r>
              <w:rPr>
                <w:b w:val="false"/>
                <w:bCs w:val="false"/>
                <w:sz w:val="20"/>
                <w:szCs w:val="20"/>
              </w:rPr>
              <w:t xml:space="preserve">imbalanced-learn (SMOTE)</w:t>
            </w:r>
          </w:p>
        </w:tc>
      </w:tr>
      <w:tr>
        <w:tc>
          <w:tcPr>
            <w:tcW w:type="pct" w:w="40%"/>
          </w:tcPr>
          <w:p>
            <w:r>
              <w:rPr>
                <w:b w:val="false"/>
                <w:bCs w:val="false"/>
                <w:sz w:val="20"/>
                <w:szCs w:val="20"/>
              </w:rPr>
              <w:t xml:space="preserve">Dashboard</w:t>
            </w:r>
          </w:p>
        </w:tc>
        <w:tc>
          <w:tcPr>
            <w:tcW w:type="pct" w:w="60%"/>
          </w:tcPr>
          <w:p>
            <w:r>
              <w:rPr>
                <w:b w:val="false"/>
                <w:bCs w:val="false"/>
                <w:sz w:val="20"/>
                <w:szCs w:val="20"/>
              </w:rPr>
              <w:t xml:space="preserve">Streamlit or Gradio</w:t>
            </w:r>
          </w:p>
        </w:tc>
      </w:tr>
      <w:tr>
        <w:tc>
          <w:tcPr>
            <w:tcW w:type="pct" w:w="40%"/>
          </w:tcPr>
          <w:p>
            <w:r>
              <w:rPr>
                <w:b w:val="false"/>
                <w:bCs w:val="false"/>
                <w:sz w:val="20"/>
                <w:szCs w:val="20"/>
              </w:rPr>
              <w:t xml:space="preserve">Experiment tracking</w:t>
            </w:r>
          </w:p>
        </w:tc>
        <w:tc>
          <w:tcPr>
            <w:tcW w:type="pct" w:w="60%"/>
          </w:tcPr>
          <w:p>
            <w:r>
              <w:rPr>
                <w:b w:val="false"/>
                <w:bCs w:val="false"/>
                <w:sz w:val="20"/>
                <w:szCs w:val="20"/>
              </w:rPr>
              <w:t xml:space="preserve">Weights &amp; Biases or MLflow</w:t>
            </w:r>
          </w:p>
        </w:tc>
      </w:tr>
    </w:tbl>
    <w:p>
      <w:pPr>
        <w:spacing w:after="120"/>
      </w:pPr>
      <w:r>
        <w:rPr>
          <w:b/>
          <w:bCs/>
        </w:rPr>
        <w:t xml:space="preserve">Next step: begin with Phase 1. Implement src/data/preprocessing.py against a real download of the NAFLD/ILPD/LiTS datasets, get a simple baseline (ResNet + MLP, baseline fusion, independent heads) running end-to-end first, then switch on each contribution one at a time, re-running the ablation table at each step.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vtskn3hdjtpuzlix8eyh" Type="http://schemas.openxmlformats.org/officeDocument/2006/relationships/hyperlink" Target="https://archive.ics.uci.edu/dataset/225/ilpd+indian+liver+patient+dataset" TargetMode="External"/><Relationship Id="rIdsspmevpsaspo1qo3wwi11" Type="http://schemas.openxmlformats.org/officeDocument/2006/relationships/hyperlink" Target="https://archive.ics.uci.edu/dataset/423/hcc+survival" TargetMode="External"/><Relationship Id="rIdisij-1entevxd4mce4ojb" Type="http://schemas.openxmlformats.org/officeDocument/2006/relationships/hyperlink" Target="https://www.kaggle.com/datasets/fedesoriano/cirrhosis-prediction-dataset" TargetMode="External"/><Relationship Id="rId1u_khxxousfvlp-gjj9qc" Type="http://schemas.openxmlformats.org/officeDocument/2006/relationships/hyperlink" Target="https://data.mendeley.com/datasets/6rg4hk6728/1" TargetMode="External"/><Relationship Id="rIduntkebevko8qohtgcvip-" Type="http://schemas.openxmlformats.org/officeDocument/2006/relationships/hyperlink" Target="https://competitions.codalab.org/competitions/17094" TargetMode="External"/><Relationship Id="rIdh8jd2uf5xrqeteok64hle" Type="http://schemas.openxmlformats.org/officeDocument/2006/relationships/hyperlink" Target="https://zenodo.org/records/7774566" TargetMode="External"/><Relationship Id="rIdzioo97qb1x9gf49_9fppo" Type="http://schemas.openxmlformats.org/officeDocument/2006/relationships/hyperlink" Target="http://medicaldecathlon.com/" TargetMode="External"/><Relationship Id="rId8ybh3br0khujyfehmm8o4" Type="http://schemas.openxmlformats.org/officeDocument/2006/relationships/hyperlink" Target="https://www.cancerimagingarchive.net/collection/hcc-tace-seg/" TargetMode="External"/><Relationship Id="rIdvw1norbowp9dsbd6uqqdg" Type="http://schemas.openxmlformats.org/officeDocument/2006/relationships/hyperlink" Target="https://osf.io/cuk24/" TargetMode="External"/><Relationship Id="rId0wkpibpkq35zr4ttzs5lp" Type="http://schemas.openxmlformats.org/officeDocument/2006/relationships/hyperlink" Target="https://chaos.grand-challenge.org/Download/" TargetMode="External"/><Relationship Id="rIdfi5g9rplzpd8wfswqwur-" Type="http://schemas.openxmlformats.org/officeDocument/2006/relationships/hyperlink" Target="https://arxiv.org/abs/2512.07651" TargetMode="External"/><Relationship Id="rIdrw9dqn8glsftwrjapdzpp" Type="http://schemas.openxmlformats.org/officeDocument/2006/relationships/hyperlink" Target="https://portal.gdc.cancer.gov/projects/TCGA-LIHC"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2026-06-26T07:12:59.658Z</dcterms:created>
  <dcterms:modified xsi:type="dcterms:W3CDTF">2026-06-26T07:12:59.672Z</dcterms:modified>
</cp:coreProperties>
</file>

<file path=docProps/custom.xml><?xml version="1.0" encoding="utf-8"?>
<Properties xmlns="http://schemas.openxmlformats.org/officeDocument/2006/custom-properties" xmlns:vt="http://schemas.openxmlformats.org/officeDocument/2006/docPropsVTypes"/>
</file>