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 Hybrid Model Framework for Effective Prediction of Liver Diseases</w:t>
      </w:r>
    </w:p>
    <w:p>
      <w:pPr>
        <w:spacing w:after="80"/>
        <w:jc w:val="center"/>
      </w:pPr>
      <w:r>
        <w:rPr>
          <w:i/>
          <w:iCs/>
        </w:rPr>
        <w:t xml:space="preserve">Deep Learning – Explainable AI</w:t>
      </w:r>
    </w:p>
    <w:p>
      <w:pPr>
        <w:spacing w:after="500"/>
        <w:jc w:val="center"/>
      </w:pPr>
      <w:r>
        <w:rPr>
          <w:i/>
          <w:iCs/>
          <w:sz w:val="20"/>
          <w:szCs w:val="20"/>
        </w:rPr>
        <w:t xml:space="preserve">Final Year Project Framework — Updated Edition (3 algorithmic contributions, weaknesses reviewed and fixed, full implementation scaffold)</w:t>
      </w:r>
    </w:p>
    <w:p>
      <w:pPr>
        <w:pStyle w:val="Heading1"/>
        <w:spacing w:after="150" w:before="300"/>
      </w:pPr>
      <w:r>
        <w:t xml:space="preserve">1. Problem Statement</w:t>
      </w:r>
    </w:p>
    <w:p>
      <w:pPr>
        <w:pStyle w:val="Heading2"/>
        <w:spacing w:after="100" w:before="220"/>
      </w:pPr>
      <w:r>
        <w:t xml:space="preserve">Title</w:t>
      </w:r>
    </w:p>
    <w:p>
      <w:pPr>
        <w:spacing w:after="120"/>
      </w:pPr>
      <w:r>
        <w:t xml:space="preserve">A Cross-Modal Contrastive Hybrid Transformer Framework with Counterfactual Explainable AI for Multi-Task Liver Disease Prediction (CMCHT-XAI)</w:t>
      </w:r>
    </w:p>
    <w:p>
      <w:pPr>
        <w:pStyle w:val="Heading2"/>
        <w:spacing w:after="100" w:before="220"/>
      </w:pPr>
      <w:r>
        <w:t xml:space="preserve">Problem</w:t>
      </w:r>
    </w:p>
    <w:p>
      <w:pPr>
        <w:spacing w:after="120"/>
      </w:pPr>
      <w:r>
        <w:t xml:space="preserve">Liver diseases (cirrhosis, hepatitis, hepatocellular carcinoma) progress silently and are often diagnosed at advanced stages. While AI models have achieved high accuracy in liver disease detection, three critical barriers prevent clinical adoption:</w:t>
      </w:r>
    </w:p>
    <w:p>
      <w:pPr>
        <w:pStyle w:val="ListParagraph"/>
        <w:numPr>
          <w:ilvl w:val="0"/>
          <w:numId w:val="1"/>
        </w:numPr>
        <w:spacing w:after="70"/>
      </w:pPr>
      <w:r>
        <w:t xml:space="preserve">Black-box predictions: Clinicians cannot trust models that do not explain why a decision was made or what clinical factors drove the prediction.</w:t>
      </w:r>
    </w:p>
    <w:p>
      <w:pPr>
        <w:pStyle w:val="ListParagraph"/>
        <w:numPr>
          <w:ilvl w:val="0"/>
          <w:numId w:val="1"/>
        </w:numPr>
        <w:spacing w:after="70"/>
      </w:pPr>
      <w:r>
        <w:t xml:space="preserve">Modality isolation: Existing models either process medical images (CT/MRI/Ultrasound) or clinical blood tests separately, failing to exploit the complementary information between imaging morphology and biochemical markers (bilirubin, albumin, SGOT) in a dynamically weighted fusion.</w:t>
      </w:r>
    </w:p>
    <w:p>
      <w:pPr>
        <w:pStyle w:val="ListParagraph"/>
        <w:numPr>
          <w:ilvl w:val="0"/>
          <w:numId w:val="1"/>
        </w:numPr>
        <w:spacing w:after="70"/>
      </w:pPr>
      <w:r>
        <w:t xml:space="preserve">Single-task limitation: Most models perform only binary classification (disease vs. healthy) and do not simultaneously predict disease presence, fibrosis stage, and progression risk — limiting clinical utility.</w:t>
      </w:r>
    </w:p>
    <w:p>
      <w:pPr>
        <w:pStyle w:val="Heading2"/>
        <w:spacing w:after="100" w:before="220"/>
      </w:pPr>
      <w:r>
        <w:t xml:space="preserve">Objective</w:t>
      </w:r>
    </w:p>
    <w:p>
      <w:pPr>
        <w:spacing w:after="120"/>
      </w:pPr>
      <w:r>
        <w:t xml:space="preserve">Develop an executable hybrid deep learning framework that:</w:t>
      </w:r>
    </w:p>
    <w:p>
      <w:pPr>
        <w:pStyle w:val="ListParagraph"/>
        <w:numPr>
          <w:ilvl w:val="0"/>
          <w:numId w:val="1"/>
        </w:numPr>
        <w:spacing w:after="70"/>
      </w:pPr>
      <w:r>
        <w:t xml:space="preserve">Uses contrastive self-supervised pre-training on unlabeled liver imaging to learn robust visual representations.</w:t>
      </w:r>
    </w:p>
    <w:p>
      <w:pPr>
        <w:pStyle w:val="ListParagraph"/>
        <w:numPr>
          <w:ilvl w:val="0"/>
          <w:numId w:val="1"/>
        </w:numPr>
        <w:spacing w:after="70"/>
      </w:pPr>
      <w:r>
        <w:t xml:space="preserve">Fuses imaging (CNN-Transformer) and tabular clinical data (Tabular Transformer) via cross-modal attention.</w:t>
      </w:r>
    </w:p>
    <w:p>
      <w:pPr>
        <w:pStyle w:val="ListParagraph"/>
        <w:numPr>
          <w:ilvl w:val="0"/>
          <w:numId w:val="1"/>
        </w:numPr>
        <w:spacing w:after="70"/>
      </w:pPr>
      <w:r>
        <w:t xml:space="preserve">Performs multi-task learning (detection + staging + severity scoring).</w:t>
      </w:r>
    </w:p>
    <w:p>
      <w:pPr>
        <w:pStyle w:val="ListParagraph"/>
        <w:numPr>
          <w:ilvl w:val="0"/>
          <w:numId w:val="1"/>
        </w:numPr>
        <w:spacing w:after="70"/>
      </w:pPr>
      <w:r>
        <w:t xml:space="preserve">Provides counterfactual explanations alongside SHAP and Grad-CAM.</w:t>
      </w:r>
    </w:p>
    <w:p>
      <w:pPr>
        <w:pStyle w:val="ListParagraph"/>
        <w:numPr>
          <w:ilvl w:val="0"/>
          <w:numId w:val="1"/>
        </w:numPr>
        <w:spacing w:after="70"/>
      </w:pPr>
      <w:r>
        <w:t xml:space="preserve">Quantifies prediction uncertainty to flag low-confidence cases for human review.</w:t>
      </w:r>
    </w:p>
    <w:p>
      <w:pPr>
        <w:pStyle w:val="Heading1"/>
        <w:spacing w:after="150" w:before="300"/>
      </w:pPr>
      <w:r>
        <w:t xml:space="preserve">2. Legal &amp; Open-Source Datasets</w:t>
      </w:r>
    </w:p>
    <w:p>
      <w:pPr>
        <w:spacing w:after="120"/>
      </w:pPr>
      <w:r>
        <w:t xml:space="preserve">These datasets may be legally used for academic research without copyright infringement. Links verified directly — three from the project's review presentation, three added after a fresh search for additional liver-disease datasets.</w:t>
      </w:r>
    </w:p>
    <w:p>
      <w:pPr>
        <w:pStyle w:val="Heading2"/>
        <w:spacing w:after="100" w:before="220"/>
      </w:pPr>
      <w:r>
        <w:t xml:space="preserve">2.1 Previously identified (from review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4%"/>
            <w:shd w:fill="D9D9D9" w:val="clear"/>
          </w:tcPr>
          <w:p>
            <w:r>
              <w:rPr>
                <w:b/>
                <w:bCs/>
                <w:sz w:val="20"/>
                <w:szCs w:val="20"/>
              </w:rPr>
              <w:t xml:space="preserve">Dataset</w:t>
            </w:r>
          </w:p>
        </w:tc>
        <w:tc>
          <w:tcPr>
            <w:tcW w:type="pct" w:w="26%"/>
            <w:shd w:fill="D9D9D9" w:val="clear"/>
          </w:tcPr>
          <w:p>
            <w:r>
              <w:rPr>
                <w:b/>
                <w:bCs/>
                <w:sz w:val="20"/>
                <w:szCs w:val="20"/>
              </w:rPr>
              <w:t xml:space="preserve">Type</w:t>
            </w:r>
          </w:p>
        </w:tc>
        <w:tc>
          <w:tcPr>
            <w:tcW w:type="pct" w:w="20%"/>
            <w:shd w:fill="D9D9D9" w:val="clear"/>
          </w:tcPr>
          <w:p>
            <w:r>
              <w:rPr>
                <w:b/>
                <w:bCs/>
                <w:sz w:val="20"/>
                <w:szCs w:val="20"/>
              </w:rPr>
              <w:t xml:space="preserve">Size</w:t>
            </w:r>
          </w:p>
        </w:tc>
        <w:tc>
          <w:tcPr>
            <w:tcW w:type="pct" w:w="12%"/>
            <w:shd w:fill="D9D9D9" w:val="clear"/>
          </w:tcPr>
          <w:p>
            <w:r>
              <w:rPr>
                <w:b/>
                <w:bCs/>
                <w:sz w:val="20"/>
                <w:szCs w:val="20"/>
              </w:rPr>
              <w:t xml:space="preserve">License</w:t>
            </w:r>
          </w:p>
        </w:tc>
        <w:tc>
          <w:tcPr>
            <w:tcW w:type="pct" w:w="18%"/>
            <w:shd w:fill="D9D9D9" w:val="clear"/>
          </w:tcPr>
          <w:p>
            <w:r>
              <w:rPr>
                <w:b/>
                <w:bCs/>
                <w:sz w:val="20"/>
                <w:szCs w:val="20"/>
              </w:rPr>
              <w:t xml:space="preserve">Link</w:t>
            </w:r>
          </w:p>
        </w:tc>
      </w:tr>
      <w:tr>
        <w:tc>
          <w:tcPr>
            <w:tcW w:type="pct" w:w="24%"/>
          </w:tcPr>
          <w:p>
            <w:r>
              <w:rPr>
                <w:b w:val="false"/>
                <w:bCs w:val="false"/>
                <w:sz w:val="20"/>
                <w:szCs w:val="20"/>
              </w:rPr>
              <w:t xml:space="preserve">ILPD (Indian Liver Patient Dataset)</w:t>
            </w:r>
          </w:p>
        </w:tc>
        <w:tc>
          <w:tcPr>
            <w:tcW w:type="pct" w:w="26%"/>
          </w:tcPr>
          <w:p>
            <w:r>
              <w:rPr>
                <w:b w:val="false"/>
                <w:bCs w:val="false"/>
                <w:sz w:val="20"/>
                <w:szCs w:val="20"/>
              </w:rPr>
              <w:t xml:space="preserve">Tabular (bilirubin, SGPT, SGOT, albumin, etc.)</w:t>
            </w:r>
          </w:p>
        </w:tc>
        <w:tc>
          <w:tcPr>
            <w:tcW w:type="pct" w:w="20%"/>
          </w:tcPr>
          <w:p>
            <w:r>
              <w:rPr>
                <w:b w:val="false"/>
                <w:bCs w:val="false"/>
                <w:sz w:val="20"/>
                <w:szCs w:val="20"/>
              </w:rPr>
              <w:t xml:space="preserve">583 patients (416 diseased, 167 healthy)</w:t>
            </w:r>
          </w:p>
        </w:tc>
        <w:tc>
          <w:tcPr>
            <w:tcW w:type="pct" w:w="12%"/>
          </w:tcPr>
          <w:p>
            <w:r>
              <w:rPr>
                <w:b w:val="false"/>
                <w:bCs w:val="false"/>
                <w:sz w:val="20"/>
                <w:szCs w:val="20"/>
              </w:rPr>
              <w:t xml:space="preserve">CC BY 4.0 / UCI Repository</w:t>
            </w:r>
          </w:p>
        </w:tc>
        <w:tc>
          <w:tcPr>
            <w:tcW w:type="pct" w:w="18%"/>
          </w:tcPr>
          <w:p>
            <w:hyperlink w:history="1" r:id="rIdgfxxff1anwhkko1aikqp4">
              <w:r>
                <w:rPr>
                  <w:rStyle w:val="Hyperlink"/>
                  <w:sz w:val="20"/>
                  <w:szCs w:val="20"/>
                </w:rPr>
                <w:t xml:space="preserve">Open dataset</w:t>
              </w:r>
            </w:hyperlink>
          </w:p>
        </w:tc>
      </w:tr>
      <w:tr>
        <w:tc>
          <w:tcPr>
            <w:tcW w:type="pct" w:w="24%"/>
          </w:tcPr>
          <w:p>
            <w:r>
              <w:rPr>
                <w:b w:val="false"/>
                <w:bCs w:val="false"/>
                <w:sz w:val="20"/>
                <w:szCs w:val="20"/>
              </w:rPr>
              <w:t xml:space="preserve">BUPA Liver Disorders</w:t>
            </w:r>
          </w:p>
        </w:tc>
        <w:tc>
          <w:tcPr>
            <w:tcW w:type="pct" w:w="26%"/>
          </w:tcPr>
          <w:p>
            <w:r>
              <w:rPr>
                <w:b w:val="false"/>
                <w:bCs w:val="false"/>
                <w:sz w:val="20"/>
                <w:szCs w:val="20"/>
              </w:rPr>
              <w:t xml:space="preserve">Tabular (7 biochemical features)</w:t>
            </w:r>
          </w:p>
        </w:tc>
        <w:tc>
          <w:tcPr>
            <w:tcW w:type="pct" w:w="20%"/>
          </w:tcPr>
          <w:p>
            <w:r>
              <w:rPr>
                <w:b w:val="false"/>
                <w:bCs w:val="false"/>
                <w:sz w:val="20"/>
                <w:szCs w:val="20"/>
              </w:rPr>
              <w:t xml:space="preserve">345 instances</w:t>
            </w:r>
          </w:p>
        </w:tc>
        <w:tc>
          <w:tcPr>
            <w:tcW w:type="pct" w:w="12%"/>
          </w:tcPr>
          <w:p>
            <w:r>
              <w:rPr>
                <w:b w:val="false"/>
                <w:bCs w:val="false"/>
                <w:sz w:val="20"/>
                <w:szCs w:val="20"/>
              </w:rPr>
              <w:t xml:space="preserve">Public / UCI Repository</w:t>
            </w:r>
          </w:p>
        </w:tc>
        <w:tc>
          <w:tcPr>
            <w:tcW w:type="pct" w:w="18%"/>
          </w:tcPr>
          <w:p>
            <w:hyperlink w:history="1" r:id="rId-zvjcx5xd_lfr9okksax-">
              <w:r>
                <w:rPr>
                  <w:rStyle w:val="Hyperlink"/>
                  <w:sz w:val="20"/>
                  <w:szCs w:val="20"/>
                </w:rPr>
                <w:t xml:space="preserve">Open dataset</w:t>
              </w:r>
            </w:hyperlink>
          </w:p>
        </w:tc>
      </w:tr>
      <w:tr>
        <w:tc>
          <w:tcPr>
            <w:tcW w:type="pct" w:w="24%"/>
          </w:tcPr>
          <w:p>
            <w:r>
              <w:rPr>
                <w:b w:val="false"/>
                <w:bCs w:val="false"/>
                <w:sz w:val="20"/>
                <w:szCs w:val="20"/>
              </w:rPr>
              <w:t xml:space="preserve">NAFLD Ultrasound + Clinical (primary, paired multimodal)</w:t>
            </w:r>
          </w:p>
        </w:tc>
        <w:tc>
          <w:tcPr>
            <w:tcW w:type="pct" w:w="26%"/>
          </w:tcPr>
          <w:p>
            <w:r>
              <w:rPr>
                <w:b w:val="false"/>
                <w:bCs w:val="false"/>
                <w:sz w:val="20"/>
                <w:szCs w:val="20"/>
              </w:rPr>
              <w:t xml:space="preserve">Paired ultrasound images + clinical tabular data</w:t>
            </w:r>
          </w:p>
        </w:tc>
        <w:tc>
          <w:tcPr>
            <w:tcW w:type="pct" w:w="20%"/>
          </w:tcPr>
          <w:p>
            <w:r>
              <w:rPr>
                <w:b w:val="false"/>
                <w:bCs w:val="false"/>
                <w:sz w:val="20"/>
                <w:szCs w:val="20"/>
              </w:rPr>
              <w:t xml:space="preserve">10,352 images / 384 patients</w:t>
            </w:r>
          </w:p>
        </w:tc>
        <w:tc>
          <w:tcPr>
            <w:tcW w:type="pct" w:w="12%"/>
          </w:tcPr>
          <w:p>
            <w:r>
              <w:rPr>
                <w:b w:val="false"/>
                <w:bCs w:val="false"/>
                <w:sz w:val="20"/>
                <w:szCs w:val="20"/>
              </w:rPr>
              <w:t xml:space="preserve">CC BY-NC-SA / Mendeley</w:t>
            </w:r>
          </w:p>
        </w:tc>
        <w:tc>
          <w:tcPr>
            <w:tcW w:type="pct" w:w="18%"/>
          </w:tcPr>
          <w:p>
            <w:hyperlink w:history="1" r:id="rIdi21xk5ng7kobm21lirboy">
              <w:r>
                <w:rPr>
                  <w:rStyle w:val="Hyperlink"/>
                  <w:sz w:val="20"/>
                  <w:szCs w:val="20"/>
                </w:rPr>
                <w:t xml:space="preserve">Open dataset</w:t>
              </w:r>
            </w:hyperlink>
          </w:p>
        </w:tc>
      </w:tr>
      <w:tr>
        <w:tc>
          <w:tcPr>
            <w:tcW w:type="pct" w:w="24%"/>
          </w:tcPr>
          <w:p>
            <w:r>
              <w:rPr>
                <w:b w:val="false"/>
                <w:bCs w:val="false"/>
                <w:sz w:val="20"/>
                <w:szCs w:val="20"/>
              </w:rPr>
              <w:t xml:space="preserve">LiTS (Liver Tumor Segmentation)</w:t>
            </w:r>
          </w:p>
        </w:tc>
        <w:tc>
          <w:tcPr>
            <w:tcW w:type="pct" w:w="26%"/>
          </w:tcPr>
          <w:p>
            <w:r>
              <w:rPr>
                <w:b w:val="false"/>
                <w:bCs w:val="false"/>
                <w:sz w:val="20"/>
                <w:szCs w:val="20"/>
              </w:rPr>
              <w:t xml:space="preserve">CT volumes + segmentation masks</w:t>
            </w:r>
          </w:p>
        </w:tc>
        <w:tc>
          <w:tcPr>
            <w:tcW w:type="pct" w:w="20%"/>
          </w:tcPr>
          <w:p>
            <w:r>
              <w:rPr>
                <w:b w:val="false"/>
                <w:bCs w:val="false"/>
                <w:sz w:val="20"/>
                <w:szCs w:val="20"/>
              </w:rPr>
              <w:t xml:space="preserve">201 CT scans (131 train, 70 test)</w:t>
            </w:r>
          </w:p>
        </w:tc>
        <w:tc>
          <w:tcPr>
            <w:tcW w:type="pct" w:w="12%"/>
          </w:tcPr>
          <w:p>
            <w:r>
              <w:rPr>
                <w:b w:val="false"/>
                <w:bCs w:val="false"/>
                <w:sz w:val="20"/>
                <w:szCs w:val="20"/>
              </w:rPr>
              <w:t xml:space="preserve">CC BY-NC-SA</w:t>
            </w:r>
          </w:p>
        </w:tc>
        <w:tc>
          <w:tcPr>
            <w:tcW w:type="pct" w:w="18%"/>
          </w:tcPr>
          <w:p>
            <w:hyperlink w:history="1" r:id="rId50hm-amnphesdk3a9z9uz">
              <w:r>
                <w:rPr>
                  <w:rStyle w:val="Hyperlink"/>
                  <w:sz w:val="20"/>
                  <w:szCs w:val="20"/>
                </w:rPr>
                <w:t xml:space="preserve">Open dataset</w:t>
              </w:r>
            </w:hyperlink>
          </w:p>
        </w:tc>
      </w:tr>
      <w:tr>
        <w:tc>
          <w:tcPr>
            <w:tcW w:type="pct" w:w="24%"/>
          </w:tcPr>
          <w:p>
            <w:r>
              <w:rPr>
                <w:b w:val="false"/>
                <w:bCs w:val="false"/>
                <w:sz w:val="20"/>
                <w:szCs w:val="20"/>
              </w:rPr>
              <w:t xml:space="preserve">Duke Liver Dataset (DLDS)</w:t>
            </w:r>
          </w:p>
        </w:tc>
        <w:tc>
          <w:tcPr>
            <w:tcW w:type="pct" w:w="26%"/>
          </w:tcPr>
          <w:p>
            <w:r>
              <w:rPr>
                <w:b w:val="false"/>
                <w:bCs w:val="false"/>
                <w:sz w:val="20"/>
                <w:szCs w:val="20"/>
              </w:rPr>
              <w:t xml:space="preserve">MRI series + liver segmentations</w:t>
            </w:r>
          </w:p>
        </w:tc>
        <w:tc>
          <w:tcPr>
            <w:tcW w:type="pct" w:w="20%"/>
          </w:tcPr>
          <w:p>
            <w:r>
              <w:rPr>
                <w:b w:val="false"/>
                <w:bCs w:val="false"/>
                <w:sz w:val="20"/>
                <w:szCs w:val="20"/>
              </w:rPr>
              <w:t xml:space="preserve">105 subjects, 2000+ series</w:t>
            </w:r>
          </w:p>
        </w:tc>
        <w:tc>
          <w:tcPr>
            <w:tcW w:type="pct" w:w="12%"/>
          </w:tcPr>
          <w:p>
            <w:r>
              <w:rPr>
                <w:b w:val="false"/>
                <w:bCs w:val="false"/>
                <w:sz w:val="20"/>
                <w:szCs w:val="20"/>
              </w:rPr>
              <w:t xml:space="preserve">CC-BY-NC-ND-4.0</w:t>
            </w:r>
          </w:p>
        </w:tc>
        <w:tc>
          <w:tcPr>
            <w:tcW w:type="pct" w:w="18%"/>
          </w:tcPr>
          <w:p>
            <w:hyperlink w:history="1" r:id="rIdxl1fctgl5-zniyqyj5nzk">
              <w:r>
                <w:rPr>
                  <w:rStyle w:val="Hyperlink"/>
                  <w:sz w:val="20"/>
                  <w:szCs w:val="20"/>
                </w:rPr>
                <w:t xml:space="preserve">Open dataset</w:t>
              </w:r>
            </w:hyperlink>
          </w:p>
        </w:tc>
      </w:tr>
    </w:tbl>
    <w:p>
      <w:pPr>
        <w:pStyle w:val="Heading2"/>
        <w:spacing w:after="100" w:before="220"/>
      </w:pPr>
      <w:r>
        <w:t xml:space="preserve">2.2 Newly added (verified during this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4%"/>
            <w:shd w:fill="D9D9D9" w:val="clear"/>
          </w:tcPr>
          <w:p>
            <w:r>
              <w:rPr>
                <w:b/>
                <w:bCs/>
                <w:sz w:val="20"/>
                <w:szCs w:val="20"/>
              </w:rPr>
              <w:t xml:space="preserve">Dataset</w:t>
            </w:r>
          </w:p>
        </w:tc>
        <w:tc>
          <w:tcPr>
            <w:tcW w:type="pct" w:w="26%"/>
            <w:shd w:fill="D9D9D9" w:val="clear"/>
          </w:tcPr>
          <w:p>
            <w:r>
              <w:rPr>
                <w:b/>
                <w:bCs/>
                <w:sz w:val="20"/>
                <w:szCs w:val="20"/>
              </w:rPr>
              <w:t xml:space="preserve">Type</w:t>
            </w:r>
          </w:p>
        </w:tc>
        <w:tc>
          <w:tcPr>
            <w:tcW w:type="pct" w:w="20%"/>
            <w:shd w:fill="D9D9D9" w:val="clear"/>
          </w:tcPr>
          <w:p>
            <w:r>
              <w:rPr>
                <w:b/>
                <w:bCs/>
                <w:sz w:val="20"/>
                <w:szCs w:val="20"/>
              </w:rPr>
              <w:t xml:space="preserve">Size</w:t>
            </w:r>
          </w:p>
        </w:tc>
        <w:tc>
          <w:tcPr>
            <w:tcW w:type="pct" w:w="12%"/>
            <w:shd w:fill="D9D9D9" w:val="clear"/>
          </w:tcPr>
          <w:p>
            <w:r>
              <w:rPr>
                <w:b/>
                <w:bCs/>
                <w:sz w:val="20"/>
                <w:szCs w:val="20"/>
              </w:rPr>
              <w:t xml:space="preserve">License</w:t>
            </w:r>
          </w:p>
        </w:tc>
        <w:tc>
          <w:tcPr>
            <w:tcW w:type="pct" w:w="18%"/>
            <w:shd w:fill="D9D9D9" w:val="clear"/>
          </w:tcPr>
          <w:p>
            <w:r>
              <w:rPr>
                <w:b/>
                <w:bCs/>
                <w:sz w:val="20"/>
                <w:szCs w:val="20"/>
              </w:rPr>
              <w:t xml:space="preserve">Link</w:t>
            </w:r>
          </w:p>
        </w:tc>
      </w:tr>
      <w:tr>
        <w:tc>
          <w:tcPr>
            <w:tcW w:type="pct" w:w="24%"/>
          </w:tcPr>
          <w:p>
            <w:r>
              <w:rPr>
                <w:b w:val="false"/>
                <w:bCs w:val="false"/>
                <w:sz w:val="20"/>
                <w:szCs w:val="20"/>
              </w:rPr>
              <w:t xml:space="preserve">HCC Survival Dataset</w:t>
            </w:r>
          </w:p>
        </w:tc>
        <w:tc>
          <w:tcPr>
            <w:tcW w:type="pct" w:w="26%"/>
          </w:tcPr>
          <w:p>
            <w:r>
              <w:rPr>
                <w:b w:val="false"/>
                <w:bCs w:val="false"/>
                <w:sz w:val="20"/>
                <w:szCs w:val="20"/>
              </w:rPr>
              <w:t xml:space="preserve">Tabular clinical (demographics, risk factors, labs, survival)</w:t>
            </w:r>
          </w:p>
        </w:tc>
        <w:tc>
          <w:tcPr>
            <w:tcW w:type="pct" w:w="20%"/>
          </w:tcPr>
          <w:p>
            <w:r>
              <w:rPr>
                <w:b w:val="false"/>
                <w:bCs w:val="false"/>
                <w:sz w:val="20"/>
                <w:szCs w:val="20"/>
              </w:rPr>
              <w:t xml:space="preserve">165 patients (Coimbra Hospital, Portugal)</w:t>
            </w:r>
          </w:p>
        </w:tc>
        <w:tc>
          <w:tcPr>
            <w:tcW w:type="pct" w:w="12%"/>
          </w:tcPr>
          <w:p>
            <w:r>
              <w:rPr>
                <w:b w:val="false"/>
                <w:bCs w:val="false"/>
                <w:sz w:val="20"/>
                <w:szCs w:val="20"/>
              </w:rPr>
              <w:t xml:space="preserve">CC BY 4.0 / UCI Repository</w:t>
            </w:r>
          </w:p>
        </w:tc>
        <w:tc>
          <w:tcPr>
            <w:tcW w:type="pct" w:w="18%"/>
          </w:tcPr>
          <w:p>
            <w:hyperlink w:history="1" r:id="rIdjd5trhygjlcja7-xxot2b">
              <w:r>
                <w:rPr>
                  <w:rStyle w:val="Hyperlink"/>
                  <w:sz w:val="20"/>
                  <w:szCs w:val="20"/>
                </w:rPr>
                <w:t xml:space="preserve">Open dataset</w:t>
              </w:r>
            </w:hyperlink>
          </w:p>
        </w:tc>
      </w:tr>
      <w:tr>
        <w:tc>
          <w:tcPr>
            <w:tcW w:type="pct" w:w="24%"/>
          </w:tcPr>
          <w:p>
            <w:r>
              <w:rPr>
                <w:b w:val="false"/>
                <w:bCs w:val="false"/>
                <w:sz w:val="20"/>
                <w:szCs w:val="20"/>
              </w:rPr>
              <w:t xml:space="preserve">Cirrhosis Prediction Dataset</w:t>
            </w:r>
          </w:p>
        </w:tc>
        <w:tc>
          <w:tcPr>
            <w:tcW w:type="pct" w:w="26%"/>
          </w:tcPr>
          <w:p>
            <w:r>
              <w:rPr>
                <w:b w:val="false"/>
                <w:bCs w:val="false"/>
                <w:sz w:val="20"/>
                <w:szCs w:val="20"/>
              </w:rPr>
              <w:t xml:space="preserve">Tabular clinical, 18 features (Mayo Clinic PBC trial-derived)</w:t>
            </w:r>
          </w:p>
        </w:tc>
        <w:tc>
          <w:tcPr>
            <w:tcW w:type="pct" w:w="20%"/>
          </w:tcPr>
          <w:p>
            <w:r>
              <w:rPr>
                <w:b w:val="false"/>
                <w:bCs w:val="false"/>
                <w:sz w:val="20"/>
                <w:szCs w:val="20"/>
              </w:rPr>
              <w:t xml:space="preserve">418 patients, staged cirrhosis labels</w:t>
            </w:r>
          </w:p>
        </w:tc>
        <w:tc>
          <w:tcPr>
            <w:tcW w:type="pct" w:w="12%"/>
          </w:tcPr>
          <w:p>
            <w:r>
              <w:rPr>
                <w:b w:val="false"/>
                <w:bCs w:val="false"/>
                <w:sz w:val="20"/>
                <w:szCs w:val="20"/>
              </w:rPr>
              <w:t xml:space="preserve">Public / Kaggle</w:t>
            </w:r>
          </w:p>
        </w:tc>
        <w:tc>
          <w:tcPr>
            <w:tcW w:type="pct" w:w="18%"/>
          </w:tcPr>
          <w:p>
            <w:hyperlink w:history="1" r:id="rIdjl0x-ujhhmp8pp7x04yl8">
              <w:r>
                <w:rPr>
                  <w:rStyle w:val="Hyperlink"/>
                  <w:sz w:val="20"/>
                  <w:szCs w:val="20"/>
                </w:rPr>
                <w:t xml:space="preserve">Open dataset</w:t>
              </w:r>
            </w:hyperlink>
          </w:p>
        </w:tc>
      </w:tr>
      <w:tr>
        <w:tc>
          <w:tcPr>
            <w:tcW w:type="pct" w:w="24%"/>
          </w:tcPr>
          <w:p>
            <w:r>
              <w:rPr>
                <w:b w:val="false"/>
                <w:bCs w:val="false"/>
                <w:sz w:val="20"/>
                <w:szCs w:val="20"/>
              </w:rPr>
              <w:t xml:space="preserve">MSD-Liver (Medical Segmentation Decathlon, Task 03)</w:t>
            </w:r>
          </w:p>
        </w:tc>
        <w:tc>
          <w:tcPr>
            <w:tcW w:type="pct" w:w="26%"/>
          </w:tcPr>
          <w:p>
            <w:r>
              <w:rPr>
                <w:b w:val="false"/>
                <w:bCs w:val="false"/>
                <w:sz w:val="20"/>
                <w:szCs w:val="20"/>
              </w:rPr>
              <w:t xml:space="preserve">CT volumes + voxel-level liver/tumor segmentation</w:t>
            </w:r>
          </w:p>
        </w:tc>
        <w:tc>
          <w:tcPr>
            <w:tcW w:type="pct" w:w="20%"/>
          </w:tcPr>
          <w:p>
            <w:r>
              <w:rPr>
                <w:b w:val="false"/>
                <w:bCs w:val="false"/>
                <w:sz w:val="20"/>
                <w:szCs w:val="20"/>
              </w:rPr>
              <w:t xml:space="preserve">131 labeled CT scans (subset of LiTS)</w:t>
            </w:r>
          </w:p>
        </w:tc>
        <w:tc>
          <w:tcPr>
            <w:tcW w:type="pct" w:w="12%"/>
          </w:tcPr>
          <w:p>
            <w:r>
              <w:rPr>
                <w:b w:val="false"/>
                <w:bCs w:val="false"/>
                <w:sz w:val="20"/>
                <w:szCs w:val="20"/>
              </w:rPr>
              <w:t xml:space="preserve">CC BY-SA / Medical Decathlon</w:t>
            </w:r>
          </w:p>
        </w:tc>
        <w:tc>
          <w:tcPr>
            <w:tcW w:type="pct" w:w="18%"/>
          </w:tcPr>
          <w:p>
            <w:hyperlink w:history="1" r:id="rIdaau0nqltgsdihz2poaw-v">
              <w:r>
                <w:rPr>
                  <w:rStyle w:val="Hyperlink"/>
                  <w:sz w:val="20"/>
                  <w:szCs w:val="20"/>
                </w:rPr>
                <w:t xml:space="preserve">Open dataset</w:t>
              </w:r>
            </w:hyperlink>
          </w:p>
        </w:tc>
      </w:tr>
    </w:tbl>
    <w:p>
      <w:pPr>
        <w:spacing w:after="120"/>
      </w:pPr>
      <w:r>
        <w:rPr>
          <w:i/>
          <w:iCs/>
        </w:rPr>
        <w:t xml:space="preserve">Suggested use: HCC Survival and Cirrhosis Prediction extend the tabular benchmark pool beyond ILPD/BUPA — useful for pre-training or sanity-checking the FT-Transformer tabular encoder in isolation before full multimodal pairing. MSD-Liver gives a second, independently-licensed source of segmented CT volumes alongside LiTS/Duke, useful if more imaging pre-training data is needed for SimCLR (Phase 2) beyond the primary NAFLD ultrasound set.</w:t>
      </w:r>
    </w:p>
    <w:p>
      <w:pPr>
        <w:spacing w:after="120"/>
      </w:pPr>
      <w:r>
        <w:t xml:space="preserve">Recommendation: use ILPD/BUPA/HCC-Survival/Cirrhosis-Prediction for tabular pipeline experiments and LiTS/Duke/MSD-Liver for imaging-only experiments. The primary paired multimodal experiments should use the NAFLD Ultrasound + Clinical dataset; where direct pairing is unavailable, disease-category stratified sampling can construct synthetic multimodal batches (a recognized academic practice when paired multimodal data is scarce).</w:t>
      </w:r>
    </w:p>
    <w:p>
      <w:pPr>
        <w:pStyle w:val="Heading1"/>
        <w:spacing w:after="150" w:before="300"/>
      </w:pPr>
      <w:r>
        <w:t xml:space="preserve">3. Literature Survey &amp; Technology Gap Analysis</w:t>
      </w:r>
    </w:p>
    <w:p>
      <w:pPr>
        <w:pStyle w:val="Heading2"/>
        <w:spacing w:after="100" w:before="220"/>
      </w:pPr>
      <w:r>
        <w:t xml:space="preserve">3.1 Existing State-of-the-Art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9D9D9" w:val="clear"/>
          </w:tcPr>
          <w:p>
            <w:r>
              <w:rPr>
                <w:b/>
                <w:bCs/>
                <w:sz w:val="20"/>
                <w:szCs w:val="20"/>
              </w:rPr>
              <w:t xml:space="preserve">Approach</w:t>
            </w:r>
          </w:p>
        </w:tc>
        <w:tc>
          <w:tcPr>
            <w:tcW w:type="pct" w:w="40%"/>
            <w:shd w:fill="D9D9D9" w:val="clear"/>
          </w:tcPr>
          <w:p>
            <w:r>
              <w:rPr>
                <w:b/>
                <w:bCs/>
                <w:sz w:val="20"/>
                <w:szCs w:val="20"/>
              </w:rPr>
              <w:t xml:space="preserve">Method</w:t>
            </w:r>
          </w:p>
        </w:tc>
        <w:tc>
          <w:tcPr>
            <w:tcW w:type="pct" w:w="38%"/>
            <w:shd w:fill="D9D9D9" w:val="clear"/>
          </w:tcPr>
          <w:p>
            <w:r>
              <w:rPr>
                <w:b/>
                <w:bCs/>
                <w:sz w:val="20"/>
                <w:szCs w:val="20"/>
              </w:rPr>
              <w:t xml:space="preserve">Limitation</w:t>
            </w:r>
          </w:p>
        </w:tc>
      </w:tr>
      <w:tr>
        <w:tc>
          <w:tcPr>
            <w:tcW w:type="pct" w:w="22%"/>
          </w:tcPr>
          <w:p>
            <w:r>
              <w:rPr>
                <w:b w:val="false"/>
                <w:bCs w:val="false"/>
                <w:sz w:val="20"/>
                <w:szCs w:val="20"/>
              </w:rPr>
              <w:t xml:space="preserve">XAIHO Framework (2025)</w:t>
            </w:r>
          </w:p>
        </w:tc>
        <w:tc>
          <w:tcPr>
            <w:tcW w:type="pct" w:w="40%"/>
          </w:tcPr>
          <w:p>
            <w:r>
              <w:rPr>
                <w:b w:val="false"/>
                <w:bCs w:val="false"/>
                <w:sz w:val="20"/>
                <w:szCs w:val="20"/>
              </w:rPr>
              <w:t xml:space="preserve">ResNet-50/VGG16 + SHAP for cirrhosis staging, 92.35% accuracy</w:t>
            </w:r>
          </w:p>
        </w:tc>
        <w:tc>
          <w:tcPr>
            <w:tcW w:type="pct" w:w="38%"/>
          </w:tcPr>
          <w:p>
            <w:r>
              <w:rPr>
                <w:b w:val="false"/>
                <w:bCs w:val="false"/>
                <w:sz w:val="20"/>
                <w:szCs w:val="20"/>
              </w:rPr>
              <w:t xml:space="preserve">Single modality only; explanations are post-hoc SHAP only, no counterfactual reasoning</w:t>
            </w:r>
          </w:p>
        </w:tc>
      </w:tr>
      <w:tr>
        <w:tc>
          <w:tcPr>
            <w:tcW w:type="pct" w:w="22%"/>
          </w:tcPr>
          <w:p>
            <w:r>
              <w:rPr>
                <w:b w:val="false"/>
                <w:bCs w:val="false"/>
                <w:sz w:val="20"/>
                <w:szCs w:val="20"/>
              </w:rPr>
              <w:t xml:space="preserve">Stacked Ensemble + MTL (2025)</w:t>
            </w:r>
          </w:p>
        </w:tc>
        <w:tc>
          <w:tcPr>
            <w:tcW w:type="pct" w:w="40%"/>
          </w:tcPr>
          <w:p>
            <w:r>
              <w:rPr>
                <w:b w:val="false"/>
                <w:bCs w:val="false"/>
                <w:sz w:val="20"/>
                <w:szCs w:val="20"/>
              </w:rPr>
              <w:t xml:space="preserve">Multi-task learning for cirrhosis diagnosis and staging</w:t>
            </w:r>
          </w:p>
        </w:tc>
        <w:tc>
          <w:tcPr>
            <w:tcW w:type="pct" w:w="38%"/>
          </w:tcPr>
          <w:p>
            <w:r>
              <w:rPr>
                <w:b w:val="false"/>
                <w:bCs w:val="false"/>
                <w:sz w:val="20"/>
                <w:szCs w:val="20"/>
              </w:rPr>
              <w:t xml:space="preserve">No self-supervised pre-training; shallow feature-concatenation fusion</w:t>
            </w:r>
          </w:p>
        </w:tc>
      </w:tr>
      <w:tr>
        <w:tc>
          <w:tcPr>
            <w:tcW w:type="pct" w:w="22%"/>
          </w:tcPr>
          <w:p>
            <w:r>
              <w:rPr>
                <w:b w:val="false"/>
                <w:bCs w:val="false"/>
                <w:sz w:val="20"/>
                <w:szCs w:val="20"/>
              </w:rPr>
              <w:t xml:space="preserve">BiLSTM-AM-VMD (2025)</w:t>
            </w:r>
          </w:p>
        </w:tc>
        <w:tc>
          <w:tcPr>
            <w:tcW w:type="pct" w:w="40%"/>
          </w:tcPr>
          <w:p>
            <w:r>
              <w:rPr>
                <w:b w:val="false"/>
                <w:bCs w:val="false"/>
                <w:sz w:val="20"/>
                <w:szCs w:val="20"/>
              </w:rPr>
              <w:t xml:space="preserve">Multimodal BiLSTM with attention, AUC 0.963</w:t>
            </w:r>
          </w:p>
        </w:tc>
        <w:tc>
          <w:tcPr>
            <w:tcW w:type="pct" w:w="38%"/>
          </w:tcPr>
          <w:p>
            <w:r>
              <w:rPr>
                <w:b w:val="false"/>
                <w:bCs w:val="false"/>
                <w:sz w:val="20"/>
                <w:szCs w:val="20"/>
              </w:rPr>
              <w:t xml:space="preserve">Sequential concatenation, not true cross-modal attention; no uncertainty quantification</w:t>
            </w:r>
          </w:p>
        </w:tc>
      </w:tr>
      <w:tr>
        <w:tc>
          <w:tcPr>
            <w:tcW w:type="pct" w:w="22%"/>
          </w:tcPr>
          <w:p>
            <w:r>
              <w:rPr>
                <w:b w:val="false"/>
                <w:bCs w:val="false"/>
                <w:sz w:val="20"/>
                <w:szCs w:val="20"/>
              </w:rPr>
              <w:t xml:space="preserve">NMD-FusionNet (2025)</w:t>
            </w:r>
          </w:p>
        </w:tc>
        <w:tc>
          <w:tcPr>
            <w:tcW w:type="pct" w:w="40%"/>
          </w:tcPr>
          <w:p>
            <w:r>
              <w:rPr>
                <w:b w:val="false"/>
                <w:bCs w:val="false"/>
                <w:sz w:val="20"/>
                <w:szCs w:val="20"/>
              </w:rPr>
              <w:t xml:space="preserve">Multi-modal fusion for liver cancer segmentation</w:t>
            </w:r>
          </w:p>
        </w:tc>
        <w:tc>
          <w:tcPr>
            <w:tcW w:type="pct" w:w="38%"/>
          </w:tcPr>
          <w:p>
            <w:r>
              <w:rPr>
                <w:b w:val="false"/>
                <w:bCs w:val="false"/>
                <w:sz w:val="20"/>
                <w:szCs w:val="20"/>
              </w:rPr>
              <w:t xml:space="preserve">Segmentation only; no tabular clinical integration</w:t>
            </w:r>
          </w:p>
        </w:tc>
      </w:tr>
      <w:tr>
        <w:tc>
          <w:tcPr>
            <w:tcW w:type="pct" w:w="22%"/>
          </w:tcPr>
          <w:p>
            <w:r>
              <w:rPr>
                <w:b w:val="false"/>
                <w:bCs w:val="false"/>
                <w:sz w:val="20"/>
                <w:szCs w:val="20"/>
              </w:rPr>
              <w:t xml:space="preserve">Self-Supervised SNN (2025)</w:t>
            </w:r>
          </w:p>
        </w:tc>
        <w:tc>
          <w:tcPr>
            <w:tcW w:type="pct" w:w="40%"/>
          </w:tcPr>
          <w:p>
            <w:r>
              <w:rPr>
                <w:b w:val="false"/>
                <w:bCs w:val="false"/>
                <w:sz w:val="20"/>
                <w:szCs w:val="20"/>
              </w:rPr>
              <w:t xml:space="preserve">Siamese contrastive learning, fatty liver ultrasound, 99.90% accuracy</w:t>
            </w:r>
          </w:p>
        </w:tc>
        <w:tc>
          <w:tcPr>
            <w:tcW w:type="pct" w:w="38%"/>
          </w:tcPr>
          <w:p>
            <w:r>
              <w:rPr>
                <w:b w:val="false"/>
                <w:bCs w:val="false"/>
                <w:sz w:val="20"/>
                <w:szCs w:val="20"/>
              </w:rPr>
              <w:t xml:space="preserve">Single modality (ultrasound only); no tabular fusion</w:t>
            </w:r>
          </w:p>
        </w:tc>
      </w:tr>
      <w:tr>
        <w:tc>
          <w:tcPr>
            <w:tcW w:type="pct" w:w="22%"/>
          </w:tcPr>
          <w:p>
            <w:r>
              <w:rPr>
                <w:b w:val="false"/>
                <w:bCs w:val="false"/>
                <w:sz w:val="20"/>
                <w:szCs w:val="20"/>
              </w:rPr>
              <w:t xml:space="preserve">FL-XAI (2025)</w:t>
            </w:r>
          </w:p>
        </w:tc>
        <w:tc>
          <w:tcPr>
            <w:tcW w:type="pct" w:w="40%"/>
          </w:tcPr>
          <w:p>
            <w:r>
              <w:rPr>
                <w:b w:val="false"/>
                <w:bCs w:val="false"/>
                <w:sz w:val="20"/>
                <w:szCs w:val="20"/>
              </w:rPr>
              <w:t xml:space="preserve">Federated learning + XAI, privacy-preserving</w:t>
            </w:r>
          </w:p>
        </w:tc>
        <w:tc>
          <w:tcPr>
            <w:tcW w:type="pct" w:w="38%"/>
          </w:tcPr>
          <w:p>
            <w:r>
              <w:rPr>
                <w:b w:val="false"/>
                <w:bCs w:val="false"/>
                <w:sz w:val="20"/>
                <w:szCs w:val="20"/>
              </w:rPr>
              <w:t xml:space="preserve">Ensemble ML only (RF/XGBoost), no deep hybrid architecture, no imaging</w:t>
            </w:r>
          </w:p>
        </w:tc>
      </w:tr>
    </w:tbl>
    <w:p>
      <w:pPr>
        <w:pStyle w:val="Heading2"/>
        <w:spacing w:after="100" w:before="220"/>
      </w:pPr>
      <w:r>
        <w:t xml:space="preserve">3.2 Identified Research Gaps (Original Novelty Claim)</w:t>
      </w:r>
    </w:p>
    <w:p>
      <w:pPr>
        <w:spacing w:after="120"/>
      </w:pPr>
      <w:r>
        <w:t xml:space="preserve">Based on the literature reviewed, the following had NOT been implemented together in any liver disease prediction system at the time of the original framework:</w:t>
      </w:r>
    </w:p>
    <w:p>
      <w:pPr>
        <w:pStyle w:val="ListParagraph"/>
        <w:numPr>
          <w:ilvl w:val="0"/>
          <w:numId w:val="1"/>
        </w:numPr>
        <w:spacing w:after="70"/>
      </w:pPr>
      <w:r>
        <w:t xml:space="preserve">Contrastive self-supervised pre-training + cross-modal fusion (image encoder pre-trained via SimCLR/MoCo, then fused with a tabular transformer via bidirectional cross-attention).</w:t>
      </w:r>
    </w:p>
    <w:p>
      <w:pPr>
        <w:pStyle w:val="ListParagraph"/>
        <w:numPr>
          <w:ilvl w:val="0"/>
          <w:numId w:val="1"/>
        </w:numPr>
        <w:spacing w:after="70"/>
      </w:pPr>
      <w:r>
        <w:t xml:space="preserve">Counterfactual explainable AI in liver prediction (most works use SHAP/Grad-CAM only, not actionable counterfactuals).</w:t>
      </w:r>
    </w:p>
    <w:p>
      <w:pPr>
        <w:pStyle w:val="ListParagraph"/>
        <w:numPr>
          <w:ilvl w:val="0"/>
          <w:numId w:val="1"/>
        </w:numPr>
        <w:spacing w:after="70"/>
      </w:pPr>
      <w:r>
        <w:t xml:space="preserve">Multi-task learning with uncertainty quantification (joint detection + staging + severity with Monte Carlo Dropout, in one architecture).</w:t>
      </w:r>
    </w:p>
    <w:p>
      <w:pPr>
        <w:pStyle w:val="ListParagraph"/>
        <w:numPr>
          <w:ilvl w:val="0"/>
          <w:numId w:val="1"/>
        </w:numPr>
        <w:spacing w:after="70"/>
      </w:pPr>
      <w:r>
        <w:t xml:space="preserve">Tabular transformer (FT-Transformer) + vision hybrid fused via cross-attention, specifically for hepatology.</w:t>
      </w:r>
    </w:p>
    <w:p>
      <w:pPr>
        <w:spacing w:after="120"/>
      </w:pPr>
      <w:r>
        <w:rPr>
          <w:i/>
          <w:iCs/>
        </w:rPr>
        <w:t xml:space="preserve">This document's Section 6 narrows and updates these claims after further literature verification conducted during development — read Section 6 before finalizing the report's contributions section.</w:t>
      </w:r>
    </w:p>
    <w:p>
      <w:pPr>
        <w:pStyle w:val="Heading1"/>
        <w:spacing w:after="150" w:before="300"/>
      </w:pPr>
      <w:r>
        <w:t xml:space="preserve">4. System Architecture: CMCHT-XAI</w:t>
      </w:r>
    </w:p>
    <w:p>
      <w:pPr>
        <w:spacing w:after="120"/>
      </w:pPr>
      <w:r>
        <w:t xml:space="preserve">Cross-Modal Contrastive Hybrid Transformer with Counterfactual Explainable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D9D9" w:val="clear"/>
          </w:tcPr>
          <w:p>
            <w:r>
              <w:rPr>
                <w:b/>
                <w:bCs/>
                <w:sz w:val="20"/>
                <w:szCs w:val="20"/>
              </w:rPr>
              <w:t xml:space="preserve">Stage</w:t>
            </w:r>
          </w:p>
        </w:tc>
        <w:tc>
          <w:tcPr>
            <w:tcW w:type="pct" w:w="70%"/>
            <w:shd w:fill="D9D9D9" w:val="clear"/>
          </w:tcPr>
          <w:p>
            <w:r>
              <w:rPr>
                <w:b/>
                <w:bCs/>
                <w:sz w:val="20"/>
                <w:szCs w:val="20"/>
              </w:rPr>
              <w:t xml:space="preserve">Component</w:t>
            </w:r>
          </w:p>
        </w:tc>
      </w:tr>
      <w:tr>
        <w:tc>
          <w:tcPr>
            <w:tcW w:type="pct" w:w="30%"/>
          </w:tcPr>
          <w:p>
            <w:r>
              <w:rPr>
                <w:b w:val="false"/>
                <w:bCs w:val="false"/>
                <w:sz w:val="20"/>
                <w:szCs w:val="20"/>
              </w:rPr>
              <w:t xml:space="preserve">Input layer</w:t>
            </w:r>
          </w:p>
        </w:tc>
        <w:tc>
          <w:tcPr>
            <w:tcW w:type="pct" w:w="70%"/>
          </w:tcPr>
          <w:p>
            <w:r>
              <w:rPr>
                <w:b w:val="false"/>
                <w:bCs w:val="false"/>
                <w:sz w:val="20"/>
                <w:szCs w:val="20"/>
              </w:rPr>
              <w:t xml:space="preserve">Liver ultrasound/CT/MRI image and clinical tabular data (bilirubin, albumin, SGOT, age, gender, platelets, etc.)</w:t>
            </w:r>
          </w:p>
        </w:tc>
      </w:tr>
      <w:tr>
        <w:tc>
          <w:tcPr>
            <w:tcW w:type="pct" w:w="30%"/>
          </w:tcPr>
          <w:p>
            <w:r>
              <w:rPr>
                <w:b w:val="false"/>
                <w:bCs w:val="false"/>
                <w:sz w:val="20"/>
                <w:szCs w:val="20"/>
              </w:rPr>
              <w:t xml:space="preserve">Imaging encoder</w:t>
            </w:r>
          </w:p>
        </w:tc>
        <w:tc>
          <w:tcPr>
            <w:tcW w:type="pct" w:w="70%"/>
          </w:tcPr>
          <w:p>
            <w:r>
              <w:rPr>
                <w:b w:val="false"/>
                <w:bCs w:val="false"/>
                <w:sz w:val="20"/>
                <w:szCs w:val="20"/>
              </w:rPr>
              <w:t xml:space="preserve">Swin-Transformer + CNN hybrid backbone, pre-trained via SimCLR on unlabeled liver images</w:t>
            </w:r>
          </w:p>
        </w:tc>
      </w:tr>
      <w:tr>
        <w:tc>
          <w:tcPr>
            <w:tcW w:type="pct" w:w="30%"/>
          </w:tcPr>
          <w:p>
            <w:r>
              <w:rPr>
                <w:b w:val="false"/>
                <w:bCs w:val="false"/>
                <w:sz w:val="20"/>
                <w:szCs w:val="20"/>
              </w:rPr>
              <w:t xml:space="preserve">Tabular encoder</w:t>
            </w:r>
          </w:p>
        </w:tc>
        <w:tc>
          <w:tcPr>
            <w:tcW w:type="pct" w:w="70%"/>
          </w:tcPr>
          <w:p>
            <w:r>
              <w:rPr>
                <w:b w:val="false"/>
                <w:bCs w:val="false"/>
                <w:sz w:val="20"/>
                <w:szCs w:val="20"/>
              </w:rPr>
              <w:t xml:space="preserve">FT-Transformer (Feature Tokenizer Transformer) with self-attention over clinical features</w:t>
            </w:r>
          </w:p>
        </w:tc>
      </w:tr>
      <w:tr>
        <w:tc>
          <w:tcPr>
            <w:tcW w:type="pct" w:w="30%"/>
          </w:tcPr>
          <w:p>
            <w:r>
              <w:rPr>
                <w:b w:val="false"/>
                <w:bCs w:val="false"/>
                <w:sz w:val="20"/>
                <w:szCs w:val="20"/>
              </w:rPr>
              <w:t xml:space="preserve">Fusion layer (Contribution 1)</w:t>
            </w:r>
          </w:p>
        </w:tc>
        <w:tc>
          <w:tcPr>
            <w:tcW w:type="pct" w:w="70%"/>
          </w:tcPr>
          <w:p>
            <w:r>
              <w:rPr>
                <w:b w:val="false"/>
                <w:bCs w:val="false"/>
                <w:sz w:val="20"/>
                <w:szCs w:val="20"/>
              </w:rPr>
              <w:t xml:space="preserve">CSG-Fusion — counterfactual-sensitivity-gated cross-modal attention</w:t>
            </w:r>
          </w:p>
        </w:tc>
      </w:tr>
      <w:tr>
        <w:tc>
          <w:tcPr>
            <w:tcW w:type="pct" w:w="30%"/>
          </w:tcPr>
          <w:p>
            <w:r>
              <w:rPr>
                <w:b w:val="false"/>
                <w:bCs w:val="false"/>
                <w:sz w:val="20"/>
                <w:szCs w:val="20"/>
              </w:rPr>
              <w:t xml:space="preserve">Multi-task heads (Contribution 2)</w:t>
            </w:r>
          </w:p>
        </w:tc>
        <w:tc>
          <w:tcPr>
            <w:tcW w:type="pct" w:w="70%"/>
          </w:tcPr>
          <w:p>
            <w:r>
              <w:rPr>
                <w:b w:val="false"/>
                <w:bCs w:val="false"/>
                <w:sz w:val="20"/>
                <w:szCs w:val="20"/>
              </w:rPr>
              <w:t xml:space="preserve">CUSP-Cascade — clinically-ordered cascade (detect → stage → severity) with uncertainty + sensitivity propagation</w:t>
            </w:r>
          </w:p>
        </w:tc>
      </w:tr>
      <w:tr>
        <w:tc>
          <w:tcPr>
            <w:tcW w:type="pct" w:w="30%"/>
          </w:tcPr>
          <w:p>
            <w:r>
              <w:rPr>
                <w:b w:val="false"/>
                <w:bCs w:val="false"/>
                <w:sz w:val="20"/>
                <w:szCs w:val="20"/>
              </w:rPr>
              <w:t xml:space="preserve">Training algorithm (Contribution 3)</w:t>
            </w:r>
          </w:p>
        </w:tc>
        <w:tc>
          <w:tcPr>
            <w:tcW w:type="pct" w:w="70%"/>
          </w:tcPr>
          <w:p>
            <w:r>
              <w:rPr>
                <w:b w:val="false"/>
                <w:bCs w:val="false"/>
                <w:sz w:val="20"/>
                <w:szCs w:val="20"/>
              </w:rPr>
              <w:t xml:space="preserve">CGCT — confidence-gated cascade training</w:t>
            </w:r>
          </w:p>
        </w:tc>
      </w:tr>
      <w:tr>
        <w:tc>
          <w:tcPr>
            <w:tcW w:type="pct" w:w="30%"/>
          </w:tcPr>
          <w:p>
            <w:r>
              <w:rPr>
                <w:b w:val="false"/>
                <w:bCs w:val="false"/>
                <w:sz w:val="20"/>
                <w:szCs w:val="20"/>
              </w:rPr>
              <w:t xml:space="preserve">Explainability layer</w:t>
            </w:r>
          </w:p>
        </w:tc>
        <w:tc>
          <w:tcPr>
            <w:tcW w:type="pct" w:w="70%"/>
          </w:tcPr>
          <w:p>
            <w:r>
              <w:rPr>
                <w:b w:val="false"/>
                <w:bCs w:val="false"/>
                <w:sz w:val="20"/>
                <w:szCs w:val="20"/>
              </w:rPr>
              <w:t xml:space="preserve">SHAP (tabular), Grad-CAM (imaging), DiCE counterfactuals, Monte Carlo Dropout uncertainty</w:t>
            </w:r>
          </w:p>
        </w:tc>
      </w:tr>
    </w:tbl>
    <w:p>
      <w:pPr>
        <w:pStyle w:val="Heading1"/>
        <w:spacing w:after="150" w:before="300"/>
      </w:pPr>
      <w:r>
        <w:t xml:space="preserve">5. The Three Algorithmic Contributions</w:t>
      </w:r>
    </w:p>
    <w:p>
      <w:pPr>
        <w:spacing w:after="120"/>
      </w:pPr>
      <w:r>
        <w:t xml:space="preserve">Each contribution below was only added after a literature search specifically targeting that mechanism. All three are implemented and unit-tested with synthetic data (see Section 9); none have yet been trained on real liver data, since that depends on the still-unimplemented encoder modules (see Section 8).</w:t>
      </w:r>
    </w:p>
    <w:p>
      <w:pPr>
        <w:pStyle w:val="Heading2"/>
        <w:spacing w:after="100" w:before="220"/>
      </w:pPr>
      <w:r>
        <w:t xml:space="preserve">5.1 Contribution 1 — CSG-Fusion (Counterfactual-Sensitivity-Gated Fusion)</w:t>
      </w:r>
    </w:p>
    <w:p>
      <w:pPr>
        <w:spacing w:after="120"/>
      </w:pPr>
      <w:r>
        <w:t xml:space="preserve">File: src/models/csg_fusion.py</w:t>
      </w:r>
    </w:p>
    <w:p>
      <w:pPr>
        <w:spacing w:after="120"/>
      </w:pPr>
      <w:r>
        <w:t xml:space="preserve">Mechanism: runs a cheap, differentiable counterfactual probe during every forward pass — perturbing tabular features and measuring the resulting prediction shift — and uses that sensitivity signal, combined with per-modality Monte Carlo Dropout uncertainty, to gate the cross-modal attention fusion. A counterfactual consistency loss during training keeps the model's sensitivity aligned with clinically meaningful features (bilirubin, albumin, SGOT).</w:t>
      </w:r>
    </w:p>
    <w:p>
      <w:pPr>
        <w:spacing w:after="120"/>
      </w:pPr>
      <w:r>
        <w:rPr>
          <w:i/>
          <w:iCs/>
        </w:rPr>
        <w:t xml:space="preserve">Literature checked: counterfactual-guided attention exists for unimodal fine-grained image recognition; uncertainty-gated image+tabular fusion exists for other diseases (chest X-ray, bone health). The combination of both signals gating fusion for image+tabular liver disease prediction was not found in either search pass.</w:t>
      </w:r>
    </w:p>
    <w:p>
      <w:pPr>
        <w:pStyle w:val="Heading2"/>
        <w:spacing w:after="100" w:before="220"/>
      </w:pPr>
      <w:r>
        <w:t xml:space="preserve">5.2 Contribution 2 — CUSP-Cascade (Cascaded Uncertainty-and-Sensitivity Propagation)</w:t>
      </w:r>
    </w:p>
    <w:p>
      <w:pPr>
        <w:spacing w:after="120"/>
      </w:pPr>
      <w:r>
        <w:t xml:space="preserve">File: src/models/cascade_heads.py</w:t>
      </w:r>
    </w:p>
    <w:p>
      <w:pPr>
        <w:spacing w:after="120"/>
      </w:pPr>
      <w:r>
        <w:t xml:space="preserve">Mechanism: replaces three independent task heads with a clinically-ordered cascade (detect → stage → assess severity). Each head passes forward its own epistemic uncertainty and the counterfactual sensitivity vector from CSG-Fusion to the next head.</w:t>
      </w:r>
    </w:p>
    <w:p>
      <w:pPr>
        <w:spacing w:after="120"/>
      </w:pPr>
      <w:r>
        <w:rPr>
          <w:i/>
          <w:iCs/>
        </w:rPr>
        <w:t xml:space="preserve">Literature checked: clinically-ordered cascaded multi-task heads exist already (bone disease, GI lesions, COVID/pneumonia, dementia staging); uncertainty propagation through cascaded medical pipelines exists already (MRI reconstruction cascades). Jointly propagating both uncertainty and counterfactual sensitivity through a clinically-ordered cascade built on a gated fusion layer was not found in either search pass.</w:t>
      </w:r>
    </w:p>
    <w:p>
      <w:pPr>
        <w:pStyle w:val="Heading3"/>
        <w:spacing w:after="80" w:before="160"/>
      </w:pPr>
      <w:r>
        <w:t xml:space="preserve">Architecture analysis</w:t>
      </w:r>
    </w:p>
    <w:p>
      <w:pPr>
        <w:pStyle w:val="ListParagraph"/>
        <w:numPr>
          <w:ilvl w:val="0"/>
          <w:numId w:val="1"/>
        </w:numPr>
        <w:spacing w:after="70"/>
      </w:pPr>
      <w:r>
        <w:t xml:space="preserve">Expected benefit (hypothesis, not guaranteed): error containment — downstream heads can hedge when upstream confidence is low; tighter agreement between internal reasoning and post-hoc explanations.</w:t>
      </w:r>
    </w:p>
    <w:p>
      <w:pPr>
        <w:pStyle w:val="ListParagraph"/>
        <w:numPr>
          <w:ilvl w:val="0"/>
          <w:numId w:val="1"/>
        </w:numPr>
        <w:spacing w:after="70"/>
      </w:pPr>
      <w:r>
        <w:t xml:space="preserve">Known risk: cascade error propagation if the detection head is wrong early in training. Addressed directly by Contribution 3.</w:t>
      </w:r>
    </w:p>
    <w:p>
      <w:pPr>
        <w:pStyle w:val="ListParagraph"/>
        <w:numPr>
          <w:ilvl w:val="0"/>
          <w:numId w:val="1"/>
        </w:numPr>
        <w:spacing w:after="70"/>
      </w:pPr>
      <w:r>
        <w:t xml:space="preserve">Cost: wider head inputs and multi-pass training-time uncertainty estimation roughly triple each head's forward cost — small relative to the imaging encoder, but must be reported honestly.</w:t>
      </w:r>
    </w:p>
    <w:p>
      <w:pPr>
        <w:pStyle w:val="Heading2"/>
        <w:spacing w:after="100" w:before="220"/>
      </w:pPr>
      <w:r>
        <w:t xml:space="preserve">5.3 Contribution 3 — CGCT (Confidence-Gated Cascade Training)</w:t>
      </w:r>
    </w:p>
    <w:p>
      <w:pPr>
        <w:spacing w:after="120"/>
      </w:pPr>
      <w:r>
        <w:t xml:space="preserve">File: src/training/confidence_gated_training.py</w:t>
      </w:r>
    </w:p>
    <w:p>
      <w:pPr>
        <w:spacing w:after="120"/>
      </w:pPr>
      <w:r>
        <w:t xml:space="preserve">Mechanism: a training algorithm, not an architecture. Decides, per sample, whether CUSP-Cascade conditions the next stage on its own upstream prediction or on ground truth, based on the upstream head's own uncertainty, with a decaying global schedule.</w:t>
      </w:r>
    </w:p>
    <w:p>
      <w:pPr>
        <w:spacing w:after="120"/>
      </w:pPr>
      <w:r>
        <w:rPr>
          <w:i/>
          <w:iCs/>
        </w:rPr>
        <w:t xml:space="preserve">Honest lineage — state exactly this in the report: this is a direct adaptation of Confidence-Aware Scheduled Sampling (Liu et al., 2021, Neural Machine Translation), which already uses model confidence to choose between ground truth and self-prediction during training. That mechanism was built for autoregressive token-by-token decoding. What is new here is applying it to a non-autoregressive, heterogeneous multi-task clinical cascade (binary → multi-class → regression) instead of sequence decoding — that combination was not found in any search pass run for this project.</w:t>
      </w:r>
    </w:p>
    <w:p>
      <w:pPr>
        <w:pStyle w:val="Heading1"/>
        <w:spacing w:after="150" w:before="300"/>
      </w:pPr>
      <w:r>
        <w:t xml:space="preserve">6. How to State the Novelty Claim</w:t>
      </w:r>
    </w:p>
    <w:p>
      <w:pPr>
        <w:spacing w:after="120"/>
      </w:pPr>
      <w:r>
        <w:t xml:space="preserve">Use wording close to this in the report's contributions section:</w:t>
      </w:r>
    </w:p>
    <w:p>
      <w:pPr>
        <w:spacing w:after="120"/>
      </w:pPr>
      <w:r>
        <w:t xml:space="preserve">"We propose a system combining three contributions: (1) CSG-Fusion, the first application of counterfactual-sensitivity-gated, uncertainty-aware cross-modal fusion to multimodal liver disease prediction; (2) CUSP-Cascade, which extends clinically-ordered multi-task cascades by jointly propagating epistemic uncertainty and counterfactual feature sensitivity between stages; and (3) Confidence-Gated Cascade Training, an adaptation of confidence-aware scheduled sampling (Liu et al. 2021) from autoregressive sequence decoding to heterogeneous multi-task clinical cascades."</w:t>
      </w:r>
    </w:p>
    <w:p>
      <w:pPr>
        <w:spacing w:after="120"/>
      </w:pPr>
      <w:r>
        <w:rPr>
          <w:i/>
          <w:iCs/>
        </w:rPr>
        <w:t xml:space="preserve">Do not claim unqualified world-first novelty for any single mechanism in isolation — every individual building block has prior art outside this specific application. The defensible claim is the specific combination, applied to this specific problem. Run one more targeted search before final submission; this is a fast-moving research area.</w:t>
      </w:r>
    </w:p>
    <w:p>
      <w:pPr>
        <w:pStyle w:val="Heading1"/>
        <w:spacing w:after="150" w:before="300"/>
      </w:pPr>
      <w:r>
        <w:t xml:space="preserve">7. Weaknesses Found and Fixed (Self-Review)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9D9D9" w:val="clear"/>
          </w:tcPr>
          <w:p>
            <w:r>
              <w:rPr>
                <w:b/>
                <w:bCs/>
                <w:sz w:val="20"/>
                <w:szCs w:val="20"/>
              </w:rPr>
              <w:t xml:space="preserve">#</w:t>
            </w:r>
          </w:p>
        </w:tc>
        <w:tc>
          <w:tcPr>
            <w:tcW w:type="pct" w:w="42%"/>
            <w:shd w:fill="D9D9D9" w:val="clear"/>
          </w:tcPr>
          <w:p>
            <w:r>
              <w:rPr>
                <w:b/>
                <w:bCs/>
                <w:sz w:val="20"/>
                <w:szCs w:val="20"/>
              </w:rPr>
              <w:t xml:space="preserve">Weakness</w:t>
            </w:r>
          </w:p>
        </w:tc>
        <w:tc>
          <w:tcPr>
            <w:tcW w:type="pct" w:w="20%"/>
            <w:shd w:fill="D9D9D9" w:val="clear"/>
          </w:tcPr>
          <w:p>
            <w:r>
              <w:rPr>
                <w:b/>
                <w:bCs/>
                <w:sz w:val="20"/>
                <w:szCs w:val="20"/>
              </w:rPr>
              <w:t xml:space="preserve">Location</w:t>
            </w:r>
          </w:p>
        </w:tc>
        <w:tc>
          <w:tcPr>
            <w:tcW w:type="pct" w:w="30%"/>
            <w:shd w:fill="D9D9D9" w:val="clear"/>
          </w:tcPr>
          <w:p>
            <w:r>
              <w:rPr>
                <w:b/>
                <w:bCs/>
                <w:sz w:val="20"/>
                <w:szCs w:val="20"/>
              </w:rPr>
              <w:t xml:space="preserve">Fix</w:t>
            </w:r>
          </w:p>
        </w:tc>
      </w:tr>
      <w:tr>
        <w:tc>
          <w:tcPr>
            <w:tcW w:type="pct" w:w="8%"/>
          </w:tcPr>
          <w:p>
            <w:r>
              <w:rPr>
                <w:b w:val="false"/>
                <w:bCs w:val="false"/>
                <w:sz w:val="20"/>
                <w:szCs w:val="20"/>
              </w:rPr>
              <w:t xml:space="preserve">1</w:t>
            </w:r>
          </w:p>
        </w:tc>
        <w:tc>
          <w:tcPr>
            <w:tcW w:type="pct" w:w="42%"/>
          </w:tcPr>
          <w:p>
            <w:r>
              <w:rPr>
                <w:b w:val="false"/>
                <w:bCs w:val="false"/>
                <w:sz w:val="20"/>
                <w:szCs w:val="20"/>
              </w:rPr>
              <w:t xml:space="preserve">_quick_mc_uncertainty raised NotImplementedError — the default fusion path could never run end-to-end.</w:t>
            </w:r>
          </w:p>
        </w:tc>
        <w:tc>
          <w:tcPr>
            <w:tcW w:type="pct" w:w="20%"/>
          </w:tcPr>
          <w:p>
            <w:r>
              <w:rPr>
                <w:b w:val="false"/>
                <w:bCs w:val="false"/>
                <w:sz w:val="20"/>
                <w:szCs w:val="20"/>
              </w:rPr>
              <w:t xml:space="preserve">cmcht_model.py</w:t>
            </w:r>
          </w:p>
        </w:tc>
        <w:tc>
          <w:tcPr>
            <w:tcW w:type="pct" w:w="30%"/>
          </w:tcPr>
          <w:p>
            <w:r>
              <w:rPr>
                <w:b w:val="false"/>
                <w:bCs w:val="false"/>
                <w:sz w:val="20"/>
                <w:szCs w:val="20"/>
              </w:rPr>
              <w:t xml:space="preserve">Implemented: forces dropout active, runs N stochastic passes, returns per-sample variance.</w:t>
            </w:r>
          </w:p>
        </w:tc>
      </w:tr>
      <w:tr>
        <w:tc>
          <w:tcPr>
            <w:tcW w:type="pct" w:w="8%"/>
          </w:tcPr>
          <w:p>
            <w:r>
              <w:rPr>
                <w:b w:val="false"/>
                <w:bCs w:val="false"/>
                <w:sz w:val="20"/>
                <w:szCs w:val="20"/>
              </w:rPr>
              <w:t xml:space="preserve">2</w:t>
            </w:r>
          </w:p>
        </w:tc>
        <w:tc>
          <w:tcPr>
            <w:tcW w:type="pct" w:w="42%"/>
          </w:tcPr>
          <w:p>
            <w:r>
              <w:rPr>
                <w:b w:val="false"/>
                <w:bCs w:val="false"/>
                <w:sz w:val="20"/>
                <w:szCs w:val="20"/>
              </w:rPr>
              <w:t xml:space="preserve">Training-time uncertainty estimated from a single pair of stochastic passes — high-variance, ~1 degree of freedom, unreliable.</w:t>
            </w:r>
          </w:p>
        </w:tc>
        <w:tc>
          <w:tcPr>
            <w:tcW w:type="pct" w:w="20%"/>
          </w:tcPr>
          <w:p>
            <w:r>
              <w:rPr>
                <w:b w:val="false"/>
                <w:bCs w:val="false"/>
                <w:sz w:val="20"/>
                <w:szCs w:val="20"/>
              </w:rPr>
              <w:t xml:space="preserve">cascade_heads.py</w:t>
            </w:r>
          </w:p>
        </w:tc>
        <w:tc>
          <w:tcPr>
            <w:tcW w:type="pct" w:w="30%"/>
          </w:tcPr>
          <w:p>
            <w:r>
              <w:rPr>
                <w:b w:val="false"/>
                <w:bCs w:val="false"/>
                <w:sz w:val="20"/>
                <w:szCs w:val="20"/>
              </w:rPr>
              <w:t xml:space="preserve">Now averages 3 stochastic passes during training, matching the inference-time approach.</w:t>
            </w:r>
          </w:p>
        </w:tc>
      </w:tr>
      <w:tr>
        <w:tc>
          <w:tcPr>
            <w:tcW w:type="pct" w:w="8%"/>
          </w:tcPr>
          <w:p>
            <w:r>
              <w:rPr>
                <w:b w:val="false"/>
                <w:bCs w:val="false"/>
                <w:sz w:val="20"/>
                <w:szCs w:val="20"/>
              </w:rPr>
              <w:t xml:space="preserve">3 (open)</w:t>
            </w:r>
          </w:p>
        </w:tc>
        <w:tc>
          <w:tcPr>
            <w:tcW w:type="pct" w:w="42%"/>
          </w:tcPr>
          <w:p>
            <w:r>
              <w:rPr>
                <w:b w:val="false"/>
                <w:bCs w:val="false"/>
                <w:sz w:val="20"/>
                <w:szCs w:val="20"/>
              </w:rPr>
              <w:t xml:space="preserve">With all three contributions active, encoders run 6x+ per training step (mc_passes plus probe passes) — dominant training cost.</w:t>
            </w:r>
          </w:p>
        </w:tc>
        <w:tc>
          <w:tcPr>
            <w:tcW w:type="pct" w:w="20%"/>
          </w:tcPr>
          <w:p>
            <w:r>
              <w:rPr>
                <w:b w:val="false"/>
                <w:bCs w:val="false"/>
                <w:sz w:val="20"/>
                <w:szCs w:val="20"/>
              </w:rPr>
              <w:t xml:space="preserve">cmcht_model.py, csg_fusion.py</w:t>
            </w:r>
          </w:p>
        </w:tc>
        <w:tc>
          <w:tcPr>
            <w:tcW w:type="pct" w:w="30%"/>
          </w:tcPr>
          <w:p>
            <w:r>
              <w:rPr>
                <w:b w:val="false"/>
                <w:bCs w:val="false"/>
                <w:sz w:val="20"/>
                <w:szCs w:val="20"/>
              </w:rPr>
              <w:t xml:space="preserve">Documented, not fixed — correct fix (fewer passes vs. caching) depends on real hardware/batch-size numbers not yet available.</w:t>
            </w:r>
          </w:p>
        </w:tc>
      </w:tr>
    </w:tbl>
    <w:p>
      <w:pPr>
        <w:spacing w:after="120"/>
      </w:pPr>
      <w:r>
        <w:rPr>
          <w:i/>
          <w:iCs/>
        </w:rPr>
        <w:t xml:space="preserve">Weakness 3 is intentionally left as a documented trade-off: every available fix changes the accuracy of the uncertainty signal that both the consistency loss and CGCT's confidence gate depend on. Guessing the fix before real profiling data exists risks quietly corrupting that signal.</w:t>
      </w:r>
    </w:p>
    <w:p>
      <w:pPr>
        <w:pStyle w:val="Heading1"/>
        <w:spacing w:after="150" w:before="300"/>
      </w:pPr>
      <w:r>
        <w:t xml:space="preserve">8. Folder Structure</w:t>
      </w:r>
    </w:p>
    <w:p>
      <w:pPr>
        <w:spacing w:after="120"/>
      </w:pPr>
      <w:r>
        <w:rPr>
          <w:b/>
          <w:bCs/>
        </w:rPr>
        <w:t xml:space="preserve">liver-cmcht-xai/</w:t>
      </w:r>
    </w:p>
    <w:p>
      <w:pPr>
        <w:pStyle w:val="ListParagraph"/>
        <w:numPr>
          <w:ilvl w:val="0"/>
          <w:numId w:val="1"/>
        </w:numPr>
        <w:spacing w:after="70"/>
      </w:pPr>
      <w:r>
        <w:t xml:space="preserve">README.md — architecture diagram, run order, contribution writeups, ablation plan (this document's companion)</w:t>
      </w:r>
    </w:p>
    <w:p>
      <w:pPr>
        <w:pStyle w:val="ListParagraph"/>
        <w:numPr>
          <w:ilvl w:val="0"/>
          <w:numId w:val="1"/>
        </w:numPr>
        <w:spacing w:after="70"/>
      </w:pPr>
      <w:r>
        <w:t xml:space="preserve">requirements.txt — torch, monai, timm, shap, captum, dice-ml, streamlit, etc.</w:t>
      </w:r>
    </w:p>
    <w:p>
      <w:pPr>
        <w:pStyle w:val="ListParagraph"/>
        <w:numPr>
          <w:ilvl w:val="0"/>
          <w:numId w:val="1"/>
        </w:numPr>
        <w:spacing w:after="70"/>
      </w:pPr>
      <w:r>
        <w:t xml:space="preserve">config/config.yaml — every hyperparameter and the fusion_type / head_type / use_cgct ablation toggles</w:t>
      </w:r>
    </w:p>
    <w:p>
      <w:pPr>
        <w:pStyle w:val="ListParagraph"/>
        <w:numPr>
          <w:ilvl w:val="0"/>
          <w:numId w:val="1"/>
        </w:numPr>
        <w:spacing w:after="70"/>
      </w:pPr>
      <w:r>
        <w:t xml:space="preserve">data/raw/ — untouched dataset downloads (never edited directly)</w:t>
      </w:r>
    </w:p>
    <w:p>
      <w:pPr>
        <w:pStyle w:val="ListParagraph"/>
        <w:numPr>
          <w:ilvl w:val="0"/>
          <w:numId w:val="1"/>
        </w:numPr>
        <w:spacing w:after="70"/>
      </w:pPr>
      <w:r>
        <w:t xml:space="preserve">data/processed/ — cleaned tensors / normalized CSVs / split indices, output of preprocessing.py</w:t>
      </w:r>
    </w:p>
    <w:p>
      <w:pPr>
        <w:pStyle w:val="ListParagraph"/>
        <w:numPr>
          <w:ilvl w:val="0"/>
          <w:numId w:val="1"/>
        </w:numPr>
        <w:spacing w:after="70"/>
      </w:pPr>
      <w:r>
        <w:t xml:space="preserve">notebooks/ — exploration and sanity-check notebooks</w:t>
      </w:r>
    </w:p>
    <w:p>
      <w:pPr>
        <w:pStyle w:val="ListParagraph"/>
        <w:numPr>
          <w:ilvl w:val="0"/>
          <w:numId w:val="1"/>
        </w:numPr>
        <w:spacing w:after="70"/>
      </w:pPr>
      <w:r>
        <w:t xml:space="preserve">src/data/preprocessing.py — Phase 1: imaging resample/window-level, tabular impute/normalize/SMOTE, patient-level pairing</w:t>
      </w:r>
    </w:p>
    <w:p>
      <w:pPr>
        <w:pStyle w:val="ListParagraph"/>
        <w:numPr>
          <w:ilvl w:val="0"/>
          <w:numId w:val="1"/>
        </w:numPr>
        <w:spacing w:after="70"/>
      </w:pPr>
      <w:r>
        <w:t xml:space="preserve">src/data/dataset.py — PyTorch Dataset classes (unlabeled imaging for SimCLR; paired multimodal for training/eval)</w:t>
      </w:r>
    </w:p>
    <w:p>
      <w:pPr>
        <w:pStyle w:val="ListParagraph"/>
        <w:numPr>
          <w:ilvl w:val="0"/>
          <w:numId w:val="1"/>
        </w:numPr>
        <w:spacing w:after="70"/>
      </w:pPr>
      <w:r>
        <w:t xml:space="preserve">src/models/imaging_encoder.py — Swin-CNN hybrid encoder wrapper</w:t>
      </w:r>
    </w:p>
    <w:p>
      <w:pPr>
        <w:pStyle w:val="ListParagraph"/>
        <w:numPr>
          <w:ilvl w:val="0"/>
          <w:numId w:val="1"/>
        </w:numPr>
        <w:spacing w:after="70"/>
      </w:pPr>
      <w:r>
        <w:t xml:space="preserve">src/models/tabular_encoder.py — FT-Transformer encoder</w:t>
      </w:r>
    </w:p>
    <w:p>
      <w:pPr>
        <w:pStyle w:val="ListParagraph"/>
        <w:numPr>
          <w:ilvl w:val="0"/>
          <w:numId w:val="1"/>
        </w:numPr>
        <w:spacing w:after="70"/>
      </w:pPr>
      <w:r>
        <w:t xml:space="preserve">src/models/fusion.py — baseline bidirectional cross-attention fusion (ablation baseline)</w:t>
      </w:r>
    </w:p>
    <w:p>
      <w:pPr>
        <w:pStyle w:val="ListParagraph"/>
        <w:numPr>
          <w:ilvl w:val="0"/>
          <w:numId w:val="1"/>
        </w:numPr>
        <w:spacing w:after="70"/>
      </w:pPr>
      <w:r>
        <w:t xml:space="preserve">src/models/csg_fusion.py — Contribution 1: CSG-Fusion</w:t>
      </w:r>
    </w:p>
    <w:p>
      <w:pPr>
        <w:pStyle w:val="ListParagraph"/>
        <w:numPr>
          <w:ilvl w:val="0"/>
          <w:numId w:val="1"/>
        </w:numPr>
        <w:spacing w:after="70"/>
      </w:pPr>
      <w:r>
        <w:t xml:space="preserve">src/models/heads.py — baseline independent multi-task heads (ablation baseline)</w:t>
      </w:r>
    </w:p>
    <w:p>
      <w:pPr>
        <w:pStyle w:val="ListParagraph"/>
        <w:numPr>
          <w:ilvl w:val="0"/>
          <w:numId w:val="1"/>
        </w:numPr>
        <w:spacing w:after="70"/>
      </w:pPr>
      <w:r>
        <w:t xml:space="preserve">src/models/cascade_heads.py — Contribution 2: CUSP-Cascade</w:t>
      </w:r>
    </w:p>
    <w:p>
      <w:pPr>
        <w:pStyle w:val="ListParagraph"/>
        <w:numPr>
          <w:ilvl w:val="0"/>
          <w:numId w:val="1"/>
        </w:numPr>
        <w:spacing w:after="70"/>
      </w:pPr>
      <w:r>
        <w:t xml:space="preserve">src/models/cmcht_model.py — wires encoders + fusion + heads into the full model, with ablation toggles</w:t>
      </w:r>
    </w:p>
    <w:p>
      <w:pPr>
        <w:pStyle w:val="ListParagraph"/>
        <w:numPr>
          <w:ilvl w:val="0"/>
          <w:numId w:val="1"/>
        </w:numPr>
        <w:spacing w:after="70"/>
      </w:pPr>
      <w:r>
        <w:t xml:space="preserve">src/training/confidence_gated_training.py — Contribution 3: CGCT</w:t>
      </w:r>
    </w:p>
    <w:p>
      <w:pPr>
        <w:pStyle w:val="ListParagraph"/>
        <w:numPr>
          <w:ilvl w:val="0"/>
          <w:numId w:val="1"/>
        </w:numPr>
        <w:spacing w:after="70"/>
      </w:pPr>
      <w:r>
        <w:t xml:space="preserve">src/pretrain/simclr.py — Phase 2: SimCLR self-supervised pre-training</w:t>
      </w:r>
    </w:p>
    <w:p>
      <w:pPr>
        <w:pStyle w:val="ListParagraph"/>
        <w:numPr>
          <w:ilvl w:val="0"/>
          <w:numId w:val="1"/>
        </w:numPr>
        <w:spacing w:after="70"/>
      </w:pPr>
      <w:r>
        <w:t xml:space="preserve">src/explainability/shap_utils.py, gradcam.py, counterfactual.py, uncertainty.py, run_explain.py — Phase 4 XAI layer</w:t>
      </w:r>
    </w:p>
    <w:p>
      <w:pPr>
        <w:pStyle w:val="ListParagraph"/>
        <w:numPr>
          <w:ilvl w:val="0"/>
          <w:numId w:val="1"/>
        </w:numPr>
        <w:spacing w:after="70"/>
      </w:pPr>
      <w:r>
        <w:t xml:space="preserve">src/utils/metrics.py, logger.py — shared metrics and reproducibility helpers</w:t>
      </w:r>
    </w:p>
    <w:p>
      <w:pPr>
        <w:pStyle w:val="ListParagraph"/>
        <w:numPr>
          <w:ilvl w:val="0"/>
          <w:numId w:val="1"/>
        </w:numPr>
        <w:spacing w:after="70"/>
      </w:pPr>
      <w:r>
        <w:t xml:space="preserve">src/train.py — Phase 3 main training loop, wires in CGCT and the consistency loss</w:t>
      </w:r>
    </w:p>
    <w:p>
      <w:pPr>
        <w:pStyle w:val="ListParagraph"/>
        <w:numPr>
          <w:ilvl w:val="0"/>
          <w:numId w:val="1"/>
        </w:numPr>
        <w:spacing w:after="70"/>
      </w:pPr>
      <w:r>
        <w:t xml:space="preserve">src/evaluate.py — Phase 5 evaluation + ablation runner</w:t>
      </w:r>
    </w:p>
    <w:p>
      <w:pPr>
        <w:pStyle w:val="ListParagraph"/>
        <w:numPr>
          <w:ilvl w:val="0"/>
          <w:numId w:val="1"/>
        </w:numPr>
        <w:spacing w:after="70"/>
      </w:pPr>
      <w:r>
        <w:t xml:space="preserve">dashboard/app.py — Phase 6 Streamlit clinical dashboard</w:t>
      </w:r>
    </w:p>
    <w:p>
      <w:pPr>
        <w:pStyle w:val="ListParagraph"/>
        <w:numPr>
          <w:ilvl w:val="0"/>
          <w:numId w:val="1"/>
        </w:numPr>
        <w:spacing w:after="70"/>
      </w:pPr>
      <w:r>
        <w:t xml:space="preserve">checkpoints/, results/ — saved weights and metrics/plots (gitignored)</w:t>
      </w:r>
    </w:p>
    <w:p>
      <w:pPr>
        <w:pStyle w:val="ListParagraph"/>
        <w:numPr>
          <w:ilvl w:val="0"/>
          <w:numId w:val="1"/>
        </w:numPr>
        <w:spacing w:after="70"/>
      </w:pPr>
      <w:r>
        <w:t xml:space="preserve">tests/test_models.py — unit tests, including the three contributions</w:t>
      </w:r>
    </w:p>
    <w:p>
      <w:pPr>
        <w:pStyle w:val="Heading1"/>
        <w:spacing w:after="150" w:before="300"/>
      </w:pPr>
      <w:r>
        <w:t xml:space="preserve">9. Verification Performed</w:t>
      </w:r>
    </w:p>
    <w:p>
      <w:pPr>
        <w:spacing w:after="120"/>
      </w:pPr>
      <w:r>
        <w:t xml:space="preserve">All three new modules (csg_fusion.py, cascade_heads.py, confidence_gated_training.py) were syntax-checked AND executed end-to-end with synthetic tensors — including a full forward pass through CUSP-Cascade with CGCT mixing active and the fixed UncertaintyAwareHead — confirming correct output shapes and value ranges. This confirms the code runs as designed; it does not replace training on real data.</w:t>
      </w:r>
    </w:p>
    <w:p>
      <w:pPr>
        <w:pStyle w:val="Heading1"/>
        <w:spacing w:after="150" w:before="300"/>
      </w:pPr>
      <w:r>
        <w:t xml:space="preserve">10. Required Ablation Plan</w:t>
      </w:r>
    </w:p>
    <w:p>
      <w:pPr>
        <w:pStyle w:val="ListParagraph"/>
        <w:numPr>
          <w:ilvl w:val="0"/>
          <w:numId w:val="1"/>
        </w:numPr>
        <w:spacing w:after="70"/>
      </w:pPr>
      <w:r>
        <w:t xml:space="preserve">1. cross_attention fusion + independent heads (full baseline)</w:t>
      </w:r>
    </w:p>
    <w:p>
      <w:pPr>
        <w:pStyle w:val="ListParagraph"/>
        <w:numPr>
          <w:ilvl w:val="0"/>
          <w:numId w:val="1"/>
        </w:numPr>
        <w:spacing w:after="70"/>
      </w:pPr>
      <w:r>
        <w:t xml:space="preserve">2. csg fusion + independent heads (Contribution 1 alone)</w:t>
      </w:r>
    </w:p>
    <w:p>
      <w:pPr>
        <w:pStyle w:val="ListParagraph"/>
        <w:numPr>
          <w:ilvl w:val="0"/>
          <w:numId w:val="1"/>
        </w:numPr>
        <w:spacing w:after="70"/>
      </w:pPr>
      <w:r>
        <w:t xml:space="preserve">3. cross_attention fusion + cusp cascade, no CGCT (Contribution 2 alone)</w:t>
      </w:r>
    </w:p>
    <w:p>
      <w:pPr>
        <w:pStyle w:val="ListParagraph"/>
        <w:numPr>
          <w:ilvl w:val="0"/>
          <w:numId w:val="1"/>
        </w:numPr>
        <w:spacing w:after="70"/>
      </w:pPr>
      <w:r>
        <w:t xml:space="preserve">4. csg fusion + cusp cascade, no CGCT (Contributions 1+2)</w:t>
      </w:r>
    </w:p>
    <w:p>
      <w:pPr>
        <w:pStyle w:val="ListParagraph"/>
        <w:numPr>
          <w:ilvl w:val="0"/>
          <w:numId w:val="1"/>
        </w:numPr>
        <w:spacing w:after="70"/>
      </w:pPr>
      <w:r>
        <w:t xml:space="preserve">5. csg fusion + cusp cascade + CGCT (full proposed system)</w:t>
      </w:r>
    </w:p>
    <w:p>
      <w:pPr>
        <w:pStyle w:val="Heading1"/>
        <w:spacing w:after="150" w:before="300"/>
      </w:pPr>
      <w:r>
        <w:t xml:space="preserve">11. Implementation Roadmap (20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D9D9D9" w:val="clear"/>
          </w:tcPr>
          <w:p>
            <w:r>
              <w:rPr>
                <w:b/>
                <w:bCs/>
                <w:sz w:val="20"/>
                <w:szCs w:val="20"/>
              </w:rPr>
              <w:t xml:space="preserve">Phase</w:t>
            </w:r>
          </w:p>
        </w:tc>
        <w:tc>
          <w:tcPr>
            <w:tcW w:type="pct" w:w="15%"/>
            <w:shd w:fill="D9D9D9" w:val="clear"/>
          </w:tcPr>
          <w:p>
            <w:r>
              <w:rPr>
                <w:b/>
                <w:bCs/>
                <w:sz w:val="20"/>
                <w:szCs w:val="20"/>
              </w:rPr>
              <w:t xml:space="preserve">Weeks</w:t>
            </w:r>
          </w:p>
        </w:tc>
        <w:tc>
          <w:tcPr>
            <w:tcW w:type="pct" w:w="60%"/>
            <w:shd w:fill="D9D9D9" w:val="clear"/>
          </w:tcPr>
          <w:p>
            <w:r>
              <w:rPr>
                <w:b/>
                <w:bCs/>
                <w:sz w:val="20"/>
                <w:szCs w:val="20"/>
              </w:rPr>
              <w:t xml:space="preserve">Deliverable</w:t>
            </w:r>
          </w:p>
        </w:tc>
      </w:tr>
      <w:tr>
        <w:tc>
          <w:tcPr>
            <w:tcW w:type="pct" w:w="25%"/>
          </w:tcPr>
          <w:p>
            <w:r>
              <w:rPr>
                <w:b w:val="false"/>
                <w:bCs w:val="false"/>
                <w:sz w:val="20"/>
                <w:szCs w:val="20"/>
              </w:rPr>
              <w:t xml:space="preserve">1. Data prep</w:t>
            </w:r>
          </w:p>
        </w:tc>
        <w:tc>
          <w:tcPr>
            <w:tcW w:type="pct" w:w="15%"/>
          </w:tcPr>
          <w:p>
            <w:r>
              <w:rPr>
                <w:b w:val="false"/>
                <w:bCs w:val="false"/>
                <w:sz w:val="20"/>
                <w:szCs w:val="20"/>
              </w:rPr>
              <w:t xml:space="preserve">1-3</w:t>
            </w:r>
          </w:p>
        </w:tc>
        <w:tc>
          <w:tcPr>
            <w:tcW w:type="pct" w:w="60%"/>
          </w:tcPr>
          <w:p>
            <w:r>
              <w:rPr>
                <w:b w:val="false"/>
                <w:bCs w:val="false"/>
                <w:sz w:val="20"/>
                <w:szCs w:val="20"/>
              </w:rPr>
              <w:t xml:space="preserve">Cleaned tensors/CSVs in data/processed/</w:t>
            </w:r>
          </w:p>
        </w:tc>
      </w:tr>
      <w:tr>
        <w:tc>
          <w:tcPr>
            <w:tcW w:type="pct" w:w="25%"/>
          </w:tcPr>
          <w:p>
            <w:r>
              <w:rPr>
                <w:b w:val="false"/>
                <w:bCs w:val="false"/>
                <w:sz w:val="20"/>
                <w:szCs w:val="20"/>
              </w:rPr>
              <w:t xml:space="preserve">2. Pre-training</w:t>
            </w:r>
          </w:p>
        </w:tc>
        <w:tc>
          <w:tcPr>
            <w:tcW w:type="pct" w:w="15%"/>
          </w:tcPr>
          <w:p>
            <w:r>
              <w:rPr>
                <w:b w:val="false"/>
                <w:bCs w:val="false"/>
                <w:sz w:val="20"/>
                <w:szCs w:val="20"/>
              </w:rPr>
              <w:t xml:space="preserve">4-6</w:t>
            </w:r>
          </w:p>
        </w:tc>
        <w:tc>
          <w:tcPr>
            <w:tcW w:type="pct" w:w="60%"/>
          </w:tcPr>
          <w:p>
            <w:r>
              <w:rPr>
                <w:b w:val="false"/>
                <w:bCs w:val="false"/>
                <w:sz w:val="20"/>
                <w:szCs w:val="20"/>
              </w:rPr>
              <w:t xml:space="preserve">checkpoints/simclr_encoder.pth</w:t>
            </w:r>
          </w:p>
        </w:tc>
      </w:tr>
      <w:tr>
        <w:tc>
          <w:tcPr>
            <w:tcW w:type="pct" w:w="25%"/>
          </w:tcPr>
          <w:p>
            <w:r>
              <w:rPr>
                <w:b w:val="false"/>
                <w:bCs w:val="false"/>
                <w:sz w:val="20"/>
                <w:szCs w:val="20"/>
              </w:rPr>
              <w:t xml:space="preserve">3. Hybrid training</w:t>
            </w:r>
          </w:p>
        </w:tc>
        <w:tc>
          <w:tcPr>
            <w:tcW w:type="pct" w:w="15%"/>
          </w:tcPr>
          <w:p>
            <w:r>
              <w:rPr>
                <w:b w:val="false"/>
                <w:bCs w:val="false"/>
                <w:sz w:val="20"/>
                <w:szCs w:val="20"/>
              </w:rPr>
              <w:t xml:space="preserve">7-12</w:t>
            </w:r>
          </w:p>
        </w:tc>
        <w:tc>
          <w:tcPr>
            <w:tcW w:type="pct" w:w="60%"/>
          </w:tcPr>
          <w:p>
            <w:r>
              <w:rPr>
                <w:b w:val="false"/>
                <w:bCs w:val="false"/>
                <w:sz w:val="20"/>
                <w:szCs w:val="20"/>
              </w:rPr>
              <w:t xml:space="preserve">checkpoints/cmcht_xai_best.pth</w:t>
            </w:r>
          </w:p>
        </w:tc>
      </w:tr>
      <w:tr>
        <w:tc>
          <w:tcPr>
            <w:tcW w:type="pct" w:w="25%"/>
          </w:tcPr>
          <w:p>
            <w:r>
              <w:rPr>
                <w:b w:val="false"/>
                <w:bCs w:val="false"/>
                <w:sz w:val="20"/>
                <w:szCs w:val="20"/>
              </w:rPr>
              <w:t xml:space="preserve">4. XAI &amp; uncertainty</w:t>
            </w:r>
          </w:p>
        </w:tc>
        <w:tc>
          <w:tcPr>
            <w:tcW w:type="pct" w:w="15%"/>
          </w:tcPr>
          <w:p>
            <w:r>
              <w:rPr>
                <w:b w:val="false"/>
                <w:bCs w:val="false"/>
                <w:sz w:val="20"/>
                <w:szCs w:val="20"/>
              </w:rPr>
              <w:t xml:space="preserve">13-15</w:t>
            </w:r>
          </w:p>
        </w:tc>
        <w:tc>
          <w:tcPr>
            <w:tcW w:type="pct" w:w="60%"/>
          </w:tcPr>
          <w:p>
            <w:r>
              <w:rPr>
                <w:b w:val="false"/>
                <w:bCs w:val="false"/>
                <w:sz w:val="20"/>
                <w:szCs w:val="20"/>
              </w:rPr>
              <w:t xml:space="preserve">SHAP/Grad-CAM/counterfactual outputs in results/</w:t>
            </w:r>
          </w:p>
        </w:tc>
      </w:tr>
      <w:tr>
        <w:tc>
          <w:tcPr>
            <w:tcW w:type="pct" w:w="25%"/>
          </w:tcPr>
          <w:p>
            <w:r>
              <w:rPr>
                <w:b w:val="false"/>
                <w:bCs w:val="false"/>
                <w:sz w:val="20"/>
                <w:szCs w:val="20"/>
              </w:rPr>
              <w:t xml:space="preserve">5. Evaluation</w:t>
            </w:r>
          </w:p>
        </w:tc>
        <w:tc>
          <w:tcPr>
            <w:tcW w:type="pct" w:w="15%"/>
          </w:tcPr>
          <w:p>
            <w:r>
              <w:rPr>
                <w:b w:val="false"/>
                <w:bCs w:val="false"/>
                <w:sz w:val="20"/>
                <w:szCs w:val="20"/>
              </w:rPr>
              <w:t xml:space="preserve">16-18</w:t>
            </w:r>
          </w:p>
        </w:tc>
        <w:tc>
          <w:tcPr>
            <w:tcW w:type="pct" w:w="60%"/>
          </w:tcPr>
          <w:p>
            <w:r>
              <w:rPr>
                <w:b w:val="false"/>
                <w:bCs w:val="false"/>
                <w:sz w:val="20"/>
                <w:szCs w:val="20"/>
              </w:rPr>
              <w:t xml:space="preserve">Metrics + ablation tables in results/</w:t>
            </w:r>
          </w:p>
        </w:tc>
      </w:tr>
      <w:tr>
        <w:tc>
          <w:tcPr>
            <w:tcW w:type="pct" w:w="25%"/>
          </w:tcPr>
          <w:p>
            <w:r>
              <w:rPr>
                <w:b w:val="false"/>
                <w:bCs w:val="false"/>
                <w:sz w:val="20"/>
                <w:szCs w:val="20"/>
              </w:rPr>
              <w:t xml:space="preserve">6. Dashboard &amp; docs</w:t>
            </w:r>
          </w:p>
        </w:tc>
        <w:tc>
          <w:tcPr>
            <w:tcW w:type="pct" w:w="15%"/>
          </w:tcPr>
          <w:p>
            <w:r>
              <w:rPr>
                <w:b w:val="false"/>
                <w:bCs w:val="false"/>
                <w:sz w:val="20"/>
                <w:szCs w:val="20"/>
              </w:rPr>
              <w:t xml:space="preserve">19-20</w:t>
            </w:r>
          </w:p>
        </w:tc>
        <w:tc>
          <w:tcPr>
            <w:tcW w:type="pct" w:w="60%"/>
          </w:tcPr>
          <w:p>
            <w:r>
              <w:rPr>
                <w:b w:val="false"/>
                <w:bCs w:val="false"/>
                <w:sz w:val="20"/>
                <w:szCs w:val="20"/>
              </w:rPr>
              <w:t xml:space="preserve">Streamlit demo, technical report, paper draft</w:t>
            </w:r>
          </w:p>
        </w:tc>
      </w:tr>
    </w:tbl>
    <w:p>
      <w:pPr>
        <w:pStyle w:val="Heading1"/>
        <w:spacing w:after="150" w:before="300"/>
      </w:pPr>
      <w:r>
        <w:t xml:space="preserve">12. Key References</w:t>
      </w:r>
    </w:p>
    <w:p>
      <w:pPr>
        <w:pStyle w:val="ListParagraph"/>
        <w:numPr>
          <w:ilvl w:val="0"/>
          <w:numId w:val="1"/>
        </w:numPr>
        <w:spacing w:after="70"/>
      </w:pPr>
      <w:r>
        <w:t xml:space="preserve">Gorishniy et al. (2021) — Revisiting Deep Learning Models for Tabular Data (FT-Transformer)</w:t>
      </w:r>
    </w:p>
    <w:p>
      <w:pPr>
        <w:pStyle w:val="ListParagraph"/>
        <w:numPr>
          <w:ilvl w:val="0"/>
          <w:numId w:val="1"/>
        </w:numPr>
        <w:spacing w:after="70"/>
      </w:pPr>
      <w:r>
        <w:t xml:space="preserve">Liu et al. (2021) — Swin Transformer: Hierarchical Vision Transformer</w:t>
      </w:r>
    </w:p>
    <w:p>
      <w:pPr>
        <w:pStyle w:val="ListParagraph"/>
        <w:numPr>
          <w:ilvl w:val="0"/>
          <w:numId w:val="1"/>
        </w:numPr>
        <w:spacing w:after="70"/>
      </w:pPr>
      <w:r>
        <w:t xml:space="preserve">Chen et al. (2020) — A Simple Framework for Contrastive Learning (SimCLR)</w:t>
      </w:r>
    </w:p>
    <w:p>
      <w:pPr>
        <w:pStyle w:val="ListParagraph"/>
        <w:numPr>
          <w:ilvl w:val="0"/>
          <w:numId w:val="1"/>
        </w:numPr>
        <w:spacing w:after="70"/>
      </w:pPr>
      <w:r>
        <w:t xml:space="preserve">Mothilal et al. (2020) — Explaining ML Classifiers through Diverse Counterfactual Explanations (DiCE)</w:t>
      </w:r>
    </w:p>
    <w:p>
      <w:pPr>
        <w:pStyle w:val="ListParagraph"/>
        <w:numPr>
          <w:ilvl w:val="0"/>
          <w:numId w:val="1"/>
        </w:numPr>
        <w:spacing w:after="70"/>
      </w:pPr>
      <w:r>
        <w:t xml:space="preserve">Liu et al. (2021) — Confidence-Aware Scheduled Sampling for Neural Machine Translation (source algorithm for Contribution 3)</w:t>
      </w:r>
    </w:p>
    <w:p>
      <w:pPr>
        <w:pStyle w:val="Heading1"/>
        <w:spacing w:after="150" w:before="300"/>
      </w:pPr>
      <w:r>
        <w:t xml:space="preserve">13. Tools &amp; Libraries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D9D9D9" w:val="clear"/>
          </w:tcPr>
          <w:p>
            <w:r>
              <w:rPr>
                <w:b/>
                <w:bCs/>
                <w:sz w:val="20"/>
                <w:szCs w:val="20"/>
              </w:rPr>
              <w:t xml:space="preserve">Purpose</w:t>
            </w:r>
          </w:p>
        </w:tc>
        <w:tc>
          <w:tcPr>
            <w:tcW w:type="pct" w:w="60%"/>
            <w:shd w:fill="D9D9D9" w:val="clear"/>
          </w:tcPr>
          <w:p>
            <w:r>
              <w:rPr>
                <w:b/>
                <w:bCs/>
                <w:sz w:val="20"/>
                <w:szCs w:val="20"/>
              </w:rPr>
              <w:t xml:space="preserve">Tool</w:t>
            </w:r>
          </w:p>
        </w:tc>
      </w:tr>
      <w:tr>
        <w:tc>
          <w:tcPr>
            <w:tcW w:type="pct" w:w="40%"/>
          </w:tcPr>
          <w:p>
            <w:r>
              <w:rPr>
                <w:b w:val="false"/>
                <w:bCs w:val="false"/>
                <w:sz w:val="20"/>
                <w:szCs w:val="20"/>
              </w:rPr>
              <w:t xml:space="preserve">Deep learning framework</w:t>
            </w:r>
          </w:p>
        </w:tc>
        <w:tc>
          <w:tcPr>
            <w:tcW w:type="pct" w:w="60%"/>
          </w:tcPr>
          <w:p>
            <w:r>
              <w:rPr>
                <w:b w:val="false"/>
                <w:bCs w:val="false"/>
                <w:sz w:val="20"/>
                <w:szCs w:val="20"/>
              </w:rPr>
              <w:t xml:space="preserve">PyTorch 2.0+</w:t>
            </w:r>
          </w:p>
        </w:tc>
      </w:tr>
      <w:tr>
        <w:tc>
          <w:tcPr>
            <w:tcW w:type="pct" w:w="40%"/>
          </w:tcPr>
          <w:p>
            <w:r>
              <w:rPr>
                <w:b w:val="false"/>
                <w:bCs w:val="false"/>
                <w:sz w:val="20"/>
                <w:szCs w:val="20"/>
              </w:rPr>
              <w:t xml:space="preserve">Medical imaging</w:t>
            </w:r>
          </w:p>
        </w:tc>
        <w:tc>
          <w:tcPr>
            <w:tcW w:type="pct" w:w="60%"/>
          </w:tcPr>
          <w:p>
            <w:r>
              <w:rPr>
                <w:b w:val="false"/>
                <w:bCs w:val="false"/>
                <w:sz w:val="20"/>
                <w:szCs w:val="20"/>
              </w:rPr>
              <w:t xml:space="preserve">MONAI, SimpleITK, NiBabel</w:t>
            </w:r>
          </w:p>
        </w:tc>
      </w:tr>
      <w:tr>
        <w:tc>
          <w:tcPr>
            <w:tcW w:type="pct" w:w="40%"/>
          </w:tcPr>
          <w:p>
            <w:r>
              <w:rPr>
                <w:b w:val="false"/>
                <w:bCs w:val="false"/>
                <w:sz w:val="20"/>
                <w:szCs w:val="20"/>
              </w:rPr>
              <w:t xml:space="preserve">Tabular transformer</w:t>
            </w:r>
          </w:p>
        </w:tc>
        <w:tc>
          <w:tcPr>
            <w:tcW w:type="pct" w:w="60%"/>
          </w:tcPr>
          <w:p>
            <w:r>
              <w:rPr>
                <w:b w:val="false"/>
                <w:bCs w:val="false"/>
                <w:sz w:val="20"/>
                <w:szCs w:val="20"/>
              </w:rPr>
              <w:t xml:space="preserve">custom FT-Transformer / rtdl</w:t>
            </w:r>
          </w:p>
        </w:tc>
      </w:tr>
      <w:tr>
        <w:tc>
          <w:tcPr>
            <w:tcW w:type="pct" w:w="40%"/>
          </w:tcPr>
          <w:p>
            <w:r>
              <w:rPr>
                <w:b w:val="false"/>
                <w:bCs w:val="false"/>
                <w:sz w:val="20"/>
                <w:szCs w:val="20"/>
              </w:rPr>
              <w:t xml:space="preserve">Contrastive learning</w:t>
            </w:r>
          </w:p>
        </w:tc>
        <w:tc>
          <w:tcPr>
            <w:tcW w:type="pct" w:w="60%"/>
          </w:tcPr>
          <w:p>
            <w:r>
              <w:rPr>
                <w:b w:val="false"/>
                <w:bCs w:val="false"/>
                <w:sz w:val="20"/>
                <w:szCs w:val="20"/>
              </w:rPr>
              <w:t xml:space="preserve">solo-learn (SimCLR, MoCo) or custom</w:t>
            </w:r>
          </w:p>
        </w:tc>
      </w:tr>
      <w:tr>
        <w:tc>
          <w:tcPr>
            <w:tcW w:type="pct" w:w="40%"/>
          </w:tcPr>
          <w:p>
            <w:r>
              <w:rPr>
                <w:b w:val="false"/>
                <w:bCs w:val="false"/>
                <w:sz w:val="20"/>
                <w:szCs w:val="20"/>
              </w:rPr>
              <w:t xml:space="preserve">Explainability</w:t>
            </w:r>
          </w:p>
        </w:tc>
        <w:tc>
          <w:tcPr>
            <w:tcW w:type="pct" w:w="60%"/>
          </w:tcPr>
          <w:p>
            <w:r>
              <w:rPr>
                <w:b w:val="false"/>
                <w:bCs w:val="false"/>
                <w:sz w:val="20"/>
                <w:szCs w:val="20"/>
              </w:rPr>
              <w:t xml:space="preserve">SHAP, Captum (Grad-CAM), DiCE, Alibi</w:t>
            </w:r>
          </w:p>
        </w:tc>
      </w:tr>
      <w:tr>
        <w:tc>
          <w:tcPr>
            <w:tcW w:type="pct" w:w="40%"/>
          </w:tcPr>
          <w:p>
            <w:r>
              <w:rPr>
                <w:b w:val="false"/>
                <w:bCs w:val="false"/>
                <w:sz w:val="20"/>
                <w:szCs w:val="20"/>
              </w:rPr>
              <w:t xml:space="preserve">Uncertainty</w:t>
            </w:r>
          </w:p>
        </w:tc>
        <w:tc>
          <w:tcPr>
            <w:tcW w:type="pct" w:w="60%"/>
          </w:tcPr>
          <w:p>
            <w:r>
              <w:rPr>
                <w:b w:val="false"/>
                <w:bCs w:val="false"/>
                <w:sz w:val="20"/>
                <w:szCs w:val="20"/>
              </w:rPr>
              <w:t xml:space="preserve">custom Monte Carlo Dropout</w:t>
            </w:r>
          </w:p>
        </w:tc>
      </w:tr>
      <w:tr>
        <w:tc>
          <w:tcPr>
            <w:tcW w:type="pct" w:w="40%"/>
          </w:tcPr>
          <w:p>
            <w:r>
              <w:rPr>
                <w:b w:val="false"/>
                <w:bCs w:val="false"/>
                <w:sz w:val="20"/>
                <w:szCs w:val="20"/>
              </w:rPr>
              <w:t xml:space="preserve">Data balancing</w:t>
            </w:r>
          </w:p>
        </w:tc>
        <w:tc>
          <w:tcPr>
            <w:tcW w:type="pct" w:w="60%"/>
          </w:tcPr>
          <w:p>
            <w:r>
              <w:rPr>
                <w:b w:val="false"/>
                <w:bCs w:val="false"/>
                <w:sz w:val="20"/>
                <w:szCs w:val="20"/>
              </w:rPr>
              <w:t xml:space="preserve">imbalanced-learn (SMOTE)</w:t>
            </w:r>
          </w:p>
        </w:tc>
      </w:tr>
      <w:tr>
        <w:tc>
          <w:tcPr>
            <w:tcW w:type="pct" w:w="40%"/>
          </w:tcPr>
          <w:p>
            <w:r>
              <w:rPr>
                <w:b w:val="false"/>
                <w:bCs w:val="false"/>
                <w:sz w:val="20"/>
                <w:szCs w:val="20"/>
              </w:rPr>
              <w:t xml:space="preserve">Dashboard</w:t>
            </w:r>
          </w:p>
        </w:tc>
        <w:tc>
          <w:tcPr>
            <w:tcW w:type="pct" w:w="60%"/>
          </w:tcPr>
          <w:p>
            <w:r>
              <w:rPr>
                <w:b w:val="false"/>
                <w:bCs w:val="false"/>
                <w:sz w:val="20"/>
                <w:szCs w:val="20"/>
              </w:rPr>
              <w:t xml:space="preserve">Streamlit or Gradio</w:t>
            </w:r>
          </w:p>
        </w:tc>
      </w:tr>
      <w:tr>
        <w:tc>
          <w:tcPr>
            <w:tcW w:type="pct" w:w="40%"/>
          </w:tcPr>
          <w:p>
            <w:r>
              <w:rPr>
                <w:b w:val="false"/>
                <w:bCs w:val="false"/>
                <w:sz w:val="20"/>
                <w:szCs w:val="20"/>
              </w:rPr>
              <w:t xml:space="preserve">Experiment tracking</w:t>
            </w:r>
          </w:p>
        </w:tc>
        <w:tc>
          <w:tcPr>
            <w:tcW w:type="pct" w:w="60%"/>
          </w:tcPr>
          <w:p>
            <w:r>
              <w:rPr>
                <w:b w:val="false"/>
                <w:bCs w:val="false"/>
                <w:sz w:val="20"/>
                <w:szCs w:val="20"/>
              </w:rPr>
              <w:t xml:space="preserve">Weights &amp; Biases or MLflow</w:t>
            </w:r>
          </w:p>
        </w:tc>
      </w:tr>
    </w:tbl>
    <w:p>
      <w:pPr>
        <w:spacing w:after="120"/>
      </w:pPr>
      <w:r>
        <w:rPr>
          <w:b/>
          <w:bCs/>
        </w:rPr>
        <w:t xml:space="preserve">Next step: begin with Phase 1. Implement src/data/preprocessing.py against a real download of the NAFLD/ILPD/LiTS datasets, get a simple baseline (ResNet + MLP, baseline fusion, independent heads) running end-to-end first, then switch on each contribution one at a time, re-running the ablation table at each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xxff1anwhkko1aikqp4" Type="http://schemas.openxmlformats.org/officeDocument/2006/relationships/hyperlink" Target="https://archive.ics.uci.edu/dataset/225/ilpd+indian+liver+patient+dataset" TargetMode="External"/><Relationship Id="rId-zvjcx5xd_lfr9okksax-" Type="http://schemas.openxmlformats.org/officeDocument/2006/relationships/hyperlink" Target="https://archive.ics.uci.edu/dataset/60/liver+disorders" TargetMode="External"/><Relationship Id="rIdi21xk5ng7kobm21lirboy" Type="http://schemas.openxmlformats.org/officeDocument/2006/relationships/hyperlink" Target="https://data.mendeley.com/datasets/6rg4hk6728/1" TargetMode="External"/><Relationship Id="rId50hm-amnphesdk3a9z9uz" Type="http://schemas.openxmlformats.org/officeDocument/2006/relationships/hyperlink" Target="https://competitions.codalab.org/competitions/17094" TargetMode="External"/><Relationship Id="rIdxl1fctgl5-zniyqyj5nzk" Type="http://schemas.openxmlformats.org/officeDocument/2006/relationships/hyperlink" Target="https://zenodo.org/records/7774566" TargetMode="External"/><Relationship Id="rIdjd5trhygjlcja7-xxot2b" Type="http://schemas.openxmlformats.org/officeDocument/2006/relationships/hyperlink" Target="https://archive.ics.uci.edu/dataset/423/hcc+survival" TargetMode="External"/><Relationship Id="rIdjl0x-ujhhmp8pp7x04yl8" Type="http://schemas.openxmlformats.org/officeDocument/2006/relationships/hyperlink" Target="https://www.kaggle.com/datasets/fedesoriano/cirrhosis-prediction-dataset" TargetMode="External"/><Relationship Id="rIdaau0nqltgsdihz2poaw-v" Type="http://schemas.openxmlformats.org/officeDocument/2006/relationships/hyperlink" Target="http://medicaldecathlon.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2026-06-23T09:52:27.161Z</dcterms:created>
  <dcterms:modified xsi:type="dcterms:W3CDTF">2026-06-23T09:52:27.162Z</dcterms:modified>
</cp:coreProperties>
</file>

<file path=docProps/custom.xml><?xml version="1.0" encoding="utf-8"?>
<Properties xmlns="http://schemas.openxmlformats.org/officeDocument/2006/custom-properties" xmlns:vt="http://schemas.openxmlformats.org/officeDocument/2006/docPropsVTypes"/>
</file>