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CMCHT-XAI: Liver Disease Hybrid Framework</w:t>
      </w:r>
    </w:p>
    <w:p>
      <w:pPr>
        <w:spacing w:after="100"/>
        <w:jc w:val="center"/>
      </w:pPr>
      <w:r>
        <w:rPr>
          <w:i/>
          <w:iCs/>
        </w:rPr>
        <w:t xml:space="preserve">Cross-Modal Contrastive Hybrid Transformer with Counterfactual Explainable AI</w:t>
      </w:r>
    </w:p>
    <w:p>
      <w:pPr>
        <w:spacing w:after="400"/>
        <w:jc w:val="center"/>
      </w:pPr>
      <w:r>
        <w:rPr>
          <w:i/>
          <w:iCs/>
          <w:sz w:val="20"/>
          <w:szCs w:val="20"/>
        </w:rPr>
        <w:t xml:space="preserve">Updated Framework Document — Revision 3 (three algorithmic contributions, weaknesses reviewed and fixed)</w:t>
      </w:r>
    </w:p>
    <w:p>
      <w:pPr>
        <w:pStyle w:val="Heading1"/>
        <w:spacing w:after="150" w:before="300"/>
      </w:pPr>
      <w:r>
        <w:t xml:space="preserve">1. Overview</w:t>
      </w:r>
    </w:p>
    <w:p>
      <w:pPr>
        <w:spacing w:after="120"/>
      </w:pPr>
      <w:r>
        <w:t xml:space="preserve">This document supersedes the original Liver Disease Hybrid Framework. It records three specific algorithmic/architectural contributions added during development, the literature search conducted before each was built, the exact (narrow) novelty claim each one supports, and a self-review of weaknesses found in the implementation along with the fixes applied.</w:t>
      </w:r>
    </w:p>
    <w:p>
      <w:pPr>
        <w:spacing w:after="120"/>
      </w:pPr>
      <w:r>
        <w:t xml:space="preserve">Read Section 5 ("How to state the novelty claim") before writing the final report's contributions section. The wording there is intentionally precise and should be used close to verbatim.</w:t>
      </w:r>
    </w:p>
    <w:p>
      <w:pPr>
        <w:pStyle w:val="Heading1"/>
        <w:spacing w:after="150" w:before="300"/>
      </w:pPr>
      <w:r>
        <w:t xml:space="preserve">2. System Architecture</w:t>
      </w:r>
    </w:p>
    <w:p>
      <w:pPr>
        <w:spacing w:after="120"/>
      </w:pPr>
      <w:r>
        <w:t xml:space="preserve">Ultrasound image -&gt; Swin-CNN Encoder (SimCLR pre-trained); Clinical tabular data -&gt; FT-Transformer Encoder. Both feed into the fusion stage, which feeds a multi-task cascade, which feeds the XAI layer (SHAP, Grad-CAM, DiCE counterfactuals, MC-Dropout uncertainty).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DDDDDD" w:val="clear"/>
          </w:tcPr>
          <w:p>
            <w:r>
              <w:rPr>
                <w:b/>
                <w:bCs/>
              </w:rPr>
              <w:t xml:space="preserve">Stage</w:t>
            </w:r>
          </w:p>
        </w:tc>
        <w:tc>
          <w:tcPr>
            <w:tcW w:type="pct" w:w="40%"/>
            <w:shd w:fill="DDDDDD" w:val="clear"/>
          </w:tcPr>
          <w:p>
            <w:r>
              <w:rPr>
                <w:b/>
                <w:bCs/>
              </w:rPr>
              <w:t xml:space="preserve">Component</w:t>
            </w:r>
          </w:p>
        </w:tc>
        <w:tc>
          <w:tcPr>
            <w:tcW w:type="pct" w:w="30%"/>
            <w:shd w:fill="DDDDDD" w:val="clear"/>
          </w:tcPr>
          <w:p>
            <w:r>
              <w:rPr>
                <w:b/>
                <w:bCs/>
              </w:rPr>
              <w:t xml:space="preserve">Status</w:t>
            </w:r>
          </w:p>
        </w:tc>
      </w:tr>
      <w:tr>
        <w:tc>
          <w:tcPr>
            <w:tcW w:type="pct" w:w="30%"/>
          </w:tcPr>
          <w:p>
            <w:r>
              <w:rPr>
                <w:b w:val="false"/>
                <w:bCs w:val="false"/>
              </w:rPr>
              <w:t xml:space="preserve">Imaging encoder</w:t>
            </w:r>
          </w:p>
        </w:tc>
        <w:tc>
          <w:tcPr>
            <w:tcW w:type="pct" w:w="40%"/>
          </w:tcPr>
          <w:p>
            <w:r>
              <w:rPr>
                <w:b w:val="false"/>
                <w:bCs w:val="false"/>
              </w:rPr>
              <w:t xml:space="preserve">Swin-CNN, SimCLR pre-trained</w:t>
            </w:r>
          </w:p>
        </w:tc>
        <w:tc>
          <w:tcPr>
            <w:tcW w:type="pct" w:w="30%"/>
          </w:tcPr>
          <w:p>
            <w:r>
              <w:rPr>
                <w:b w:val="false"/>
                <w:bCs w:val="false"/>
              </w:rPr>
              <w:t xml:space="preserve">Architecture defined; weights/training TODO</w:t>
            </w:r>
          </w:p>
        </w:tc>
      </w:tr>
      <w:tr>
        <w:tc>
          <w:tcPr>
            <w:tcW w:type="pct" w:w="30%"/>
          </w:tcPr>
          <w:p>
            <w:r>
              <w:rPr>
                <w:b w:val="false"/>
                <w:bCs w:val="false"/>
              </w:rPr>
              <w:t xml:space="preserve">Tabular encoder</w:t>
            </w:r>
          </w:p>
        </w:tc>
        <w:tc>
          <w:tcPr>
            <w:tcW w:type="pct" w:w="40%"/>
          </w:tcPr>
          <w:p>
            <w:r>
              <w:rPr>
                <w:b w:val="false"/>
                <w:bCs w:val="false"/>
              </w:rPr>
              <w:t xml:space="preserve">FT-Transformer</w:t>
            </w:r>
          </w:p>
        </w:tc>
        <w:tc>
          <w:tcPr>
            <w:tcW w:type="pct" w:w="30%"/>
          </w:tcPr>
          <w:p>
            <w:r>
              <w:rPr>
                <w:b w:val="false"/>
                <w:bCs w:val="false"/>
              </w:rPr>
              <w:t xml:space="preserve">Architecture defined; weights/training TODO</w:t>
            </w:r>
          </w:p>
        </w:tc>
      </w:tr>
      <w:tr>
        <w:tc>
          <w:tcPr>
            <w:tcW w:type="pct" w:w="30%"/>
          </w:tcPr>
          <w:p>
            <w:r>
              <w:rPr>
                <w:b w:val="false"/>
                <w:bCs w:val="false"/>
              </w:rPr>
              <w:t xml:space="preserve">Fusion (Contribution 1)</w:t>
            </w:r>
          </w:p>
        </w:tc>
        <w:tc>
          <w:tcPr>
            <w:tcW w:type="pct" w:w="40%"/>
          </w:tcPr>
          <w:p>
            <w:r>
              <w:rPr>
                <w:b w:val="false"/>
                <w:bCs w:val="false"/>
              </w:rPr>
              <w:t xml:space="preserve">CSG-Fusion</w:t>
            </w:r>
          </w:p>
        </w:tc>
        <w:tc>
          <w:tcPr>
            <w:tcW w:type="pct" w:w="30%"/>
          </w:tcPr>
          <w:p>
            <w:r>
              <w:rPr>
                <w:b w:val="false"/>
                <w:bCs w:val="false"/>
              </w:rPr>
              <w:t xml:space="preserve">Implemented, unit-tested</w:t>
            </w:r>
          </w:p>
        </w:tc>
      </w:tr>
      <w:tr>
        <w:tc>
          <w:tcPr>
            <w:tcW w:type="pct" w:w="30%"/>
          </w:tcPr>
          <w:p>
            <w:r>
              <w:rPr>
                <w:b w:val="false"/>
                <w:bCs w:val="false"/>
              </w:rPr>
              <w:t xml:space="preserve">Multi-task heads (Contribution 2)</w:t>
            </w:r>
          </w:p>
        </w:tc>
        <w:tc>
          <w:tcPr>
            <w:tcW w:type="pct" w:w="40%"/>
          </w:tcPr>
          <w:p>
            <w:r>
              <w:rPr>
                <w:b w:val="false"/>
                <w:bCs w:val="false"/>
              </w:rPr>
              <w:t xml:space="preserve">CUSP-Cascade</w:t>
            </w:r>
          </w:p>
        </w:tc>
        <w:tc>
          <w:tcPr>
            <w:tcW w:type="pct" w:w="30%"/>
          </w:tcPr>
          <w:p>
            <w:r>
              <w:rPr>
                <w:b w:val="false"/>
                <w:bCs w:val="false"/>
              </w:rPr>
              <w:t xml:space="preserve">Implemented, unit-tested</w:t>
            </w:r>
          </w:p>
        </w:tc>
      </w:tr>
      <w:tr>
        <w:tc>
          <w:tcPr>
            <w:tcW w:type="pct" w:w="30%"/>
          </w:tcPr>
          <w:p>
            <w:r>
              <w:rPr>
                <w:b w:val="false"/>
                <w:bCs w:val="false"/>
              </w:rPr>
              <w:t xml:space="preserve">Training algorithm (Contribution 3)</w:t>
            </w:r>
          </w:p>
        </w:tc>
        <w:tc>
          <w:tcPr>
            <w:tcW w:type="pct" w:w="40%"/>
          </w:tcPr>
          <w:p>
            <w:r>
              <w:rPr>
                <w:b w:val="false"/>
                <w:bCs w:val="false"/>
              </w:rPr>
              <w:t xml:space="preserve">CGCT</w:t>
            </w:r>
          </w:p>
        </w:tc>
        <w:tc>
          <w:tcPr>
            <w:tcW w:type="pct" w:w="30%"/>
          </w:tcPr>
          <w:p>
            <w:r>
              <w:rPr>
                <w:b w:val="false"/>
                <w:bCs w:val="false"/>
              </w:rPr>
              <w:t xml:space="preserve">Implemented, unit-tested</w:t>
            </w:r>
          </w:p>
        </w:tc>
      </w:tr>
      <w:tr>
        <w:tc>
          <w:tcPr>
            <w:tcW w:type="pct" w:w="30%"/>
          </w:tcPr>
          <w:p>
            <w:r>
              <w:rPr>
                <w:b w:val="false"/>
                <w:bCs w:val="false"/>
              </w:rPr>
              <w:t xml:space="preserve">XAI layer</w:t>
            </w:r>
          </w:p>
        </w:tc>
        <w:tc>
          <w:tcPr>
            <w:tcW w:type="pct" w:w="40%"/>
          </w:tcPr>
          <w:p>
            <w:r>
              <w:rPr>
                <w:b w:val="false"/>
                <w:bCs w:val="false"/>
              </w:rPr>
              <w:t xml:space="preserve">SHAP / Grad-CAM / DiCE / MC-Dropout</w:t>
            </w:r>
          </w:p>
        </w:tc>
        <w:tc>
          <w:tcPr>
            <w:tcW w:type="pct" w:w="30%"/>
          </w:tcPr>
          <w:p>
            <w:r>
              <w:rPr>
                <w:b w:val="false"/>
                <w:bCs w:val="false"/>
              </w:rPr>
              <w:t xml:space="preserve">Skeletons defined; implementation TODO</w:t>
            </w:r>
          </w:p>
        </w:tc>
      </w:tr>
    </w:tbl>
    <w:p>
      <w:pPr>
        <w:pStyle w:val="Heading1"/>
        <w:spacing w:after="150" w:before="300"/>
      </w:pPr>
      <w:r>
        <w:t xml:space="preserve">3. Contribution 1 — CSG-Fusion (Counterfactual-Sensitivity-Gated Fusion)</w:t>
      </w:r>
    </w:p>
    <w:p>
      <w:pPr>
        <w:spacing w:after="120"/>
      </w:pPr>
      <w:r>
        <w:t xml:space="preserve">Location: src/models/csg_fusion.py</w:t>
      </w:r>
    </w:p>
    <w:p>
      <w:pPr>
        <w:spacing w:after="120"/>
      </w:pPr>
      <w:r>
        <w:t xml:space="preserve">What it does: runs a cheap, differentiable counterfactual probe during every forward pass — perturbing tabular features and measuring how much the prediction shifts — and uses that sensitivity signal, combined with per-modality MC-Dropout uncertainty, to gate the cross-modal attention fusion. A counterfactual consistency loss during training keeps the model's sensitivity aligned with clinically meaningful features (bilirubin, albumin, SGOT).</w:t>
      </w:r>
    </w:p>
    <w:p>
      <w:pPr>
        <w:pStyle w:val="Heading2"/>
        <w:spacing w:after="120" w:before="250"/>
      </w:pPr>
      <w:r>
        <w:t xml:space="preserve">Literature checked</w:t>
      </w:r>
    </w:p>
    <w:p>
      <w:pPr>
        <w:pStyle w:val="ListParagraph"/>
        <w:numPr>
          <w:ilvl w:val="0"/>
          <w:numId w:val="1"/>
        </w:numPr>
        <w:spacing w:after="80"/>
      </w:pPr>
      <w:r>
        <w:t xml:space="preserve">Counterfactual-guided attention exists already for unimodal fine-grained image recognition (counterfactual intervention used as a training signal for attention maps).</w:t>
      </w:r>
    </w:p>
    <w:p>
      <w:pPr>
        <w:pStyle w:val="ListParagraph"/>
        <w:numPr>
          <w:ilvl w:val="0"/>
          <w:numId w:val="1"/>
        </w:numPr>
        <w:spacing w:after="80"/>
      </w:pPr>
      <w:r>
        <w:t xml:space="preserve">Uncertainty-gated cross-modal (image + tabular) fusion exists already for other diseases (chest X-ray, bone health, outdoor health monitoring).</w:t>
      </w:r>
    </w:p>
    <w:p>
      <w:pPr>
        <w:pStyle w:val="ListParagraph"/>
        <w:numPr>
          <w:ilvl w:val="0"/>
          <w:numId w:val="1"/>
        </w:numPr>
        <w:spacing w:after="80"/>
      </w:pPr>
      <w:r>
        <w:t xml:space="preserve">The combination of both signals gating fusion, applied to image+tabular liver disease prediction with multi-task heads, was not found in either literature pass run for this project.</w:t>
      </w:r>
    </w:p>
    <w:p>
      <w:pPr>
        <w:pStyle w:val="Heading1"/>
        <w:spacing w:after="150" w:before="300"/>
      </w:pPr>
      <w:r>
        <w:t xml:space="preserve">4. Contribution 2 — CUSP-Cascade (Cascaded Uncertainty-and-Sensitivity Propagation)</w:t>
      </w:r>
    </w:p>
    <w:p>
      <w:pPr>
        <w:spacing w:after="120"/>
      </w:pPr>
      <w:r>
        <w:t xml:space="preserve">Location: src/models/cascade_heads.py</w:t>
      </w:r>
    </w:p>
    <w:p>
      <w:pPr>
        <w:spacing w:after="120"/>
      </w:pPr>
      <w:r>
        <w:t xml:space="preserve">What it does: replaces three independent task heads with a clinically-ordered cascade (detect -&gt; stage -&gt; assess severity). Each head passes forward its own epistemic uncertainty and the counterfactual sensitivity vector from CSG-Fusion to the next head, so e.g. the staging head knows how confident the detection step was before making its own call.</w:t>
      </w:r>
    </w:p>
    <w:p>
      <w:pPr>
        <w:pStyle w:val="Heading2"/>
        <w:spacing w:after="120" w:before="250"/>
      </w:pPr>
      <w:r>
        <w:t xml:space="preserve">Literature checked</w:t>
      </w:r>
    </w:p>
    <w:p>
      <w:pPr>
        <w:pStyle w:val="ListParagraph"/>
        <w:numPr>
          <w:ilvl w:val="0"/>
          <w:numId w:val="1"/>
        </w:numPr>
        <w:spacing w:after="80"/>
      </w:pPr>
      <w:r>
        <w:t xml:space="preserve">Clinically-ordered cascaded multi-task heads exist already (bone disease, GI lesions, COVID/pneumonia, dementia staging).</w:t>
      </w:r>
    </w:p>
    <w:p>
      <w:pPr>
        <w:pStyle w:val="ListParagraph"/>
        <w:numPr>
          <w:ilvl w:val="0"/>
          <w:numId w:val="1"/>
        </w:numPr>
        <w:spacing w:after="80"/>
      </w:pPr>
      <w:r>
        <w:t xml:space="preserve">Uncertainty propagation through cascaded medical imaging pipelines exists already (MRI reconstruction -&gt; downstream prediction).</w:t>
      </w:r>
    </w:p>
    <w:p>
      <w:pPr>
        <w:pStyle w:val="ListParagraph"/>
        <w:numPr>
          <w:ilvl w:val="0"/>
          <w:numId w:val="1"/>
        </w:numPr>
        <w:spacing w:after="80"/>
      </w:pPr>
      <w:r>
        <w:t xml:space="preserve">Propagating BOTH uncertainty and counterfactual sensitivity jointly through a clinically-ordered cascade, sourced from a gated multimodal fusion layer, was not found in either literature pass for this project.</w:t>
      </w:r>
    </w:p>
    <w:p>
      <w:pPr>
        <w:pStyle w:val="Heading2"/>
        <w:spacing w:after="120" w:before="250"/>
      </w:pPr>
      <w:r>
        <w:t xml:space="preserve">Architecture analysis</w:t>
      </w:r>
    </w:p>
    <w:p>
      <w:pPr>
        <w:spacing w:after="120"/>
      </w:pPr>
      <w:r>
        <w:t xml:space="preserve">Expected benefit (hypothesis to test, not a guarantee): error containment (downstream heads can hedge when upstream confidence is low) and tighter agreement between the model's internal reasoning and its later post-hoc explanations.</w:t>
      </w:r>
    </w:p>
    <w:p>
      <w:pPr>
        <w:spacing w:after="120"/>
      </w:pPr>
      <w:r>
        <w:t xml:space="preserve">Known risk: cascade error propagation — if the detection head is wrong early in training, that error can bias the staging head. This is the documented failure mode in the cascade literature reviewed above. Contribution 3 (CGCT) was built specifically to address this.</w:t>
      </w:r>
    </w:p>
    <w:p>
      <w:pPr>
        <w:spacing w:after="120"/>
      </w:pPr>
      <w:r>
        <w:t xml:space="preserve">Cost: wider head inputs (propagated signals) and a training-time multi-pass uncertainty estimate roughly triple each head's forward cost. Small relative to the imaging encoder; report it honestly in a parameter-count / inference-time table.</w:t>
      </w:r>
    </w:p>
    <w:p>
      <w:pPr>
        <w:pStyle w:val="Heading1"/>
        <w:spacing w:after="150" w:before="300"/>
      </w:pPr>
      <w:r>
        <w:t xml:space="preserve">5. Contribution 3 — Confidence-Gated Cascade Training (CGCT)</w:t>
      </w:r>
    </w:p>
    <w:p>
      <w:pPr>
        <w:spacing w:after="120"/>
      </w:pPr>
      <w:r>
        <w:t xml:space="preserve">Location: src/training/confidence_gated_training.py</w:t>
      </w:r>
    </w:p>
    <w:p>
      <w:pPr>
        <w:spacing w:after="120"/>
      </w:pPr>
      <w:r>
        <w:t xml:space="preserve">What it does: a training algorithm (not an architecture) that decides, per sample, whether CUSP-Cascade should condition the next stage on its own upstream prediction or on ground truth — based on the upstream head's own uncertainty — with a decaying global schedule. Built specifically to fix the cascade-error-propagation risk named in Contribution 2.</w:t>
      </w:r>
    </w:p>
    <w:p>
      <w:pPr>
        <w:pStyle w:val="Heading2"/>
        <w:spacing w:after="120" w:before="250"/>
      </w:pPr>
      <w:r>
        <w:t xml:space="preserve">Honest lineage — state this exactly</w:t>
      </w:r>
    </w:p>
    <w:p>
      <w:pPr>
        <w:spacing w:after="120"/>
      </w:pPr>
      <w:r>
        <w:t xml:space="preserve">This is a direct adaptation of Confidence-Aware Scheduled Sampling (Liu et al., 2021, Neural Machine Translation), which already uses model confidence to choose between ground truth and self-prediction during training, including with MC-Dropout-based confidence in parts of that line of work. That mechanism was built for autoregressive token-by-token sequence decoding.</w:t>
      </w:r>
    </w:p>
    <w:p>
      <w:pPr>
        <w:spacing w:after="120"/>
      </w:pPr>
      <w:r>
        <w:t xml:space="preserve">What is new here: applying it to a non-autoregressive, heterogeneous multi-task clinical cascade (binary detection -&gt; multi-class staging -&gt; continuous severity regression) instead of token sequence decoding. This combination was not found in any literature pass run for this project.</w:t>
      </w:r>
    </w:p>
    <w:p>
      <w:pPr>
        <w:pStyle w:val="Heading1"/>
        <w:spacing w:after="150" w:before="300"/>
      </w:pPr>
      <w:r>
        <w:t xml:space="preserve">6. How to state the novelty claim (use this wording)</w:t>
      </w:r>
    </w:p>
    <w:p>
      <w:pPr>
        <w:spacing w:after="120"/>
      </w:pPr>
      <w:r>
        <w:t xml:space="preserve">"We propose a system combining three contributions: (1) CSG-Fusion, the first application of counterfactual-sensitivity-gated, uncertainty-aware cross-modal fusion to multimodal liver disease prediction; (2) CUSP-Cascade, which extends clinically-ordered multi-task cascades by jointly propagating epistemic uncertainty and counterfactual feature sensitivity between stages; and (3) Confidence-Gated Cascade Training, an adaptation of confidence-aware scheduled sampling (Liu et al. 2021) from autoregressive sequence decoding to heterogeneous multi-task clinical cascades."</w:t>
      </w:r>
    </w:p>
    <w:p>
      <w:pPr>
        <w:spacing w:after="120"/>
      </w:pPr>
      <w:r>
        <w:rPr>
          <w:i/>
          <w:iCs/>
        </w:rPr>
        <w:t xml:space="preserve">Do not claim unqualified world-first novelty for any individual mechanism in isolation — every individual building block (counterfactual-guided attention, uncertainty-gated fusion, cascaded multi-task heads, confidence-aware sampling) has prior art outside this specific application. The defensible claim is the specific combination, applied to this specific problem. Verify with one more targeted search yourself before final submission, since this is a fast-moving research area.</w:t>
      </w:r>
    </w:p>
    <w:p>
      <w:pPr>
        <w:pStyle w:val="Heading1"/>
        <w:spacing w:after="150" w:before="300"/>
      </w:pPr>
      <w:r>
        <w:t xml:space="preserve">7. Weaknesses Found and Fixed (self-review)</w:t>
      </w:r>
    </w:p>
    <w:p>
      <w:pPr>
        <w:spacing w:after="120"/>
      </w:pPr>
      <w:r>
        <w:t xml:space="preserve">A self-review pass was conducted while integrating Contribution 3. Three real weaknesses were found in the prior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DDDDD" w:val="clear"/>
          </w:tcPr>
          <w:p>
            <w:r>
              <w:rPr>
                <w:b/>
                <w:bCs/>
              </w:rPr>
              <w:t xml:space="preserve">#</w:t>
            </w:r>
          </w:p>
        </w:tc>
        <w:tc>
          <w:tcPr>
            <w:tcW w:type="pct" w:w="45%"/>
            <w:shd w:fill="DDDDDD" w:val="clear"/>
          </w:tcPr>
          <w:p>
            <w:r>
              <w:rPr>
                <w:b/>
                <w:bCs/>
              </w:rPr>
              <w:t xml:space="preserve">Weakness</w:t>
            </w:r>
          </w:p>
        </w:tc>
        <w:tc>
          <w:tcPr>
            <w:tcW w:type="pct" w:w="20%"/>
            <w:shd w:fill="DDDDDD" w:val="clear"/>
          </w:tcPr>
          <w:p>
            <w:r>
              <w:rPr>
                <w:b/>
                <w:bCs/>
              </w:rPr>
              <w:t xml:space="preserve">Location</w:t>
            </w:r>
          </w:p>
        </w:tc>
        <w:tc>
          <w:tcPr>
            <w:tcW w:type="pct" w:w="25%"/>
            <w:shd w:fill="DDDDDD" w:val="clear"/>
          </w:tcPr>
          <w:p>
            <w:r>
              <w:rPr>
                <w:b/>
                <w:bCs/>
              </w:rPr>
              <w:t xml:space="preserve">Fix</w:t>
            </w:r>
          </w:p>
        </w:tc>
      </w:tr>
      <w:tr>
        <w:tc>
          <w:tcPr>
            <w:tcW w:type="pct" w:w="10%"/>
          </w:tcPr>
          <w:p>
            <w:r>
              <w:rPr>
                <w:b w:val="false"/>
                <w:bCs w:val="false"/>
              </w:rPr>
              <w:t xml:space="preserve">1</w:t>
            </w:r>
          </w:p>
        </w:tc>
        <w:tc>
          <w:tcPr>
            <w:tcW w:type="pct" w:w="45%"/>
          </w:tcPr>
          <w:p>
            <w:r>
              <w:rPr>
                <w:b w:val="false"/>
                <w:bCs w:val="false"/>
              </w:rPr>
              <w:t xml:space="preserve">_quick_mc_uncertainty raised NotImplementedError — the default "csg" fusion path could never run end-to-end.</w:t>
            </w:r>
          </w:p>
        </w:tc>
        <w:tc>
          <w:tcPr>
            <w:tcW w:type="pct" w:w="20%"/>
          </w:tcPr>
          <w:p>
            <w:r>
              <w:rPr>
                <w:b w:val="false"/>
                <w:bCs w:val="false"/>
              </w:rPr>
              <w:t xml:space="preserve">cmcht_model.py</w:t>
            </w:r>
          </w:p>
        </w:tc>
        <w:tc>
          <w:tcPr>
            <w:tcW w:type="pct" w:w="25%"/>
          </w:tcPr>
          <w:p>
            <w:r>
              <w:rPr>
                <w:b w:val="false"/>
                <w:bCs w:val="false"/>
              </w:rPr>
              <w:t xml:space="preserve">Implemented: forces dropout active, runs N stochastic passes, returns per-sample variance.</w:t>
            </w:r>
          </w:p>
        </w:tc>
      </w:tr>
      <w:tr>
        <w:tc>
          <w:tcPr>
            <w:tcW w:type="pct" w:w="10%"/>
          </w:tcPr>
          <w:p>
            <w:r>
              <w:rPr>
                <w:b w:val="false"/>
                <w:bCs w:val="false"/>
              </w:rPr>
              <w:t xml:space="preserve">2</w:t>
            </w:r>
          </w:p>
        </w:tc>
        <w:tc>
          <w:tcPr>
            <w:tcW w:type="pct" w:w="45%"/>
          </w:tcPr>
          <w:p>
            <w:r>
              <w:rPr>
                <w:b w:val="false"/>
                <w:bCs w:val="false"/>
              </w:rPr>
              <w:t xml:space="preserve">Training-time uncertainty estimated from a single pair of stochastic passes — high-variance, ~1 degree of freedom, unreliable.</w:t>
            </w:r>
          </w:p>
        </w:tc>
        <w:tc>
          <w:tcPr>
            <w:tcW w:type="pct" w:w="20%"/>
          </w:tcPr>
          <w:p>
            <w:r>
              <w:rPr>
                <w:b w:val="false"/>
                <w:bCs w:val="false"/>
              </w:rPr>
              <w:t xml:space="preserve">cascade_heads.py</w:t>
            </w:r>
          </w:p>
        </w:tc>
        <w:tc>
          <w:tcPr>
            <w:tcW w:type="pct" w:w="25%"/>
          </w:tcPr>
          <w:p>
            <w:r>
              <w:rPr>
                <w:b w:val="false"/>
                <w:bCs w:val="false"/>
              </w:rPr>
              <w:t xml:space="preserve">Now averages over 3 stochastic passes during training, matching the inference-time approach.</w:t>
            </w:r>
          </w:p>
        </w:tc>
      </w:tr>
      <w:tr>
        <w:tc>
          <w:tcPr>
            <w:tcW w:type="pct" w:w="10%"/>
          </w:tcPr>
          <w:p>
            <w:r>
              <w:rPr>
                <w:b w:val="false"/>
                <w:bCs w:val="false"/>
              </w:rPr>
              <w:t xml:space="preserve">3 (open)</w:t>
            </w:r>
          </w:p>
        </w:tc>
        <w:tc>
          <w:tcPr>
            <w:tcW w:type="pct" w:w="45%"/>
          </w:tcPr>
          <w:p>
            <w:r>
              <w:rPr>
                <w:b w:val="false"/>
                <w:bCs w:val="false"/>
              </w:rPr>
              <w:t xml:space="preserve">With all three contributions active, imaging/tabular encoders run 6x+ per training step (mc_passes=5 plus probe passes) — dominant training cost.</w:t>
            </w:r>
          </w:p>
        </w:tc>
        <w:tc>
          <w:tcPr>
            <w:tcW w:type="pct" w:w="20%"/>
          </w:tcPr>
          <w:p>
            <w:r>
              <w:rPr>
                <w:b w:val="false"/>
                <w:bCs w:val="false"/>
              </w:rPr>
              <w:t xml:space="preserve">cmcht_model.py, csg_fusion.py</w:t>
            </w:r>
          </w:p>
        </w:tc>
        <w:tc>
          <w:tcPr>
            <w:tcW w:type="pct" w:w="25%"/>
          </w:tcPr>
          <w:p>
            <w:r>
              <w:rPr>
                <w:b w:val="false"/>
                <w:bCs w:val="false"/>
              </w:rPr>
              <w:t xml:space="preserve">Documented, not fixed — right fix (fewer passes vs. caching) depends on real hardware/batch-size numbers not yet available. Flagged for a tuning decision once profiling is possible.</w:t>
            </w:r>
          </w:p>
        </w:tc>
      </w:tr>
    </w:tbl>
    <w:p>
      <w:pPr>
        <w:spacing w:after="120"/>
      </w:pPr>
      <w:r>
        <w:rPr>
          <w:i/>
          <w:iCs/>
        </w:rPr>
        <w:t xml:space="preserve">Weakness 3 is intentionally left as a documented trade-off rather than papered over: every available fix changes the accuracy of the uncertainty signal that both CSG-Fusion's consistency loss and CGCT's confidence gate depend on. Guessing the right fix now, before real profiling data exists, risks quietly corrupting that signal.</w:t>
      </w:r>
    </w:p>
    <w:p>
      <w:pPr>
        <w:pStyle w:val="Heading1"/>
        <w:spacing w:after="150" w:before="300"/>
      </w:pPr>
      <w:r>
        <w:t xml:space="preserve">8. Updated Folder Structure</w:t>
      </w:r>
    </w:p>
    <w:p>
      <w:pPr>
        <w:spacing w:after="120"/>
      </w:pPr>
      <w:r>
        <w:t xml:space="preserve">liver-cmcht-xai/config, data/{raw,processed}, notebooks/, src/{data, models (csg_fusion.py, cascade_heads.py, fusion.py, heads.py, cmcht_model.py, imaging_encoder.py, tabular_encoder.py), training/ (confidence_gated_training.py — new), pretrain/, explainability/, utils/, train.py, evaluate.py}, dashboard/, checkpoints/, results/, tests/.</w:t>
      </w:r>
    </w:p>
    <w:p>
      <w:pPr>
        <w:pStyle w:val="Heading1"/>
        <w:spacing w:after="150" w:before="300"/>
      </w:pPr>
      <w:r>
        <w:t xml:space="preserve">9. Required Ablation Plan</w:t>
      </w:r>
    </w:p>
    <w:p>
      <w:pPr>
        <w:spacing w:after="120"/>
      </w:pPr>
      <w:r>
        <w:t xml:space="preserve">Five rows minimum, to isolate each contribution's effect rather than only reporting the full system vs. baseline:</w:t>
      </w:r>
    </w:p>
    <w:p>
      <w:pPr>
        <w:pStyle w:val="ListParagraph"/>
        <w:numPr>
          <w:ilvl w:val="0"/>
          <w:numId w:val="1"/>
        </w:numPr>
        <w:spacing w:after="80"/>
      </w:pPr>
      <w:r>
        <w:t xml:space="preserve">1. cross_attention fusion + independent heads (full baseline)</w:t>
      </w:r>
    </w:p>
    <w:p>
      <w:pPr>
        <w:pStyle w:val="ListParagraph"/>
        <w:numPr>
          <w:ilvl w:val="0"/>
          <w:numId w:val="1"/>
        </w:numPr>
        <w:spacing w:after="80"/>
      </w:pPr>
      <w:r>
        <w:t xml:space="preserve">2. csg fusion + independent heads (Contribution 1 alone)</w:t>
      </w:r>
    </w:p>
    <w:p>
      <w:pPr>
        <w:pStyle w:val="ListParagraph"/>
        <w:numPr>
          <w:ilvl w:val="0"/>
          <w:numId w:val="1"/>
        </w:numPr>
        <w:spacing w:after="80"/>
      </w:pPr>
      <w:r>
        <w:t xml:space="preserve">3. cross_attention fusion + cusp cascade, no CGCT (Contribution 2 alone)</w:t>
      </w:r>
    </w:p>
    <w:p>
      <w:pPr>
        <w:pStyle w:val="ListParagraph"/>
        <w:numPr>
          <w:ilvl w:val="0"/>
          <w:numId w:val="1"/>
        </w:numPr>
        <w:spacing w:after="80"/>
      </w:pPr>
      <w:r>
        <w:t xml:space="preserve">4. csg fusion + cusp cascade, no CGCT (Contributions 1+2)</w:t>
      </w:r>
    </w:p>
    <w:p>
      <w:pPr>
        <w:pStyle w:val="ListParagraph"/>
        <w:numPr>
          <w:ilvl w:val="0"/>
          <w:numId w:val="1"/>
        </w:numPr>
        <w:spacing w:after="80"/>
      </w:pPr>
      <w:r>
        <w:t xml:space="preserve">5. csg fusion + cusp cascade + CGCT (full proposed system, Contributions 1+2+3)</w:t>
      </w:r>
    </w:p>
    <w:p>
      <w:pPr>
        <w:pStyle w:val="Heading1"/>
        <w:spacing w:after="150" w:before="300"/>
      </w:pPr>
      <w:r>
        <w:t xml:space="preserve">10. Verification Performed</w:t>
      </w:r>
    </w:p>
    <w:p>
      <w:pPr>
        <w:spacing w:after="120"/>
      </w:pPr>
      <w:r>
        <w:t xml:space="preserve">All three new modules (csg_fusion.py, cascade_heads.py, confidence_gated_training.py) were syntax-checked and executed end-to-end with synthetic tensors during this revision — including a full forward pass through CUSP-Cascade with CGCT mixing active — confirming shapes and value ranges are correct. This does not replace training on real data; it confirms the code runs as designed.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2026-06-23T03:18:46.253Z</dcterms:created>
  <dcterms:modified xsi:type="dcterms:W3CDTF">2026-06-23T03:18:46.253Z</dcterms:modified>
</cp:coreProperties>
</file>

<file path=docProps/custom.xml><?xml version="1.0" encoding="utf-8"?>
<Properties xmlns="http://schemas.openxmlformats.org/officeDocument/2006/custom-properties" xmlns:vt="http://schemas.openxmlformats.org/officeDocument/2006/docPropsVTypes"/>
</file>