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MEMO INTERNAL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Perihal: Permintaan Blokir Rekening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Tanggal: {{tgl2}}</w:t>
      </w:r>
    </w:p>
    <w:p>
      <w:pPr>
        <w:spacing w:after="120"/>
      </w:pPr>
      <w:r>
        <w:rPr>
          <w:sz w:val="22"/>
          <w:szCs w:val="22"/>
        </w:rPr>
        <w:t xml:space="preserve">Kepada: Bagian Operasional</w:t>
      </w:r>
    </w:p>
    <w:p>
      <w:pPr>
        <w:spacing w:after="120"/>
      </w:pPr>
      <w:r>
        <w:rPr>
          <w:sz w:val="22"/>
          <w:szCs w:val="22"/>
        </w:rPr>
        <w:t xml:space="preserve">Dari: Bagian Pembiayaan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Mohon dilakukan pemblokiran atas rekening berikut sehubungan dengan proses akad pembiayaan: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No. Rekening: {{noRekN}}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memo ini disampaikan untuk dapat ditindaklanjuti. Terima kasih.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Hormat kami,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____________________ )</w:t>
      </w:r>
    </w:p>
    <w:sectPr>
      <w:pgSz w:w="12240" w:h="15840"/>
      <w:pgMar w:top="1440" w:right="1440" w:bottom="1440" w:left="1440" w:header="720" w:footer="720" w:gutter="0"/>
    </w:sectPr>
  </w:body>
</w:document>
</file>