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PERNYATAAN GCG NASABAH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>No. Telepon: {{noTelN}}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menyatakan tunduk pada prinsip Good Corporate Governance (GCG) yang diterapkan oleh Bank, serta tidak akan melakukan tindakan yang melanggar peraturan perundang-undangan yang berlaku.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Pernyataan ini dibuat pada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surat ini dibuat dengan sebenarnya tanpa adanya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Kota Contoh, {{tgl2}}</w:t>
      </w:r>
    </w:p>
    <w:p>
      <w:pPr>
        <w:jc w:val="right"/>
        <w:spacing w:after="120"/>
      </w:pPr>
      <w:r>
        <w:rPr>
          <w:sz w:val="22"/>
          <w:szCs w:val="22"/>
        </w:rPr>
        <w:t xml:space="preserve">Yang membuat pernyataan,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{{namaN}} )</w:t>
      </w:r>
    </w:p>
    <w:sectPr>
      <w:pgSz w:w="12240" w:h="15840"/>
      <w:pgMar w:top="1440" w:right="1440" w:bottom="1440" w:left="1440" w:header="720" w:footer="720" w:gutter="0"/>
    </w:sectPr>
  </w:body>
</w:document>
</file>