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FORM REKAP PENCAIRAN (FRP)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Nama Nasabah: {{namaN}}</w:t>
      </w:r>
    </w:p>
    <w:p>
      <w:pPr>
        <w:spacing w:after="120"/>
      </w:pPr>
      <w:r>
        <w:rPr>
          <w:sz w:val="22"/>
          <w:szCs w:val="22"/>
        </w:rPr>
        <w:t xml:space="preserve">No. Rekening: {{noRekN}}</w:t>
      </w:r>
    </w:p>
    <w:p>
      <w:pPr>
        <w:spacing w:after="120"/>
      </w:pPr>
      <w:r>
        <w:rPr>
          <w:sz w:val="22"/>
          <w:szCs w:val="22"/>
        </w:rPr>
        <w:t xml:space="preserve">Tanggal Pencairan: {{tgl2}}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Rincian pencairan akan diisi oleh petugas operasional sesuai dengan dokumen pendukung yang sah.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Form ini merupakan bukti rekapitulasi internal dan harus diarsipkan bersama berkas akad.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Petugas Pencairan,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____________________ )</w:t>
      </w:r>
    </w:p>
    <w:sectPr>
      <w:pgSz w:w="12240" w:h="15840"/>
      <w:pgMar w:top="1440" w:right="1440" w:bottom="1440" w:left="1440" w:header="720" w:footer="720" w:gutter="0"/>
    </w:sectPr>
  </w:body>
</w:document>
</file>