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sz w:val="30"/>
        </w:rPr>
        <w:t>MAVLink/ArduCopter Fuzzing Study – ICES Relevance Summary</w:t>
      </w:r>
    </w:p>
    <w:p>
      <w:pPr>
        <w:spacing w:after="140"/>
        <w:jc w:val="center"/>
      </w:pPr>
      <w:r>
        <w:rPr>
          <w:i/>
          <w:sz w:val="17"/>
        </w:rPr>
        <w:t>One-page technical summary of the paper and current SITL test results</w:t>
      </w:r>
    </w:p>
    <w:p>
      <w:pPr>
        <w:spacing w:before="40" w:after="40"/>
      </w:pPr>
      <w:r>
        <w:rPr>
          <w:rFonts w:ascii="Aptos Display" w:hAnsi="Aptos Display"/>
          <w:b/>
          <w:sz w:val="20"/>
        </w:rPr>
        <w:t>Overview</w:t>
      </w:r>
    </w:p>
    <w:p>
      <w:pPr>
        <w:spacing w:after="60"/>
      </w:pPr>
      <w:r>
        <w:t>The paper investigates the robustness of ArduCopter against malformed and unexpected MAVLink inputs using a dedicated fuzzing framework. Its approach systematically generates random, boundary-value, and structurally malformed messages, sends them to ArduCopter SITL, records reproducible test cases, and observes failures such as crashes or abnormal behavior. The original work used an older MAVLink/SITL environment; our implementation modernizes the approach for the current ArduCopter SITL and MAVLink 2.</w:t>
      </w:r>
    </w:p>
    <w:p>
      <w:pPr>
        <w:spacing w:before="40" w:after="40"/>
      </w:pPr>
      <w:r>
        <w:rPr>
          <w:rFonts w:ascii="Aptos Display" w:hAnsi="Aptos Display"/>
          <w:b/>
          <w:sz w:val="20"/>
        </w:rPr>
        <w:t>Why this is relevant to the ICES program</w:t>
      </w:r>
    </w:p>
    <w:p>
      <w:pPr>
        <w:spacing w:after="60"/>
      </w:pPr>
      <w:r>
        <w:t>Yes — this testing is directly relevant to ICES because ICES depends on reliable UAV-to-ground and airborne communication. MAVLink is a control/telemetry protocol commonly used around autopilot systems, so testing how an autopilot handles malformed or unexpected communication inputs helps assess the robustness of a UAV node at the communication interface. For ICES, this provides a security-testing foundation for later evaluating communication resilience, fault handling, and protocol robustness in a controlled laboratory environment.</w:t>
      </w:r>
    </w:p>
    <w:p>
      <w:pPr>
        <w:spacing w:before="40" w:after="40"/>
      </w:pPr>
      <w:r>
        <w:rPr>
          <w:rFonts w:ascii="Aptos Display" w:hAnsi="Aptos Display"/>
          <w:b/>
          <w:sz w:val="20"/>
        </w:rPr>
        <w:t>Current experimental status</w:t>
      </w:r>
    </w:p>
    <w:p>
      <w:pPr>
        <w:spacing w:after="60"/>
      </w:pPr>
      <w:r>
        <w:t>The current work has reproduced the paper’s seven test categories in a modernized MAVLink 2/ArduCopter SITL setup. The completed cases below did not produce an observed SITL crash. Case 2 requires a corrected full rerun because the first run encountered TCP backpressure/timeouts caused by the test harness sending data faster than SITL consumed it; this was not observed as a SITL crash.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sz w:val="16"/>
              </w:rPr>
              <w:t>Case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sz w:val="16"/>
              </w:rPr>
              <w:t>Test condition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sz w:val="16"/>
              </w:rPr>
              <w:t>Current result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Completely random data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4E3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crash detected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Message IDs + random payload lengths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Corrected full rerun remaining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Zero-byte payload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4E3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256/256; no crash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All 00 payload; lengths 1–255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4E3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255/255; no crash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All FF payload; lengths 1–255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4E3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255/255; no crash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Random payload; lengths 1–255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4E3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255/255; no crash</w:t>
            </w:r>
          </w:p>
        </w:tc>
      </w:tr>
      <w:tr>
        <w:tc>
          <w:tcPr>
            <w:tcW w:type="dxa" w:w="64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525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Declared length differs from actual by -1 / +1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  <w:shd w:fill="EAF4E3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509/509; no crash</w:t>
            </w:r>
          </w:p>
        </w:tc>
      </w:tr>
    </w:tbl>
    <w:p>
      <w:pPr>
        <w:spacing w:before="40" w:after="40"/>
      </w:pPr>
      <w:r>
        <w:rPr>
          <w:rFonts w:ascii="Aptos Display" w:hAnsi="Aptos Display"/>
          <w:b/>
          <w:sz w:val="20"/>
        </w:rPr>
        <w:t>Conclusion / remaining work</w:t>
      </w:r>
    </w:p>
    <w:p>
      <w:pPr>
        <w:spacing w:after="0"/>
      </w:pPr>
      <w:r>
        <w:t>The results provide an initial indication that the tested malformed-input classes did not crash the present ArduCopter SITL configuration. However, this is not yet a complete robustness assessment. The full corrected Case 2 run remains outstanding, and broader testing is still required, including higher-volume execution, additional message types/fields, parser-state and sequence interactions, transport conditions, logging/diagnostics, and reproducibility of any abnormal result. Therefore, the current outcome should be treated as preliminary security-testing evidence for ICES rather than a final robustness certification.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i/>
        <w:sz w:val="14"/>
      </w:rPr>
      <w:t>Prepared for ICES UAV communication security research | ArduCopter SITL / MAVLink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MAVLink/ArduCopter Fuzzing Study – ICES Relevance Summary</dc:title>
  <dc:subject>One-page paper summary and current fuzzing test results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