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sz w:val="30"/>
        </w:rPr>
        <w:t>Fuzzing Test Case Conditions and Results</w:t>
      </w:r>
    </w:p>
    <w:p>
      <w:pPr>
        <w:spacing w:before="0" w:after="60"/>
        <w:jc w:val="center"/>
      </w:pPr>
      <w:r>
        <w:rPr>
          <w:i/>
          <w:sz w:val="19"/>
        </w:rPr>
        <w:t>ArduCopter SITL / MAVLink Test Matrix</w:t>
      </w:r>
    </w:p>
    <w:p>
      <w:pPr>
        <w:spacing w:after="60" w:before="0"/>
      </w:pPr>
      <w:r>
        <w:rPr>
          <w:sz w:val="17"/>
        </w:rPr>
        <w:t>Summary: The table below describes each fuzzing test case, what the case sends to ArduCopter SITL, and the current execution result.</w:t>
      </w:r>
    </w:p>
    <w:p>
      <w:pPr>
        <w:spacing w:after="60" w:before="0"/>
      </w:pPr>
      <w:r>
        <w:rPr>
          <w:b/>
          <w:sz w:val="17"/>
        </w:rPr>
        <w:t xml:space="preserve">Test-case descriptions: </w:t>
      </w:r>
      <w:r>
        <w:rPr>
          <w:sz w:val="17"/>
        </w:rPr>
        <w:t>Each case changes a specific part of the MAVLink input so that the effect of that condition can be observed while keeping the remaining test setup controlled.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  <w:gridCol w:w="4824"/>
      </w:tblGrid>
      <w:tr>
        <w:trPr>
          <w:tblHeader w:val="true"/>
        </w:trPr>
        <w:tc>
          <w:tcPr>
            <w:tcW w:type="dxa" w:w="792"/>
            <w:vAlign w:val="center"/>
            <w:shd w:fill="D9EAF7"/>
          </w:tcPr>
          <w:p>
            <w:pPr>
              <w:spacing w:after="0" w:before="0" w:line="228" w:lineRule="auto"/>
            </w:pPr>
            <w:r>
              <w:rPr>
                <w:b/>
                <w:sz w:val="17"/>
              </w:rPr>
              <w:t>Case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before="0" w:line="228" w:lineRule="auto"/>
            </w:pPr>
            <w:r>
              <w:rPr>
                <w:b/>
                <w:sz w:val="17"/>
              </w:rPr>
              <w:t>Test condition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before="0" w:line="228" w:lineRule="auto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spacing w:after="0" w:before="0" w:line="228" w:lineRule="auto"/>
            </w:pPr>
            <w:r>
              <w:rPr>
                <w:b/>
                <w:sz w:val="17"/>
              </w:rPr>
              <w:t>What the test does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Completely random data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No crash detected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28" w:lineRule="auto"/>
            </w:pPr>
            <w:r>
              <w:rPr>
                <w:sz w:val="16"/>
              </w:rPr>
              <w:t>Generates completely random raw bytes with lengths from 1 to 1000 bytes and sends them to the SITL TCP endpoint. This tests how the receiver behaves when the incoming data is not intentionally constructed as a valid MAVLink frame.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b/>
                <w:sz w:val="16"/>
              </w:rPr>
              <w:t>Message IDs + random payload lengths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b/>
                <w:sz w:val="16"/>
              </w:rPr>
              <w:t>Needs corrected full rerun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28" w:lineRule="auto"/>
            </w:pPr>
            <w:r>
              <w:rPr>
                <w:sz w:val="16"/>
              </w:rPr>
              <w:t>Iterates through message IDs 0-255 while increasing the payload length from 1 to 255 bytes and using randomized payload bytes. Each input is built as a MAVLink 2 frame to exercise many message-ID/payload-size combinations.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Zero-byte payload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256/256, no crash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28" w:lineRule="auto"/>
            </w:pPr>
            <w:r>
              <w:rPr>
                <w:sz w:val="16"/>
              </w:rPr>
              <w:t>Sends MAVLink 2 frames for message IDs 0-255 with a payload length of exactly zero bytes. This checks how the parser handles frames that contain no payload data.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All 00 payload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255/255, no crash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28" w:lineRule="auto"/>
            </w:pPr>
            <w:r>
              <w:rPr>
                <w:sz w:val="16"/>
              </w:rPr>
              <w:t>Uses message ID 0 and sends payloads containing only 0x00 bytes, increasing the payload length from 1 to 255 bytes. This isolates the effect of an all-zero payload pattern across different payload sizes.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All FF payload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255/255, no crash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28" w:lineRule="auto"/>
            </w:pPr>
            <w:r>
              <w:rPr>
                <w:sz w:val="16"/>
              </w:rPr>
              <w:t>Uses message ID 0 and sends payloads containing only 0xFF bytes, increasing the payload length from 1 to 255 bytes. This tests the parser with the maximum byte value repeated across different payload sizes.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Random payload, increasing length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255/255, no crash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28" w:lineRule="auto"/>
            </w:pPr>
            <w:r>
              <w:rPr>
                <w:sz w:val="16"/>
              </w:rPr>
              <w:t>Uses message ID 0 with random payload contents and increases the payload length from 1 to 255 bytes. Unlike Cases 4 and 5, the payload changes randomly while the MAVLink 2 frame structure and CRC are constructed for each test.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Declared length +/-1 from actual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sz w:val="16"/>
              </w:rPr>
              <w:t>509/509, no crash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28" w:lineRule="auto"/>
            </w:pPr>
            <w:r>
              <w:rPr>
                <w:sz w:val="16"/>
              </w:rPr>
              <w:t>Deliberately makes the MAVLink 2 header length disagree with the number of payload bytes actually sent. Both directions are tested: declared length one byte smaller (-1) and one byte larger (+1) than the actual payload.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20" w:bottom="792" w:left="72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Fuzzing Test Case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