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67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套袋桃采摘机器人感知抓取与自主导航联合工程初步设计说明书</w:t>
      </w:r>
    </w:p>
    <w:bookmarkStart w:id="20" w:name="套袋桃采摘机器人感知抓取与自主导航联合工程"/>
    <w:p>
      <w:pPr>
        <w:pStyle w:val="Heading1"/>
      </w:pPr>
      <w:r>
        <w:t xml:space="preserve">套袋桃采摘机器人感知抓取与自主导航联合工程</w:t>
      </w:r>
    </w:p>
    <w:bookmarkEnd w:id="20"/>
    <w:bookmarkStart w:id="80" w:name="初步设计说明书"/>
    <w:p>
      <w:pPr>
        <w:pStyle w:val="Heading1"/>
      </w:pPr>
      <w:r>
        <w:t xml:space="preserve">初步设计说明书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套袋桃采摘机器人感知抓取与自主导航联合工程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初步设计说明书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明确总体方案、工艺流程、系统划分、主要接口及设备配置，满足方案评审及开展详细设计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同目录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  <w:rStyle w:val="VerbatimChar"/>
              </w:rPr>
              <w:t xml:space="preserve">figures/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《采摘机器人工作空间.xlsx》</w:t>
            </w:r>
          </w:p>
        </w:tc>
      </w:tr>
    </w:tbl>
    <w:p>
      <w:pPr>
        <w:pStyle w:val="BodyText"/>
      </w:pPr>
      <w:r>
        <w:rPr>
          <w:rFonts w:ascii="微软雅黑" w:hAnsi="微软雅黑" w:eastAsia="微软雅黑" w:cs="微软雅黑"/>
          <w:bCs/>
          <w:b/>
        </w:rPr>
        <w:t xml:space="preserve">目录</w:t>
      </w:r>
    </w:p>
    <w:p>
      <w:pPr>
        <w:pStyle w:val="BodyText"/>
      </w:pPr>
      <w:r>
        <w:t xml:space="preserve">1 概述</w:t>
      </w:r>
      <w:r>
        <w:br/>
      </w:r>
      <w:r>
        <w:t xml:space="preserve">2 需求规定与设计原则</w:t>
      </w:r>
      <w:r>
        <w:br/>
      </w:r>
      <w:r>
        <w:t xml:space="preserve">3 总体方案</w:t>
      </w:r>
      <w:r>
        <w:br/>
      </w:r>
      <w:r>
        <w:t xml:space="preserve">4 工艺流程</w:t>
      </w:r>
      <w:r>
        <w:br/>
      </w:r>
      <w:r>
        <w:t xml:space="preserve">5 分项设计</w:t>
      </w:r>
      <w:r>
        <w:br/>
      </w:r>
      <w:r>
        <w:t xml:space="preserve">6 设备配置</w:t>
      </w:r>
      <w:r>
        <w:br/>
      </w:r>
      <w:r>
        <w:t xml:space="preserve">7 接口设计</w:t>
      </w:r>
      <w:r>
        <w:br/>
      </w:r>
      <w:r>
        <w:t xml:space="preserve">8 运行与出错处理</w:t>
      </w:r>
      <w:r>
        <w:br/>
      </w:r>
      <w:r>
        <w:t xml:space="preserve">9 实施计划与遗留问题</w:t>
      </w:r>
      <w:r>
        <w:br/>
      </w:r>
      <w:r>
        <w:t xml:space="preserve">10 结论与建议</w:t>
      </w:r>
      <w:r>
        <w:br/>
      </w:r>
      <w:r>
        <w:t xml:space="preserve">附录</w:t>
      </w:r>
    </w:p>
    <w:p>
      <w:r>
        <w:pict>
          <v:rect style="width:0;height:1.5pt" o:hralign="center" o:hrstd="t" o:hr="t"/>
        </w:pict>
      </w:r>
    </w:p>
    <w:bookmarkStart w:id="26" w:name="概述"/>
    <w:p>
      <w:pPr>
        <w:pStyle w:val="Heading2"/>
      </w:pPr>
      <w:r>
        <w:t xml:space="preserve">1 概述</w:t>
      </w:r>
    </w:p>
    <w:bookmarkStart w:id="21" w:name="编写目的"/>
    <w:p>
      <w:pPr>
        <w:pStyle w:val="Heading3"/>
      </w:pPr>
      <w:r>
        <w:t xml:space="preserve">1.1 编写目的</w:t>
      </w:r>
    </w:p>
    <w:p>
      <w:pPr>
        <w:pStyle w:val="FirstParagraph"/>
      </w:pPr>
      <w:r>
        <w:t xml:space="preserve">编制本说明书，说明本工程的建设内容、总体方案、工艺流程、系统组成、主要设备及接口关系，供方案评审使用，并作为详细设计的依据。</w:t>
      </w:r>
    </w:p>
    <w:p>
      <w:pPr>
        <w:pStyle w:val="BodyText"/>
      </w:pPr>
      <w:r>
        <w:t xml:space="preserve">预期读者为项目负责人、总体设计、分项设计及现场实施人员。</w:t>
      </w:r>
    </w:p>
    <w:bookmarkEnd w:id="21"/>
    <w:bookmarkStart w:id="22" w:name="工程概况"/>
    <w:p>
      <w:pPr>
        <w:pStyle w:val="Heading3"/>
      </w:pPr>
      <w:r>
        <w:t xml:space="preserve">1.2 工程概况</w:t>
      </w:r>
    </w:p>
    <w:p>
      <w:pPr>
        <w:pStyle w:val="FirstParagraph"/>
      </w:pPr>
      <w:r>
        <w:t xml:space="preserve">本工程作业对象为果园套袋桃。产品方案为：空心圆柱沿袋轴套入袋体，袋子由内孔通过后连袋带果取走。圆柱内孔约百毫米量级，插入行程约二十厘米量级。</w:t>
      </w:r>
    </w:p>
    <w:p>
      <w:pPr>
        <w:pStyle w:val="BodyText"/>
      </w:pPr>
      <w:r>
        <w:t xml:space="preserve">现已建成固定座采摘能力，可完成开批、场景观察、目标选定、近距重建、抓取许可、圆柱套入及记账。机械臂工作空间有限，行间作业时须移动到位后再观察、再接触。车辆位移后，原臂基座坐标系下的目标坐标失效。套入过程中袋体变形、枝叶遮挡，腕上视觉难以持续估计袋轴。</w:t>
      </w:r>
    </w:p>
    <w:p>
      <w:pPr>
        <w:pStyle w:val="BodyText"/>
      </w:pPr>
      <w:r>
        <w:t xml:space="preserve">本工程不另建采摘产线，在现有采摘能力上增加车辆到位及双末端接触判断，实现移动作业条件下的联合运行。</w:t>
      </w:r>
    </w:p>
    <w:bookmarkEnd w:id="22"/>
    <w:bookmarkStart w:id="23" w:name="设计依据"/>
    <w:p>
      <w:pPr>
        <w:pStyle w:val="Heading3"/>
      </w:pPr>
      <w:r>
        <w:t xml:space="preserve">1.3 设计依据</w:t>
      </w:r>
    </w:p>
    <w:p>
      <w:pPr>
        <w:numPr>
          <w:ilvl w:val="0"/>
          <w:numId w:val="1001"/>
        </w:numPr>
        <w:pStyle w:val="Compact"/>
      </w:pPr>
      <w:r>
        <w:t xml:space="preserve">本工程建设任务：感知抓取与自主导航联合。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现有固定座采摘核的作业能力及末端几何。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五级功能分解参照表（底盘、定位、规划、臂、视觉、末端）。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配套工作簿《采摘机器人工作空间.xlsx》。</w:t>
      </w:r>
    </w:p>
    <w:p>
      <w:pPr>
        <w:pStyle w:val="FirstParagraph"/>
      </w:pPr>
      <w:r>
        <w:t xml:space="preserve">详细设计阶段的接口文件、程序说明及施工图不在本阶段编制。本工程不修改现行仓库已交付的运行行为。</w:t>
      </w:r>
    </w:p>
    <w:bookmarkEnd w:id="23"/>
    <w:bookmarkStart w:id="24" w:name="设计范围"/>
    <w:p>
      <w:pPr>
        <w:pStyle w:val="Heading3"/>
      </w:pPr>
      <w:r>
        <w:t xml:space="preserve">1.4 设计范围</w:t>
      </w:r>
    </w:p>
    <w:p>
      <w:pPr>
        <w:pStyle w:val="FirstParagraph"/>
      </w:pPr>
      <w:r>
        <w:t xml:space="preserve">本设计包括：总体方案及方案比选，工艺流程，调度、感知、导航、机械臂及末端的分项方案，主要设备配置，用户/内外部接口原则，运行控制及出错处理，实施分期。</w:t>
      </w:r>
    </w:p>
    <w:p>
      <w:pPr>
        <w:pStyle w:val="BodyText"/>
      </w:pPr>
      <w:r>
        <w:t xml:space="preserve">本设计不包括：底盘厂家驱动、导航参数整定、RTK 布站、器件品牌招标、源码与接口变更。</w:t>
      </w:r>
    </w:p>
    <w:bookmarkEnd w:id="24"/>
    <w:bookmarkStart w:id="25" w:name="主要任务"/>
    <w:p>
      <w:pPr>
        <w:pStyle w:val="Heading3"/>
      </w:pPr>
      <w:r>
        <w:t xml:space="preserve">1.5 主要任务</w:t>
      </w:r>
    </w:p>
    <w:p>
      <w:pPr>
        <w:numPr>
          <w:ilvl w:val="0"/>
          <w:numId w:val="1002"/>
        </w:numPr>
        <w:pStyle w:val="Compact"/>
      </w:pPr>
      <w:r>
        <w:t xml:space="preserve">确定车辆两层靠近（作业位、目标）的工艺及对外状态。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确定末端 A（刚接圆柱）与末端 B（自适应圆柱加姿态传感）的配置及判断关系。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确定调度指挥下导航、抓取、姿态三门的划分与失败处理。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需求规定与设计原则"/>
    <w:p>
      <w:pPr>
        <w:pStyle w:val="Heading2"/>
      </w:pPr>
      <w:r>
        <w:t xml:space="preserve">2 需求规定与设计原则</w:t>
      </w:r>
    </w:p>
    <w:bookmarkStart w:id="27" w:name="建设规模"/>
    <w:p>
      <w:pPr>
        <w:pStyle w:val="Heading3"/>
      </w:pPr>
      <w:r>
        <w:t xml:space="preserve">2.1 建设规模</w:t>
      </w:r>
    </w:p>
    <w:p>
      <w:pPr>
        <w:pStyle w:val="FirstParagraph"/>
      </w:pPr>
      <w:r>
        <w:t xml:space="preserve">按单车（或固定座）、单臂、单工位、批次作业设计。每批由人工启动，处理视野内若干目标后结束。导航分简易、主流两档，对外状态一致，内部行驶能力可替换。</w:t>
      </w:r>
    </w:p>
    <w:bookmarkEnd w:id="27"/>
    <w:bookmarkStart w:id="28" w:name="功能与性能规定"/>
    <w:p>
      <w:pPr>
        <w:pStyle w:val="Heading3"/>
      </w:pPr>
      <w:r>
        <w:t xml:space="preserve">2.2 功能与性能规定</w:t>
      </w:r>
    </w:p>
    <w:p>
      <w:pPr>
        <w:pStyle w:val="FirstParagraph"/>
      </w:pPr>
      <w:r>
        <w:t xml:space="preserve">表2-1 主要功能规定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套袋桃；主路径为圆柱套入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不纳入主路径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夹持、真空吸附、成熟度分选、果柄扭转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场景检测；当前目标近距重建；输出身份、坐标、状态、抓取许可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导航简易档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接收坐标与状态，按序宣布可抓取；不展开真实行驶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导航主流档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同一对外状态下完成定位、规划、底盘控制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机械臂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观察位运动；许可后沿袋轴直线套入及撤退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末端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刚接空心圆柱，按行程套入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末端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同形圆柱，有限自适应，接触段读取圆柱姿态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中止本批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失败、许可失败、姿态失败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放弃当前目标</w:t>
            </w:r>
          </w:p>
        </w:tc>
      </w:tr>
    </w:tbl>
    <w:p>
      <w:pPr>
        <w:pStyle w:val="BodyText"/>
      </w:pPr>
      <w:r>
        <w:t xml:space="preserve">抓取许可为套入几何的唯一依据。可抓取仅表示允许进入近距观察。末端 B 姿态用于接触段辅助判断，不替代许可，不用于发现下一目标。</w:t>
      </w:r>
    </w:p>
    <w:bookmarkEnd w:id="28"/>
    <w:bookmarkStart w:id="29" w:name="设计原则"/>
    <w:p>
      <w:pPr>
        <w:pStyle w:val="Heading3"/>
      </w:pPr>
      <w:r>
        <w:t xml:space="preserve">2.3 设计原则</w:t>
      </w:r>
    </w:p>
    <w:p>
      <w:pPr>
        <w:numPr>
          <w:ilvl w:val="0"/>
          <w:numId w:val="1003"/>
        </w:numPr>
        <w:pStyle w:val="Compact"/>
      </w:pPr>
      <w:r>
        <w:t xml:space="preserve">调度为唯一指挥。感知报送观察结果，导航报送车辆状态，机械臂执行许可运动。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先停车，后近距；先许可，后接触。行驶中不进行近距积分和套入。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简易档无位移时，仍须经历靠近中等规定状态，保证与主流档时序一致。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车体惯导与圆柱姿态传感分属。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批次人工启动；工具动作默认关闭。</w:t>
      </w:r>
    </w:p>
    <w:bookmarkEnd w:id="29"/>
    <w:bookmarkStart w:id="30" w:name="运行环境"/>
    <w:p>
      <w:pPr>
        <w:pStyle w:val="Heading3"/>
      </w:pPr>
      <w:r>
        <w:t xml:space="preserve">2.4 运行环境</w:t>
      </w:r>
    </w:p>
    <w:p>
      <w:pPr>
        <w:pStyle w:val="FirstParagraph"/>
      </w:pPr>
      <w:r>
        <w:t xml:space="preserve">室外果园，行间作业，光照变化大，枝叶遮挡。计算设备为现场工控机。腕上配置 RGB-D 相机。臂侧沿用现有急停与停轨。主流档另设底盘急停切断。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总体方案"/>
    <w:p>
      <w:pPr>
        <w:pStyle w:val="Heading2"/>
      </w:pPr>
      <w:r>
        <w:t xml:space="preserve">3 总体方案</w:t>
      </w:r>
    </w:p>
    <w:bookmarkStart w:id="32" w:name="方案比选"/>
    <w:p>
      <w:pPr>
        <w:pStyle w:val="Heading3"/>
      </w:pPr>
      <w:r>
        <w:t xml:space="preserve">3.1 方案比选</w:t>
      </w:r>
    </w:p>
    <w:p>
      <w:pPr>
        <w:pStyle w:val="FirstParagraph"/>
      </w:pPr>
      <w:r>
        <w:t xml:space="preserve">导航提出简易、主流两档。简易档验证调度与采摘的衔接；主流档承担园内行驶。两档共用对外状态，避免升级时改变指挥关系。</w:t>
      </w:r>
    </w:p>
    <w:p>
      <w:pPr>
        <w:pStyle w:val="BodyText"/>
      </w:pPr>
      <w:r>
        <w:t xml:space="preserve">表3-1 导航方案比选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比选项目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方案一 简易档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方案二 主流档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固定座，臂基座为世界系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RTK 双天线、车体 IMU、轮式里程计、雷达与视觉融合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规划与控制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无路径规划，不发底盘速度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全局规划、局部避障、行间巡航、刹停、紧急停车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作业位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视为已到达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航点及行间规划，失败中止本批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目标靠近 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校验后宣布可抓取，允许无位移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驶入臂可达区并确认静止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不增加底盘、天线、雷达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底盘、RTK、车体 IMU、3D 雷达、行间相机、底盘急停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与采摘衔接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坐标、状态 → 靠近 → 停车 → 可抓取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衔接相同，靠近为真实行驶</w:t>
            </w:r>
          </w:p>
        </w:tc>
      </w:tr>
    </w:tbl>
    <w:p>
      <w:pPr>
        <w:pStyle w:val="BodyText"/>
      </w:pPr>
      <w:r>
        <w:rPr>
          <w:rFonts w:ascii="微软雅黑" w:hAnsi="微软雅黑" w:eastAsia="微软雅黑" w:cs="微软雅黑"/>
          <w:bCs/>
          <w:b/>
        </w:rPr>
        <w:t xml:space="preserve">推荐：</w:t>
      </w:r>
      <w:r>
        <w:t xml:space="preserve"> </w:t>
      </w:r>
      <w:r>
        <w:t xml:space="preserve">本阶段采用方案一，方案二作为后续实施内容接入同一对外状态。先实施真车、调度门未定时，车辆与机械臂易争用同一作业节拍。</w:t>
      </w:r>
    </w:p>
    <w:p>
      <w:pPr>
        <w:pStyle w:val="BodyText"/>
      </w:pPr>
      <w:r>
        <w:t xml:space="preserve">末端在满足空心圆柱套袋几何的前提下比选刚接与自适应两套，接近轨迹按同量级圆柱设计，以便共用规划。</w:t>
      </w:r>
    </w:p>
    <w:p>
      <w:pPr>
        <w:pStyle w:val="BodyText"/>
      </w:pPr>
      <w:r>
        <w:t xml:space="preserve">表3-2 末端方案比选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比选项目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A 刚接圆柱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 B 自适应圆柱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相对腕部刚接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相对腕部有限顺应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接触段信息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无工具反馈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圆柱姿态相对规划袋轴及零位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几何依据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近距抓取许可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许可不变；姿态不得替代许可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视觉或不可达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另计偏轴、卡住、回不到零位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与车辆关系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现行配置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纳入设计，不作为已接线交付</w:t>
            </w:r>
          </w:p>
        </w:tc>
      </w:tr>
    </w:tbl>
    <w:p>
      <w:pPr>
        <w:pStyle w:val="BodyText"/>
      </w:pPr>
      <w:r>
        <w:rPr>
          <w:rFonts w:ascii="微软雅黑" w:hAnsi="微软雅黑" w:eastAsia="微软雅黑" w:cs="微软雅黑"/>
          <w:bCs/>
          <w:b/>
        </w:rPr>
        <w:t xml:space="preserve">推荐：</w:t>
      </w:r>
      <w:r>
        <w:t xml:space="preserve"> </w:t>
      </w:r>
      <w:r>
        <w:t xml:space="preserve">方案 A、方案 B 均纳入。开批时指定其一，作业过程中不切换。方案 B 传感器失效时停止套入，不按方案 A 自动降级。</w:t>
      </w:r>
    </w:p>
    <w:p>
      <w:pPr>
        <w:pStyle w:val="BodyText"/>
      </w:pPr>
      <w:r>
        <w:t xml:space="preserve">夹持器、真空吸盘不参与比选，与套袋几何不符。</w:t>
      </w:r>
    </w:p>
    <w:bookmarkEnd w:id="32"/>
    <w:bookmarkStart w:id="36" w:name="推荐方案"/>
    <w:p>
      <w:pPr>
        <w:pStyle w:val="Heading3"/>
      </w:pPr>
      <w:r>
        <w:t xml:space="preserve">3.2 推荐方案</w:t>
      </w:r>
    </w:p>
    <w:p>
      <w:pPr>
        <w:pStyle w:val="FirstParagraph"/>
      </w:pPr>
      <w:r>
        <w:t xml:space="preserve">本工程推荐方案为：保留现有采摘核；增设作业调度为指挥中心；导航按表3-1方案一实施，预留方案二；末端按表3-2配置 A、B；工艺顺序为场景观察、目标选定、目标靠近、近距许可、套入。</w:t>
      </w:r>
    </w:p>
    <w:p>
      <w:pPr>
        <w:pStyle w:val="BodyText"/>
      </w:pPr>
      <w:r>
        <w:t xml:space="preserve">系统组成见图3-1。</w:t>
      </w:r>
    </w:p>
    <w:p>
      <w:pPr>
        <w:keepNext/>
        <w:jc w:val="center"/>
        <w:spacing w:before="80" w:after="40"/>
        <w:pStyle w:val="CaptionedFigure"/>
      </w:pPr>
      <w:r>
        <w:drawing>
          <wp:inline>
            <wp:extent cx="5219999" cy="3911009"/>
            <wp:effectExtent b="0" l="0" r="0" t="0"/>
            <wp:docPr descr="图3-1 系统组成" title="" id="34" name="Picture"/>
            <a:graphic>
              <a:graphicData uri="http://schemas.openxmlformats.org/drawingml/2006/picture">
                <pic:pic>
                  <pic:nvPicPr>
                    <pic:cNvPr descr="figures/fig01_总体架构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9110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keepLines/>
        <w:spacing w:before="40" w:after="200"/>
        <w:pStyle w:val="ImageCaption"/>
      </w:pPr>
      <w:r>
        <w:rPr>
          <w:sz w:val="18"/>
          <w:szCs w:val="18"/>
          <w:rFonts w:ascii="微软雅黑" w:hAnsi="微软雅黑" w:eastAsia="微软雅黑" w:cs="微软雅黑"/>
        </w:rPr>
        <w:t xml:space="preserve">图3-1 系统组成</w:t>
      </w:r>
    </w:p>
    <w:p>
      <w:pPr>
        <w:pStyle w:val="BodyText"/>
      </w:pPr>
      <w:r>
        <w:t xml:space="preserve">腕上 RGB-D 仅用于采摘感知，不作为车辆主定位。简易档不配置底盘；主流档底盘由导航分项内部驱动，采摘核只使用可抓取状态。</w:t>
      </w:r>
    </w:p>
    <w:bookmarkEnd w:id="36"/>
    <w:bookmarkStart w:id="37" w:name="功能分配"/>
    <w:p>
      <w:pPr>
        <w:pStyle w:val="Heading3"/>
      </w:pPr>
      <w:r>
        <w:t xml:space="preserve">3.3 功能分配</w:t>
      </w:r>
    </w:p>
    <w:p>
      <w:pPr>
        <w:pStyle w:val="FirstParagraph"/>
      </w:pPr>
      <w:r>
        <w:t xml:space="preserve">表3-3 系统功能分配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开批、末端选型、选目标、下达 L1/L2、接收门结果、记账、互锁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不计算袋轴，不搜索路径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场景检测、当前目标近距重建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不发送运动指令，不选定下一目标，不读取圆柱姿态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作业位及目标靠近，回报可抓取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不改写抓取许可，不指挥机械臂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机械臂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观察位、许可后套入及撤退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行驶中不规划接触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末端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按行程套入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无姿态门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末端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套入并报送圆柱姿态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不选定目标，不指挥车辆</w:t>
            </w:r>
          </w:p>
        </w:tc>
      </w:tr>
    </w:tbl>
    <w:p>
      <w:pPr>
        <w:pStyle w:val="BodyText"/>
      </w:pPr>
      <w:r>
        <w:t xml:space="preserve">参照功能分解表中，底盘、融合定位、路径规划列入主流导航预留；关节伺服、直线套入、可达与遮挡纳入主路径；成熟度、夹持、真空、果柄细分割不纳入。调度为本工程新增分项。条目级取舍见工作簿「功能树定义」。</w:t>
      </w:r>
    </w:p>
    <w:p>
      <w:r>
        <w:pict>
          <v:rect style="width:0;height:1.5pt" o:hralign="center" o:hrstd="t" o:hr="t"/>
        </w:pict>
      </w:r>
    </w:p>
    <w:p>
      <w:r>
        <w:br w:type="page"/>
      </w:r>
    </w:p>
    <w:bookmarkEnd w:id="37"/>
    <w:bookmarkEnd w:id="38"/>
    <w:bookmarkStart w:id="55" w:name="工艺流程"/>
    <w:p>
      <w:pPr>
        <w:pStyle w:val="Heading2"/>
      </w:pPr>
      <w:r>
        <w:t xml:space="preserve">4 工艺流程</w:t>
      </w:r>
    </w:p>
    <w:bookmarkStart w:id="42" w:name="工艺总流程"/>
    <w:p>
      <w:pPr>
        <w:pStyle w:val="Heading3"/>
      </w:pPr>
      <w:r>
        <w:t xml:space="preserve">4.1 工艺总流程</w:t>
      </w:r>
    </w:p>
    <w:p>
      <w:pPr>
        <w:pStyle w:val="FirstParagraph"/>
      </w:pPr>
      <w:r>
        <w:t xml:space="preserve">工艺总流程见图4-1。批次由人工启动并指定末端类型，不自动开批。</w:t>
      </w:r>
    </w:p>
    <w:p>
      <w:pPr>
        <w:keepNext/>
        <w:jc w:val="center"/>
        <w:spacing w:before="80" w:after="40"/>
        <w:pStyle w:val="CaptionedFigure"/>
      </w:pPr>
      <w:r>
        <w:drawing>
          <wp:inline>
            <wp:extent cx="5103916" cy="5400000"/>
            <wp:effectExtent b="0" l="0" r="0" t="0"/>
            <wp:docPr descr="图4-1 工艺总流程" title="" id="40" name="Picture"/>
            <a:graphic>
              <a:graphicData uri="http://schemas.openxmlformats.org/drawingml/2006/picture">
                <pic:pic>
                  <pic:nvPicPr>
                    <pic:cNvPr descr="figures/fig02_批次主流程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916" cy="5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keepLines/>
        <w:spacing w:before="40" w:after="200"/>
        <w:pStyle w:val="ImageCaption"/>
      </w:pPr>
      <w:r>
        <w:rPr>
          <w:sz w:val="18"/>
          <w:szCs w:val="18"/>
          <w:rFonts w:ascii="微软雅黑" w:hAnsi="微软雅黑" w:eastAsia="微软雅黑" w:cs="微软雅黑"/>
        </w:rPr>
        <w:t xml:space="preserve">图4-1 工艺总流程</w:t>
      </w:r>
    </w:p>
    <w:p>
      <w:pPr>
        <w:pStyle w:val="BodyText"/>
      </w:pPr>
      <w:r>
        <w:t xml:space="preserve">主要工序：作业位靠近（L1）→ 场景观察 → 选定当前目标 → 目标靠近（L2）→ 近距重建 → 套入 → 记账。L1 失败则中止本批。L2、许可或姿态失败则放弃当前目标，转入下一目标或再次观察。接触异常待确认时，不选定下一目标、不下达新的靠近任务。存在卸果位时再放置，否则跳过。</w:t>
      </w:r>
    </w:p>
    <w:p>
      <w:pPr>
        <w:pStyle w:val="BodyText"/>
      </w:pPr>
      <w:r>
        <w:t xml:space="preserve">L1 到达仅表示可以开始场景观察，不表示某一目标可抓取。</w:t>
      </w:r>
    </w:p>
    <w:bookmarkEnd w:id="42"/>
    <w:bookmarkStart w:id="46" w:name="靠近工序"/>
    <w:p>
      <w:pPr>
        <w:pStyle w:val="Heading3"/>
      </w:pPr>
      <w:r>
        <w:t xml:space="preserve">4.2 靠近工序</w:t>
      </w:r>
    </w:p>
    <w:p>
      <w:pPr>
        <w:pStyle w:val="FirstParagraph"/>
      </w:pPr>
      <w:r>
        <w:t xml:space="preserve">L1 在开批之后、拍照之前进行。简易档视为到达。主流档按航点及行间规划行驶，定位不完好时不启动；失败中止本批。L1 进行中不执行 L2、拍照及套入。</w:t>
      </w:r>
    </w:p>
    <w:p>
      <w:pPr>
        <w:pStyle w:val="BodyText"/>
      </w:pPr>
      <w:r>
        <w:t xml:space="preserve">L2 为目标靠近，对外状态见图4-2。调度将当前目标的坐标与状态发往导航，感知不直接向车辆发送坐标。</w:t>
      </w:r>
    </w:p>
    <w:p>
      <w:pPr>
        <w:keepNext/>
        <w:jc w:val="center"/>
        <w:spacing w:before="80" w:after="40"/>
        <w:pStyle w:val="CaptionedFigure"/>
      </w:pPr>
      <w:r>
        <w:drawing>
          <wp:inline>
            <wp:extent cx="4319999" cy="4489068"/>
            <wp:effectExtent b="0" l="0" r="0" t="0"/>
            <wp:docPr descr="图4-2 目标靠近状态" title="" id="44" name="Picture"/>
            <a:graphic>
              <a:graphicData uri="http://schemas.openxmlformats.org/drawingml/2006/picture">
                <pic:pic>
                  <pic:nvPicPr>
                    <pic:cNvPr descr="figures/fig03_目标靠近状态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4489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keepLines/>
        <w:spacing w:before="40" w:after="200"/>
        <w:pStyle w:val="ImageCaption"/>
      </w:pPr>
      <w:r>
        <w:rPr>
          <w:sz w:val="18"/>
          <w:szCs w:val="18"/>
          <w:rFonts w:ascii="微软雅黑" w:hAnsi="微软雅黑" w:eastAsia="微软雅黑" w:cs="微软雅黑"/>
        </w:rPr>
        <w:t xml:space="preserve">图4-2 目标靠近状态</w:t>
      </w:r>
    </w:p>
    <w:p>
      <w:pPr>
        <w:pStyle w:val="BodyText"/>
      </w:pPr>
      <w:r>
        <w:t xml:space="preserve">坐标或状态缺项、过期、坐标系不明时，不进入靠近中，直接失败。靠近中在简易档允许瞬时经过，但不得省略。已停止后给出可抓取。主流档在未确认静止前不给出可抓取。可抓取后才允许近距重建。</w:t>
      </w:r>
    </w:p>
    <w:p>
      <w:pPr>
        <w:pStyle w:val="BodyText"/>
      </w:pPr>
      <w:r>
        <w:t xml:space="preserve">L2 所用场景坐标以满足停入臂工作空间为度。车辆发生位移后该坐标作废，近距重建须重新观察。简易档无位移时坐标仍有效，工艺上仍进行近距许可。</w:t>
      </w:r>
    </w:p>
    <w:bookmarkEnd w:id="46"/>
    <w:bookmarkStart w:id="50" w:name="套入工序"/>
    <w:p>
      <w:pPr>
        <w:pStyle w:val="Heading3"/>
      </w:pPr>
      <w:r>
        <w:t xml:space="preserve">4.3 套入工序</w:t>
      </w:r>
    </w:p>
    <w:p>
      <w:pPr>
        <w:pStyle w:val="FirstParagraph"/>
      </w:pPr>
      <w:r>
        <w:t xml:space="preserve">套入工序见图4-3。进入条件为车辆可抓取且当前目标未变更。</w:t>
      </w:r>
    </w:p>
    <w:p>
      <w:pPr>
        <w:keepNext/>
        <w:jc w:val="center"/>
        <w:spacing w:before="80" w:after="40"/>
        <w:pStyle w:val="CaptionedFigure"/>
      </w:pPr>
      <w:r>
        <w:drawing>
          <wp:inline>
            <wp:extent cx="5219999" cy="5340165"/>
            <wp:effectExtent b="0" l="0" r="0" t="0"/>
            <wp:docPr descr="图4-3 套入工序" title="" id="48" name="Picture"/>
            <a:graphic>
              <a:graphicData uri="http://schemas.openxmlformats.org/drawingml/2006/picture">
                <pic:pic>
                  <pic:nvPicPr>
                    <pic:cNvPr descr="figures/fig04_套入流程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5340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keepLines/>
        <w:spacing w:before="40" w:after="200"/>
        <w:pStyle w:val="ImageCaption"/>
      </w:pPr>
      <w:r>
        <w:rPr>
          <w:sz w:val="18"/>
          <w:szCs w:val="18"/>
          <w:rFonts w:ascii="微软雅黑" w:hAnsi="微软雅黑" w:eastAsia="微软雅黑" w:cs="微软雅黑"/>
        </w:rPr>
        <w:t xml:space="preserve">图4-3 套入工序</w:t>
      </w:r>
    </w:p>
    <w:p>
      <w:pPr>
        <w:pStyle w:val="BodyText"/>
      </w:pPr>
      <w:r>
        <w:t xml:space="preserve">近距重建给出袋口、袋轴、入口及是否允许套入。许可绑定当前目标。机械臂沿许可轴直线推进，绕行不超过既定范围。方案 A 按行程执行。方案 B 接触前采集圆柱相对腕部零位，推进中比较圆柱轴与规划袋轴；超限或突变则停止推进并沿原轴撤退。接触过程不要求视觉重新给出完整袋轴。剪切或锁紧类工具默认关闭。</w:t>
      </w:r>
    </w:p>
    <w:bookmarkEnd w:id="50"/>
    <w:bookmarkStart w:id="54" w:name="联合运行时序"/>
    <w:p>
      <w:pPr>
        <w:pStyle w:val="Heading3"/>
      </w:pPr>
      <w:r>
        <w:t xml:space="preserve">4.4 联合运行时序</w:t>
      </w:r>
    </w:p>
    <w:p>
      <w:pPr>
        <w:pStyle w:val="FirstParagraph"/>
      </w:pPr>
      <w:r>
        <w:t xml:space="preserve">调度与各分项的运行时序见图4-4。</w:t>
      </w:r>
    </w:p>
    <w:p>
      <w:pPr>
        <w:keepNext/>
        <w:jc w:val="center"/>
        <w:spacing w:before="80" w:after="40"/>
        <w:pStyle w:val="CaptionedFigure"/>
      </w:pPr>
      <w:r>
        <w:drawing>
          <wp:inline>
            <wp:extent cx="5219999" cy="4083673"/>
            <wp:effectExtent b="0" l="0" r="0" t="0"/>
            <wp:docPr descr="图4-4 联合运行时序" title="" id="52" name="Picture"/>
            <a:graphic>
              <a:graphicData uri="http://schemas.openxmlformats.org/drawingml/2006/picture">
                <pic:pic>
                  <pic:nvPicPr>
                    <pic:cNvPr descr="figures/fig05_联合时序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4083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keepLines/>
        <w:spacing w:before="40" w:after="200"/>
        <w:pStyle w:val="ImageCaption"/>
      </w:pPr>
      <w:r>
        <w:rPr>
          <w:sz w:val="18"/>
          <w:szCs w:val="18"/>
          <w:rFonts w:ascii="微软雅黑" w:hAnsi="微软雅黑" w:eastAsia="微软雅黑" w:cs="微软雅黑"/>
        </w:rPr>
        <w:t xml:space="preserve">图4-4 联合运行时序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分项设计"/>
    <w:p>
      <w:pPr>
        <w:pStyle w:val="Heading2"/>
      </w:pPr>
      <w:r>
        <w:t xml:space="preserve">5 分项设计</w:t>
      </w:r>
    </w:p>
    <w:bookmarkStart w:id="56" w:name="作业调度"/>
    <w:p>
      <w:pPr>
        <w:pStyle w:val="Heading3"/>
      </w:pPr>
      <w:r>
        <w:t xml:space="preserve">5.1 作业调度</w:t>
      </w:r>
    </w:p>
    <w:p>
      <w:pPr>
        <w:pStyle w:val="FirstParagraph"/>
      </w:pPr>
      <w:r>
        <w:t xml:space="preserve">调度管理批次寿命、当前目标、末端类型，下达 L1 和 L2，接收可抓取、抓取许可及姿态结果并记账。发往导航的数据绑定当前目标身份。可抓取、许可、姿态分项统计。开批时写入末端类型，作业中不更换。</w:t>
      </w:r>
    </w:p>
    <w:bookmarkEnd w:id="56"/>
    <w:bookmarkStart w:id="57" w:name="感知"/>
    <w:p>
      <w:pPr>
        <w:pStyle w:val="Heading3"/>
      </w:pPr>
      <w:r>
        <w:t xml:space="preserve">5.2 感知</w:t>
      </w:r>
    </w:p>
    <w:p>
      <w:pPr>
        <w:pStyle w:val="FirstParagraph"/>
      </w:pPr>
      <w:r>
        <w:t xml:space="preserve">感知完成场景检测和当前目标近距重建。场景坐标供 L2 使用。套入几何仅采用停稳后的近距结果。行驶中不以最新相机位姿积分当前目标。</w:t>
      </w:r>
    </w:p>
    <w:bookmarkEnd w:id="57"/>
    <w:bookmarkStart w:id="58" w:name="导航"/>
    <w:p>
      <w:pPr>
        <w:pStyle w:val="Heading3"/>
      </w:pPr>
      <w:r>
        <w:t xml:space="preserve">5.3 导航</w:t>
      </w:r>
    </w:p>
    <w:p>
      <w:pPr>
        <w:pStyle w:val="FirstParagraph"/>
      </w:pPr>
      <w:r>
        <w:t xml:space="preserve">简易档实现图4-2 状态机，不输出底盘速度。主流档在分项内部完成定位、规划和底盘控制，对外仅出现图4-2 所列状态。车体 IMU、轮速、雷达、行间相机数据终止于本分项。</w:t>
      </w:r>
    </w:p>
    <w:bookmarkEnd w:id="58"/>
    <w:bookmarkStart w:id="59" w:name="机械臂"/>
    <w:p>
      <w:pPr>
        <w:pStyle w:val="Heading3"/>
      </w:pPr>
      <w:r>
        <w:t xml:space="preserve">5.4 机械臂</w:t>
      </w:r>
    </w:p>
    <w:p>
      <w:pPr>
        <w:pStyle w:val="FirstParagraph"/>
      </w:pPr>
      <w:r>
        <w:t xml:space="preserve">沿用六轴臂及直线套入。规划参考点位于工具侧。方案 A 下规划末端近似圆柱轴；方案 B 下圆柱实际轴以姿态传感为准，允许在门限内偏离，超出则停止。行驶中不规划接触。停轨采用现有臂侧硬件。</w:t>
      </w:r>
    </w:p>
    <w:bookmarkEnd w:id="59"/>
    <w:bookmarkStart w:id="60" w:name="末端执行器"/>
    <w:p>
      <w:pPr>
        <w:pStyle w:val="Heading3"/>
      </w:pPr>
      <w:r>
        <w:t xml:space="preserve">5.5 末端执行器</w:t>
      </w:r>
    </w:p>
    <w:p>
      <w:pPr>
        <w:pStyle w:val="FirstParagraph"/>
      </w:pPr>
      <w:r>
        <w:t xml:space="preserve">方案 A 为刚接空心圆柱。方案 B 为同形圆柱、有限自适应机构及圆柱姿态传感器。零位在每次接触前采集。可选电流作为卡住的辅助判据。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设备配置"/>
    <w:p>
      <w:pPr>
        <w:pStyle w:val="Heading2"/>
      </w:pPr>
      <w:r>
        <w:t xml:space="preserve">6 设备配置</w:t>
      </w:r>
    </w:p>
    <w:p>
      <w:pPr>
        <w:pStyle w:val="FirstParagraph"/>
      </w:pPr>
      <w:r>
        <w:t xml:space="preserve">表6-1 主要设备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六轴机械臂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有，快换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同左，基座随车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车辆移动后更新坐标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末端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刚接空心圆柱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现行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末端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自适应圆柱、姿态传感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不依赖底盘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腕上 RGB-D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非车端主定位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底盘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低速差速或阿克曼，可刹停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不与臂同时作业运动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车体定位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RTK、车体 IMU、轮式里程计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非圆柱姿态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行间感知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雷达、行间相机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避障与巡航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工控机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可同机或分机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急停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臂侧现有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增加底盘切断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软件互锁不能替代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6" w:name="接口设计"/>
    <w:p>
      <w:pPr>
        <w:pStyle w:val="Heading2"/>
      </w:pPr>
      <w:r>
        <w:t xml:space="preserve">7 接口设计</w:t>
      </w:r>
    </w:p>
    <w:bookmarkStart w:id="63" w:name="用户接口"/>
    <w:p>
      <w:pPr>
        <w:pStyle w:val="Heading3"/>
      </w:pPr>
      <w:r>
        <w:t xml:space="preserve">7.1 用户接口</w:t>
      </w:r>
    </w:p>
    <w:p>
      <w:pPr>
        <w:pStyle w:val="FirstParagraph"/>
      </w:pPr>
      <w:r>
        <w:t xml:space="preserve">操作员启动批次、指定末端类型、确认现场安全，并在待确认状态下人工解除。不提供自动开批。监视将车辆靠近、臂套入、圆柱姿态分列显示。抓取执行关闭时，不将套入显示为完成。</w:t>
      </w:r>
    </w:p>
    <w:bookmarkEnd w:id="63"/>
    <w:bookmarkStart w:id="64" w:name="外部接口"/>
    <w:p>
      <w:pPr>
        <w:pStyle w:val="Heading3"/>
      </w:pPr>
      <w:r>
        <w:t xml:space="preserve">7.2 外部接口</w:t>
      </w:r>
    </w:p>
    <w:p>
      <w:pPr>
        <w:pStyle w:val="FirstParagraph"/>
      </w:pPr>
      <w:r>
        <w:t xml:space="preserve">表7-1 外部接口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操作员 → 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开批、末端类型、确认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腕上相机 → 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图像与深度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停稳后用于观察及近距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 ↔ 底盘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速度、刹停、状态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仅主流档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臂控制器 ↔ 机械臂分项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轨迹与停轨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沿用现有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末端 B → 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圆柱姿态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接触段</w:t>
            </w:r>
          </w:p>
        </w:tc>
      </w:tr>
    </w:tbl>
    <w:bookmarkEnd w:id="64"/>
    <w:bookmarkStart w:id="65" w:name="内部接口"/>
    <w:p>
      <w:pPr>
        <w:pStyle w:val="Heading3"/>
      </w:pPr>
      <w:r>
        <w:t xml:space="preserve">7.3 内部接口</w:t>
      </w:r>
    </w:p>
    <w:p>
      <w:pPr>
        <w:pStyle w:val="FirstParagraph"/>
      </w:pPr>
      <w:r>
        <w:t xml:space="preserve">表7-2 内部接口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感知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目标身份、坐标、状态、抓取许可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作业位或当前目标坐标与状态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到位、停稳、可抓取、失败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观察、套入、撤退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末端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姿态及辅助判断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3" w:name="运行与出错处理"/>
    <w:p>
      <w:pPr>
        <w:pStyle w:val="Heading2"/>
      </w:pPr>
      <w:r>
        <w:t xml:space="preserve">8 运行与出错处理</w:t>
      </w:r>
    </w:p>
    <w:bookmarkStart w:id="70" w:name="运行控制"/>
    <w:p>
      <w:pPr>
        <w:pStyle w:val="Heading3"/>
      </w:pPr>
      <w:r>
        <w:t xml:space="preserve">8.1 运行控制</w:t>
      </w:r>
    </w:p>
    <w:p>
      <w:pPr>
        <w:pStyle w:val="FirstParagraph"/>
      </w:pPr>
      <w:r>
        <w:t xml:space="preserve">运行控制采用三门，见图8-1。导航门给出可抓取，抓取门给出许可并执行套入，姿态门仅方案 B 在接触段有效。任一扇门的通过不改写其余门的结论。</w:t>
      </w:r>
    </w:p>
    <w:p>
      <w:pPr>
        <w:keepNext/>
        <w:jc w:val="center"/>
        <w:spacing w:before="80" w:after="40"/>
        <w:pStyle w:val="CaptionedFigure"/>
      </w:pPr>
      <w:r>
        <w:drawing>
          <wp:inline>
            <wp:extent cx="5219999" cy="3410707"/>
            <wp:effectExtent b="0" l="0" r="0" t="0"/>
            <wp:docPr descr="图8-1 运行控制" title="" id="68" name="Picture"/>
            <a:graphic>
              <a:graphicData uri="http://schemas.openxmlformats.org/drawingml/2006/picture">
                <pic:pic>
                  <pic:nvPicPr>
                    <pic:cNvPr descr="figures/fig06_三门协同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3410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jc w:val="center"/>
        <w:keepLines/>
        <w:spacing w:before="40" w:after="200"/>
        <w:pStyle w:val="ImageCaption"/>
      </w:pPr>
      <w:r>
        <w:rPr>
          <w:sz w:val="18"/>
          <w:szCs w:val="18"/>
          <w:rFonts w:ascii="微软雅黑" w:hAnsi="微软雅黑" w:eastAsia="微软雅黑" w:cs="微软雅黑"/>
        </w:rPr>
        <w:t xml:space="preserve">图8-1 运行控制</w:t>
      </w:r>
    </w:p>
    <w:p>
      <w:pPr>
        <w:pStyle w:val="BodyText"/>
      </w:pPr>
      <w:r>
        <w:t xml:space="preserve">表8-1 三门对照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机械臂抓取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末端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车辆到位与静止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沿许可轴套入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圆柱轴相对袋轴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坐标系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园地平面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停车后臂基座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圆柱相对腕部或袋轴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到达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行程完成且臂侧安全未触发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偏差在门限内且无突变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 本批，L2 单目标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单目标</w:t>
            </w:r>
          </w:p>
        </w:tc>
      </w:tr>
    </w:tbl>
    <w:p>
      <w:pPr>
        <w:pStyle w:val="BodyText"/>
      </w:pPr>
      <w:r>
        <w:t xml:space="preserve">手眼标定误差与圆柱安装零位误差分别记录。</w:t>
      </w:r>
    </w:p>
    <w:bookmarkEnd w:id="70"/>
    <w:bookmarkStart w:id="71" w:name="互锁"/>
    <w:p>
      <w:pPr>
        <w:pStyle w:val="Heading3"/>
      </w:pPr>
      <w:r>
        <w:t xml:space="preserve">8.2 互锁</w:t>
      </w:r>
    </w:p>
    <w:p>
      <w:pPr>
        <w:pStyle w:val="FirstParagraph"/>
      </w:pPr>
      <w:r>
        <w:t xml:space="preserve">表8-2 运行互锁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运行状态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读姿态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未开批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可抓取未许可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可采零位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套入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连续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待确认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否</w:t>
            </w:r>
          </w:p>
        </w:tc>
      </w:tr>
    </w:tbl>
    <w:bookmarkEnd w:id="71"/>
    <w:bookmarkStart w:id="72" w:name="出错处理"/>
    <w:p>
      <w:pPr>
        <w:pStyle w:val="Heading3"/>
      </w:pPr>
      <w:r>
        <w:t xml:space="preserve">8.3 出错处理</w:t>
      </w:r>
    </w:p>
    <w:p>
      <w:pPr>
        <w:pStyle w:val="FirstParagraph"/>
      </w:pPr>
      <w:r>
        <w:t xml:space="preserve">表8-3 出错处理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故障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范围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结束本批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无可用目标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更换观察位或结束本批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不记单颗套入失败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 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放弃当前目标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许可不成立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不接触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臂侧安全 / 姿态超限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停止推进并撤退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末端 B 传感无效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禁止套入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人工明确降级除外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紧急停车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底盘与臂停止；主流切断底盘使能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最高优先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4" w:name="实施计划与遗留问题"/>
    <w:p>
      <w:pPr>
        <w:pStyle w:val="Heading2"/>
      </w:pPr>
      <w:r>
        <w:t xml:space="preserve">9 实施计划与遗留问题</w:t>
      </w:r>
    </w:p>
    <w:p>
      <w:pPr>
        <w:pStyle w:val="FirstParagraph"/>
      </w:pPr>
      <w:r>
        <w:t xml:space="preserve">表9-1 实施分期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期次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初步设计完成标志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固定座、末端 A、导航关闭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已建成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采摘核可运行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简易导航，坐标与状态至可抓取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图4-2、图4-4 可指导详细设计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末端 B 姿态门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图4-3 可指导详细设计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主流导航接入同一对外状态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表3-1、表6-1、表8-3</w:t>
            </w:r>
          </w:p>
        </w:tc>
      </w:tr>
    </w:tbl>
    <w:p>
      <w:pPr>
        <w:pStyle w:val="BodyText"/>
      </w:pPr>
      <w:r>
        <w:t xml:space="preserve">详细设计应完成各分项算法、通信约定、电气接线和测试大纲。现行仓库运行行为不随本说明书变更。</w:t>
      </w:r>
    </w:p>
    <w:p>
      <w:pPr>
        <w:pStyle w:val="BodyText"/>
      </w:pPr>
      <w:r>
        <w:t xml:space="preserve">尚未解决、留待详细设计或后续期次的问题：实车行驶指标、RTK 固定解、行间避障达标、末端 B 传感器型号及安装公差、姿态门限数值。</w:t>
      </w:r>
    </w:p>
    <w:p>
      <w:r>
        <w:pict>
          <v:rect style="width:0;height:1.5pt" o:hralign="center" o:hrstd="t" o:hr="t"/>
        </w:pict>
      </w:r>
    </w:p>
    <w:bookmarkEnd w:id="74"/>
    <w:bookmarkStart w:id="75" w:name="结论与建议"/>
    <w:p>
      <w:pPr>
        <w:pStyle w:val="Heading2"/>
      </w:pPr>
      <w:r>
        <w:t xml:space="preserve">10 结论与建议</w:t>
      </w:r>
    </w:p>
    <w:p>
      <w:pPr>
        <w:pStyle w:val="FirstParagraph"/>
      </w:pPr>
      <w:r>
        <w:t xml:space="preserve">本初步设计在现有固定座采摘能力上，增加车辆到位闭环和双末端接触判断。导航推荐先实施简易档，主流档在同一对外状态下后续接入。末端以空心圆柱套入为主路径，方案 A 为现行配置，方案 B 纳入设计。调度按图8-1 组织三门。</w:t>
      </w:r>
    </w:p>
    <w:p>
      <w:pPr>
        <w:pStyle w:val="BodyText"/>
      </w:pPr>
      <w:r>
        <w:rPr>
          <w:rFonts w:ascii="微软雅黑" w:hAnsi="微软雅黑" w:eastAsia="微软雅黑" w:cs="微软雅黑"/>
          <w:bCs/>
          <w:b/>
        </w:rPr>
        <w:t xml:space="preserve">结论：方案可行，深度满足开展详细设计。</w:t>
      </w:r>
    </w:p>
    <w:p>
      <w:pPr>
        <w:pStyle w:val="BodyText"/>
      </w:pPr>
      <w:r>
        <w:t xml:space="preserve">建议：详细设计按图3-1 组成、第4章工艺、第7章接口展开；功能分解表与本说明书不一致时，以本说明书为准修订工作簿。</w:t>
      </w:r>
    </w:p>
    <w:p>
      <w:r>
        <w:pict>
          <v:rect style="width:0;height:1.5pt" o:hralign="center" o:hrstd="t" o:hr="t"/>
        </w:pict>
      </w:r>
    </w:p>
    <w:bookmarkEnd w:id="75"/>
    <w:bookmarkStart w:id="79" w:name="附录"/>
    <w:p>
      <w:pPr>
        <w:pStyle w:val="Heading2"/>
      </w:pPr>
      <w:r>
        <w:t xml:space="preserve">附录</w:t>
      </w:r>
    </w:p>
    <w:bookmarkStart w:id="76" w:name="a-术语"/>
    <w:p>
      <w:pPr>
        <w:pStyle w:val="Heading3"/>
      </w:pPr>
      <w:r>
        <w:t xml:space="preserve">A 术语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采摘核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已建成的固定座开批、观察、选目标、近距、许可、套入、记账能力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作业位靠近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目标靠近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可抓取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导航允许进入近距与套入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抓取许可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近距重建给出的袋轴、入口及允许套入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姿态门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末端 B 接触段轴向偏差判据</w:t>
            </w:r>
          </w:p>
        </w:tc>
      </w:tr>
    </w:tbl>
    <w:bookmarkEnd w:id="76"/>
    <w:bookmarkStart w:id="77" w:name="b-附图目录"/>
    <w:p>
      <w:pPr>
        <w:pStyle w:val="Heading3"/>
      </w:pPr>
      <w:r>
        <w:t xml:space="preserve">B 附图目录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系统组成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工艺总流程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目标靠近状态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图4-3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套入工序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图4-4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联合运行时序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</w:tr>
    </w:tbl>
    <w:bookmarkEnd w:id="77"/>
    <w:bookmarkStart w:id="78" w:name="c-附表"/>
    <w:p>
      <w:pPr>
        <w:pStyle w:val="Heading3"/>
      </w:pPr>
      <w:r>
        <w:t xml:space="preserve">C 附表</w:t>
      </w:r>
    </w:p>
    <w:p>
      <w:pPr>
        <w:pStyle w:val="FirstParagraph"/>
      </w:pPr>
      <w:r>
        <w:t xml:space="preserve">《采摘机器人工作空间.xlsx》：功能树定义、方案对照。与本说明书冲突时，修订工作簿。</w:t>
      </w:r>
    </w:p>
    <w:bookmarkEnd w:id="78"/>
    <w:bookmarkEnd w:id="79"/>
    <w:bookmarkEnd w:id="8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微软雅黑" w:hAnsi="微软雅黑" w:eastAsia="微软雅黑" w:cs="微软雅黑"/>
        <w:sz w:val="18"/>
      </w:rPr>
      <w:t xml:space="preserve">第 </w:t>
    </w:r>
    <w:r>
      <w:rPr>
        <w:rFonts w:ascii="微软雅黑" w:hAnsi="微软雅黑" w:eastAsia="微软雅黑" w:cs="微软雅黑"/>
        <w:sz w:val="18"/>
      </w:rPr>
      <w:fldChar w:fldCharType="begin"/>
    </w:r>
    <w:r>
      <w:rPr>
        <w:rFonts w:ascii="微软雅黑" w:hAnsi="微软雅黑" w:eastAsia="微软雅黑" w:cs="微软雅黑"/>
        <w:sz w:val="18"/>
      </w:rPr>
      <w:instrText xml:space="preserve"> PAGE </w:instrText>
    </w:r>
    <w:r>
      <w:rPr>
        <w:rFonts w:ascii="微软雅黑" w:hAnsi="微软雅黑" w:eastAsia="微软雅黑" w:cs="微软雅黑"/>
        <w:sz w:val="18"/>
      </w:rPr>
      <w:fldChar w:fldCharType="end"/>
    </w:r>
    <w:r>
      <w:rPr>
        <w:rFonts w:ascii="微软雅黑" w:hAnsi="微软雅黑" w:eastAsia="微软雅黑" w:cs="微软雅黑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jc w:val="right"/>
      <w:pBdr>
        <w:bottom w:val="single" w:sz="6" w:space="4" w:color="2F5496"/>
      </w:pBdr>
    </w:pPr>
    <w:r>
      <w:rPr>
        <w:rFonts w:ascii="微软雅黑" w:hAnsi="微软雅黑" w:eastAsia="微软雅黑" w:cs="微软雅黑"/>
        <w:sz w:val="18"/>
        <w:color w:val="5B5B5B"/>
      </w:rPr>
      <w:t>初步设计说明书　V3.0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微软雅黑" w:hAnsi="微软雅黑" w:eastAsia="微软雅黑" w:cs="微软雅黑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微软雅黑" w:hAnsi="微软雅黑" w:eastAsia="微软雅黑" w:cs="微软雅黑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微软雅黑" w:hAnsi="微软雅黑" w:eastAsia="微软雅黑" w:cs="微软雅黑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微软雅黑" w:hAnsi="微软雅黑" w:eastAsia="微软雅黑" w:cs="微软雅黑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微软雅黑" w:hAnsi="微软雅黑" w:eastAsia="微软雅黑" w:cs="微软雅黑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微软雅黑" w:hAnsi="微软雅黑" w:eastAsia="微软雅黑" w:cs="微软雅黑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微软雅黑" w:hAnsi="微软雅黑" w:eastAsia="微软雅黑" w:cs="微软雅黑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微软雅黑" w:hAnsi="微软雅黑" w:eastAsia="微软雅黑" w:cs="微软雅黑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微软雅黑" w:hAnsi="微软雅黑" w:eastAsia="微软雅黑" w:cs="微软雅黑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微软雅黑" w:hAnsi="微软雅黑" w:eastAsia="微软雅黑" w:cs="微软雅黑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微软雅黑" w:hAnsi="微软雅黑" w:eastAsia="微软雅黑" w:cs="微软雅黑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微软雅黑" w:hAnsi="微软雅黑" w:eastAsia="微软雅黑" w:cs="微软雅黑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微软雅黑" w:hAnsi="微软雅黑" w:eastAsia="微软雅黑" w:cs="微软雅黑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微软雅黑" w:hAnsi="微软雅黑" w:eastAsia="微软雅黑" w:cs="微软雅黑"/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微软雅黑" w:hAnsi="微软雅黑" w:eastAsia="微软雅黑" w:cs="微软雅黑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微软雅黑" w:hAnsi="微软雅黑" w:eastAsia="微软雅黑" w:cs="微软雅黑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rFonts w:ascii="微软雅黑" w:hAnsi="微软雅黑" w:eastAsia="微软雅黑" w:cs="微软雅黑"/>
      <w:vertAlign w:val="superscript"/>
    </w:rPr>
  </w:style>
  <w:style w:styleId="Hyperlink" w:type="character">
    <w:name w:val="Hyperlink"/>
    <w:basedOn w:val="BodyTextChar"/>
    <w:rPr>
      <w:rFonts w:ascii="微软雅黑" w:hAnsi="微软雅黑" w:eastAsia="微软雅黑" w:cs="微软雅黑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微软雅黑" w:hAnsi="微软雅黑" w:eastAsia="微软雅黑" w:cs="微软雅黑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微软雅黑" w:hAnsi="微软雅黑" w:eastAsia="微软雅黑" w:cs="微软雅黑"/>
      <w:color w:val="007020"/>
      <w:b/>
    </w:rPr>
  </w:style>
  <w:style w:type="character" w:customStyle="1" w:styleId="DataTypeTok">
    <w:name w:val="DataTypeTok"/>
    <w:basedOn w:val="VerbatimChar"/>
    <w:rPr>
      <w:rFonts w:ascii="微软雅黑" w:hAnsi="微软雅黑" w:eastAsia="微软雅黑" w:cs="微软雅黑"/>
      <w:color w:val="902000"/>
    </w:rPr>
  </w:style>
  <w:style w:type="character" w:customStyle="1" w:styleId="DecValTok">
    <w:name w:val="DecValTok"/>
    <w:basedOn w:val="VerbatimChar"/>
    <w:rPr>
      <w:rFonts w:ascii="微软雅黑" w:hAnsi="微软雅黑" w:eastAsia="微软雅黑" w:cs="微软雅黑"/>
      <w:color w:val="40a070"/>
    </w:rPr>
  </w:style>
  <w:style w:type="character" w:customStyle="1" w:styleId="BaseNTok">
    <w:name w:val="BaseNTok"/>
    <w:basedOn w:val="VerbatimChar"/>
    <w:rPr>
      <w:rFonts w:ascii="微软雅黑" w:hAnsi="微软雅黑" w:eastAsia="微软雅黑" w:cs="微软雅黑"/>
      <w:color w:val="40a070"/>
    </w:rPr>
  </w:style>
  <w:style w:type="character" w:customStyle="1" w:styleId="FloatTok">
    <w:name w:val="FloatTok"/>
    <w:basedOn w:val="VerbatimChar"/>
    <w:rPr>
      <w:rFonts w:ascii="微软雅黑" w:hAnsi="微软雅黑" w:eastAsia="微软雅黑" w:cs="微软雅黑"/>
      <w:color w:val="40a070"/>
    </w:rPr>
  </w:style>
  <w:style w:type="character" w:customStyle="1" w:styleId="ConstantTok">
    <w:name w:val="ConstantTok"/>
    <w:basedOn w:val="VerbatimChar"/>
    <w:rPr>
      <w:rFonts w:ascii="微软雅黑" w:hAnsi="微软雅黑" w:eastAsia="微软雅黑" w:cs="微软雅黑"/>
      <w:color w:val="880000"/>
    </w:rPr>
  </w:style>
  <w:style w:type="character" w:customStyle="1" w:styleId="CharTok">
    <w:name w:val="CharTok"/>
    <w:basedOn w:val="VerbatimChar"/>
    <w:rPr>
      <w:rFonts w:ascii="微软雅黑" w:hAnsi="微软雅黑" w:eastAsia="微软雅黑" w:cs="微软雅黑"/>
      <w:color w:val="4070a0"/>
    </w:rPr>
  </w:style>
  <w:style w:type="character" w:customStyle="1" w:styleId="SpecialCharTok">
    <w:name w:val="SpecialCharTok"/>
    <w:basedOn w:val="VerbatimChar"/>
    <w:rPr>
      <w:rFonts w:ascii="微软雅黑" w:hAnsi="微软雅黑" w:eastAsia="微软雅黑" w:cs="微软雅黑"/>
      <w:color w:val="4070a0"/>
    </w:rPr>
  </w:style>
  <w:style w:type="character" w:customStyle="1" w:styleId="StringTok">
    <w:name w:val="StringTok"/>
    <w:basedOn w:val="VerbatimChar"/>
    <w:rPr>
      <w:rFonts w:ascii="微软雅黑" w:hAnsi="微软雅黑" w:eastAsia="微软雅黑" w:cs="微软雅黑"/>
      <w:color w:val="4070a0"/>
    </w:rPr>
  </w:style>
  <w:style w:type="character" w:customStyle="1" w:styleId="VerbatimStringTok">
    <w:name w:val="VerbatimStringTok"/>
    <w:basedOn w:val="VerbatimChar"/>
    <w:rPr>
      <w:rFonts w:ascii="微软雅黑" w:hAnsi="微软雅黑" w:eastAsia="微软雅黑" w:cs="微软雅黑"/>
      <w:color w:val="4070a0"/>
    </w:rPr>
  </w:style>
  <w:style w:type="character" w:customStyle="1" w:styleId="SpecialStringTok">
    <w:name w:val="SpecialStringTok"/>
    <w:basedOn w:val="VerbatimChar"/>
    <w:rPr>
      <w:rFonts w:ascii="微软雅黑" w:hAnsi="微软雅黑" w:eastAsia="微软雅黑" w:cs="微软雅黑"/>
      <w:color w:val="bb6688"/>
    </w:rPr>
  </w:style>
  <w:style w:type="character" w:customStyle="1" w:styleId="ImportTok">
    <w:name w:val="ImportTok"/>
    <w:basedOn w:val="VerbatimChar"/>
    <w:rPr>
      <w:rFonts w:ascii="微软雅黑" w:hAnsi="微软雅黑" w:eastAsia="微软雅黑" w:cs="微软雅黑"/>
      <w:color w:val="008000"/>
      <w:b/>
    </w:rPr>
  </w:style>
  <w:style w:type="character" w:customStyle="1" w:styleId="CommentTok">
    <w:name w:val="CommentTok"/>
    <w:basedOn w:val="VerbatimChar"/>
    <w:rPr>
      <w:rFonts w:ascii="微软雅黑" w:hAnsi="微软雅黑" w:eastAsia="微软雅黑" w:cs="微软雅黑"/>
      <w:color w:val="60a0b0"/>
      <w:i/>
    </w:rPr>
  </w:style>
  <w:style w:type="character" w:customStyle="1" w:styleId="DocumentationTok">
    <w:name w:val="DocumentationTok"/>
    <w:basedOn w:val="VerbatimChar"/>
    <w:rPr>
      <w:rFonts w:ascii="微软雅黑" w:hAnsi="微软雅黑" w:eastAsia="微软雅黑" w:cs="微软雅黑"/>
      <w:color w:val="ba2121"/>
      <w:i/>
    </w:rPr>
  </w:style>
  <w:style w:type="character" w:customStyle="1" w:styleId="AnnotationTok">
    <w:name w:val="AnnotationTok"/>
    <w:basedOn w:val="VerbatimChar"/>
    <w:rPr>
      <w:rFonts w:ascii="微软雅黑" w:hAnsi="微软雅黑" w:eastAsia="微软雅黑" w:cs="微软雅黑"/>
      <w:color w:val="60a0b0"/>
      <w:b/>
      <w:i/>
    </w:rPr>
  </w:style>
  <w:style w:type="character" w:customStyle="1" w:styleId="CommentVarTok">
    <w:name w:val="CommentVarTok"/>
    <w:basedOn w:val="VerbatimChar"/>
    <w:rPr>
      <w:rFonts w:ascii="微软雅黑" w:hAnsi="微软雅黑" w:eastAsia="微软雅黑" w:cs="微软雅黑"/>
      <w:color w:val="60a0b0"/>
      <w:b/>
      <w:i/>
    </w:rPr>
  </w:style>
  <w:style w:type="character" w:customStyle="1" w:styleId="OtherTok">
    <w:name w:val="OtherTok"/>
    <w:basedOn w:val="VerbatimChar"/>
    <w:rPr>
      <w:rFonts w:ascii="微软雅黑" w:hAnsi="微软雅黑" w:eastAsia="微软雅黑" w:cs="微软雅黑"/>
      <w:color w:val="007020"/>
    </w:rPr>
  </w:style>
  <w:style w:type="character" w:customStyle="1" w:styleId="FunctionTok">
    <w:name w:val="FunctionTok"/>
    <w:basedOn w:val="VerbatimChar"/>
    <w:rPr>
      <w:rFonts w:ascii="微软雅黑" w:hAnsi="微软雅黑" w:eastAsia="微软雅黑" w:cs="微软雅黑"/>
      <w:color w:val="06287e"/>
    </w:rPr>
  </w:style>
  <w:style w:type="character" w:customStyle="1" w:styleId="VariableTok">
    <w:name w:val="VariableTok"/>
    <w:basedOn w:val="VerbatimChar"/>
    <w:rPr>
      <w:rFonts w:ascii="微软雅黑" w:hAnsi="微软雅黑" w:eastAsia="微软雅黑" w:cs="微软雅黑"/>
      <w:color w:val="19177c"/>
    </w:rPr>
  </w:style>
  <w:style w:type="character" w:customStyle="1" w:styleId="ControlFlowTok">
    <w:name w:val="ControlFlowTok"/>
    <w:basedOn w:val="VerbatimChar"/>
    <w:rPr>
      <w:rFonts w:ascii="微软雅黑" w:hAnsi="微软雅黑" w:eastAsia="微软雅黑" w:cs="微软雅黑"/>
      <w:color w:val="007020"/>
      <w:b/>
    </w:rPr>
  </w:style>
  <w:style w:type="character" w:customStyle="1" w:styleId="OperatorTok">
    <w:name w:val="OperatorTok"/>
    <w:basedOn w:val="VerbatimChar"/>
    <w:rPr>
      <w:rFonts w:ascii="微软雅黑" w:hAnsi="微软雅黑" w:eastAsia="微软雅黑" w:cs="微软雅黑"/>
      <w:color w:val="666666"/>
    </w:rPr>
  </w:style>
  <w:style w:type="character" w:customStyle="1" w:styleId="BuiltInTok">
    <w:name w:val="BuiltInTok"/>
    <w:basedOn w:val="VerbatimChar"/>
    <w:rPr>
      <w:rFonts w:ascii="微软雅黑" w:hAnsi="微软雅黑" w:eastAsia="微软雅黑" w:cs="微软雅黑"/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rFonts w:ascii="微软雅黑" w:hAnsi="微软雅黑" w:eastAsia="微软雅黑" w:cs="微软雅黑"/>
      <w:color w:val="bc7a00"/>
    </w:rPr>
  </w:style>
  <w:style w:type="character" w:customStyle="1" w:styleId="AttributeTok">
    <w:name w:val="AttributeTok"/>
    <w:basedOn w:val="VerbatimChar"/>
    <w:rPr>
      <w:rFonts w:ascii="微软雅黑" w:hAnsi="微软雅黑" w:eastAsia="微软雅黑" w:cs="微软雅黑"/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rFonts w:ascii="微软雅黑" w:hAnsi="微软雅黑" w:eastAsia="微软雅黑" w:cs="微软雅黑"/>
      <w:color w:val="60a0b0"/>
      <w:b/>
      <w:i/>
    </w:rPr>
  </w:style>
  <w:style w:type="character" w:customStyle="1" w:styleId="WarningTok">
    <w:name w:val="WarningTok"/>
    <w:basedOn w:val="VerbatimChar"/>
    <w:rPr>
      <w:rFonts w:ascii="微软雅黑" w:hAnsi="微软雅黑" w:eastAsia="微软雅黑" w:cs="微软雅黑"/>
      <w:color w:val="60a0b0"/>
      <w:b/>
      <w:i/>
    </w:rPr>
  </w:style>
  <w:style w:type="character" w:customStyle="1" w:styleId="AlertTok">
    <w:name w:val="AlertTok"/>
    <w:basedOn w:val="VerbatimChar"/>
    <w:rPr>
      <w:rFonts w:ascii="微软雅黑" w:hAnsi="微软雅黑" w:eastAsia="微软雅黑" w:cs="微软雅黑"/>
      <w:color w:val="ff0000"/>
      <w:b/>
    </w:rPr>
  </w:style>
  <w:style w:type="character" w:customStyle="1" w:styleId="ErrorTok">
    <w:name w:val="ErrorTok"/>
    <w:basedOn w:val="VerbatimChar"/>
    <w:rPr>
      <w:rFonts w:ascii="微软雅黑" w:hAnsi="微软雅黑" w:eastAsia="微软雅黑" w:cs="微软雅黑"/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67" Target="media/rId67.png" 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套袋桃采摘机器人感知抓取与自主导航联合工程初步设计说明书</dc:title>
  <dc:creator/>
  <cp:keywords/>
  <dcterms:created xsi:type="dcterms:W3CDTF">2026-08-25T11:10:19Z</dcterms:created>
  <dcterms:modified xsi:type="dcterms:W3CDTF">2026-08-25T11:10:19Z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