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Computers</w:t>
      </w:r>
      <w:r>
        <w:t xml:space="preserve"> </w:t>
      </w:r>
      <w:r>
        <w:t xml:space="preserve">are</w:t>
      </w:r>
      <w:r>
        <w:t xml:space="preserve"> </w:t>
      </w:r>
      <w:r>
        <w:t xml:space="preserve">tools</w:t>
      </w:r>
      <w:r>
        <w:t xml:space="preserve"> </w:t>
      </w:r>
      <w:r>
        <w:t xml:space="preserve">that</w:t>
      </w:r>
      <w:r>
        <w:t xml:space="preserve"> </w:t>
      </w:r>
      <w:r>
        <w:t xml:space="preserve">are</w:t>
      </w:r>
      <w:r>
        <w:t xml:space="preserve"> </w:t>
      </w:r>
      <w:r>
        <w:t xml:space="preserve">now</w:t>
      </w:r>
      <w:r>
        <w:t xml:space="preserve"> </w:t>
      </w:r>
      <w:r>
        <w:t xml:space="preserve">essential</w:t>
      </w:r>
      <w:r>
        <w:t xml:space="preserve"> </w:t>
      </w:r>
      <w:r>
        <w:t xml:space="preserve">to</w:t>
      </w:r>
      <w:r>
        <w:t xml:space="preserve"> </w:t>
      </w:r>
      <w:r>
        <w:t xml:space="preserve">the</w:t>
      </w:r>
      <w:r>
        <w:t xml:space="preserve"> </w:t>
      </w:r>
      <w:r>
        <w:t xml:space="preserve">work</w:t>
      </w:r>
      <w:r>
        <w:t xml:space="preserve"> </w:t>
      </w:r>
      <w:r>
        <w:t xml:space="preserve">of</w:t>
      </w:r>
      <w:r>
        <w:t xml:space="preserve"> </w:t>
      </w:r>
      <w:r>
        <w:t xml:space="preserve">health</w:t>
      </w:r>
      <w:r>
        <w:t xml:space="preserve"> </w:t>
      </w:r>
      <w:r>
        <w:t xml:space="preserve">economists.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how</w:t>
      </w:r>
      <w:r>
        <w:t xml:space="preserve"> </w:t>
      </w:r>
      <w:r>
        <w:t xml:space="preserve">health</w:t>
      </w:r>
      <w:r>
        <w:t xml:space="preserve"> </w:t>
      </w:r>
      <w:r>
        <w:t xml:space="preserve">economic</w:t>
      </w:r>
      <w:r>
        <w:t xml:space="preserve"> </w:t>
      </w:r>
      <w:r>
        <w:t xml:space="preserve">models</w:t>
      </w:r>
      <w:r>
        <w:t xml:space="preserve"> </w:t>
      </w:r>
      <w:r>
        <w:t xml:space="preserve">are</w:t>
      </w:r>
      <w:r>
        <w:t xml:space="preserve"> </w:t>
      </w:r>
      <w:r>
        <w:t xml:space="preserve">implemented</w:t>
      </w:r>
      <w:r>
        <w:t xml:space="preserve"> </w:t>
      </w:r>
      <w:r>
        <w:t xml:space="preserve">computationally</w:t>
      </w:r>
      <w:r>
        <w:t xml:space="preserve"> </w:t>
      </w:r>
      <w:r>
        <w:t xml:space="preserve">are</w:t>
      </w:r>
      <w:r>
        <w:t xml:space="preserve"> </w:t>
      </w:r>
      <w:r>
        <w:t xml:space="preserve">poorly</w:t>
      </w:r>
      <w:r>
        <w:t xml:space="preserve"> </w:t>
      </w:r>
      <w:r>
        <w:t xml:space="preserve">understood.</w:t>
      </w:r>
      <w:r>
        <w:t xml:space="preserve"> </w:t>
      </w:r>
      <w:r>
        <w:t xml:space="preserve">Explicit</w:t>
      </w:r>
      <w:r>
        <w:t xml:space="preserve"> </w:t>
      </w:r>
      <w:r>
        <w:t xml:space="preserve">ethical</w:t>
      </w:r>
      <w:r>
        <w:t xml:space="preserve"> </w:t>
      </w:r>
      <w:r>
        <w:t xml:space="preserve">standards</w:t>
      </w:r>
      <w:r>
        <w:t xml:space="preserve"> </w:t>
      </w:r>
      <w:r>
        <w:t xml:space="preserve">for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and</w:t>
      </w:r>
      <w:r>
        <w:t xml:space="preserve"> </w:t>
      </w:r>
      <w:r>
        <w:t xml:space="preserve">the</w:t>
      </w:r>
      <w:r>
        <w:t xml:space="preserve"> </w:t>
      </w:r>
      <w:r>
        <w:t xml:space="preserve">technical</w:t>
      </w:r>
      <w:r>
        <w:t xml:space="preserve"> </w:t>
      </w:r>
      <w:r>
        <w:t xml:space="preserve">infrastructure</w:t>
      </w:r>
      <w:r>
        <w:t xml:space="preserve"> </w:t>
      </w:r>
      <w:r>
        <w:t xml:space="preserve">to</w:t>
      </w:r>
      <w:r>
        <w:t xml:space="preserve"> </w:t>
      </w:r>
      <w:r>
        <w:t xml:space="preserve">facilitate</w:t>
      </w:r>
      <w:r>
        <w:t xml:space="preserve"> </w:t>
      </w:r>
      <w:r>
        <w:t xml:space="preserve">implementations</w:t>
      </w:r>
      <w:r>
        <w:t xml:space="preserve"> </w:t>
      </w:r>
      <w:r>
        <w:t xml:space="preserve">of</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are</w:t>
      </w:r>
      <w:r>
        <w:t xml:space="preserve"> </w:t>
      </w:r>
      <w:r>
        <w:t xml:space="preserve">required.</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w:t>
      </w:r>
      <w:r>
        <w:t xml:space="preserve"> </w:t>
      </w:r>
      <w:r>
        <w:t xml:space="preserve">two</w:t>
      </w:r>
      <w:r>
        <w:t xml:space="preserve"> </w:t>
      </w:r>
      <w:r>
        <w:t xml:space="preserve">each</w:t>
      </w:r>
      <w:r>
        <w:t xml:space="preserve"> </w:t>
      </w:r>
      <w:r>
        <w:t xml:space="preserve">for</w:t>
      </w:r>
      <w:r>
        <w:t xml:space="preserve"> </w:t>
      </w:r>
      <w:r>
        <w:t xml:space="preserve">the</w:t>
      </w:r>
      <w:r>
        <w:t xml:space="preserve"> </w:t>
      </w:r>
      <w:r>
        <w:t xml:space="preserve">three</w:t>
      </w:r>
      <w:r>
        <w:t xml:space="preserve"> </w:t>
      </w:r>
      <w:r>
        <w:t xml:space="preserve">domains</w:t>
      </w:r>
      <w:r>
        <w:t xml:space="preserve"> </w:t>
      </w:r>
      <w:r>
        <w:t xml:space="preserve">of</w:t>
      </w:r>
      <w:r>
        <w:t xml:space="preserve"> </w:t>
      </w:r>
      <w:r>
        <w:t xml:space="preserve">transparency,</w:t>
      </w:r>
      <w:r>
        <w:t xml:space="preserve"> </w:t>
      </w:r>
      <w:r>
        <w:t xml:space="preserve">reusability</w:t>
      </w:r>
      <w:r>
        <w:t xml:space="preserve"> </w:t>
      </w:r>
      <w:r>
        <w:t xml:space="preserve">and</w:t>
      </w:r>
      <w:r>
        <w:t xml:space="preserve"> </w:t>
      </w:r>
      <w:r>
        <w:t xml:space="preserve">updatability.</w:t>
      </w:r>
      <w:r>
        <w:t xml:space="preserve"> </w:t>
      </w:r>
      <w:r>
        <w:t xml:space="preserve">To</w:t>
      </w:r>
      <w:r>
        <w:t xml:space="preserve"> </w:t>
      </w:r>
      <w:r>
        <w:t xml:space="preserve">facilitate</w:t>
      </w:r>
      <w:r>
        <w:t xml:space="preserve"> </w:t>
      </w:r>
      <w:r>
        <w:t xml:space="preserve">the</w:t>
      </w:r>
      <w:r>
        <w:t xml:space="preserve"> </w:t>
      </w:r>
      <w:r>
        <w:t xml:space="preserve">implementation</w:t>
      </w:r>
      <w:r>
        <w:t xml:space="preserve"> </w:t>
      </w:r>
      <w:r>
        <w:t xml:space="preserve">of</w:t>
      </w:r>
      <w:r>
        <w:t xml:space="preserve"> </w:t>
      </w:r>
      <w:r>
        <w:t xml:space="preserve">CHEMs</w:t>
      </w:r>
      <w:r>
        <w:t xml:space="preserve"> </w:t>
      </w:r>
      <w:r>
        <w:t xml:space="preserve">that</w:t>
      </w:r>
      <w:r>
        <w:t xml:space="preserve"> </w:t>
      </w:r>
      <w:r>
        <w:t xml:space="preserve">meet</w:t>
      </w:r>
      <w:r>
        <w:t xml:space="preserve"> </w:t>
      </w:r>
      <w:r>
        <w:t xml:space="preserve">these</w:t>
      </w:r>
      <w:r>
        <w:t xml:space="preserve"> </w:t>
      </w:r>
      <w:r>
        <w:t xml:space="preserve">criteria,</w:t>
      </w:r>
      <w:r>
        <w:t xml:space="preserve"> </w:t>
      </w:r>
      <w:r>
        <w:t xml:space="preserve">we</w:t>
      </w:r>
      <w:r>
        <w:t xml:space="preserve"> </w:t>
      </w:r>
      <w:r>
        <w:t xml:space="preserve">developed</w:t>
      </w:r>
      <w:r>
        <w:t xml:space="preserve"> </w:t>
      </w:r>
      <w:r>
        <w:t xml:space="preserve">a</w:t>
      </w:r>
      <w:r>
        <w:t xml:space="preserve"> </w:t>
      </w:r>
      <w:r>
        <w:t xml:space="preserve">novel</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that</w:t>
      </w:r>
      <w:r>
        <w:t xml:space="preserve"> </w:t>
      </w:r>
      <w:r>
        <w:t xml:space="preserve">collectively</w:t>
      </w:r>
      <w:r>
        <w:t xml:space="preserve"> </w:t>
      </w:r>
      <w:r>
        <w:t xml:space="preserve">provide</w:t>
      </w:r>
      <w:r>
        <w:t xml:space="preserve"> </w:t>
      </w:r>
      <w:r>
        <w:t xml:space="preserve">a</w:t>
      </w:r>
      <w:r>
        <w:t xml:space="preserve"> </w:t>
      </w:r>
      <w:r>
        <w:t xml:space="preserve">toolkit</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them</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them</w:t>
      </w:r>
      <w:r>
        <w:t xml:space="preserve"> </w:t>
      </w:r>
      <w:r>
        <w:t xml:space="preserve">to</w:t>
      </w:r>
      <w:r>
        <w:t xml:space="preserve"> </w:t>
      </w:r>
      <w:r>
        <w:t xml:space="preserve">undertake</w:t>
      </w:r>
      <w:r>
        <w:t xml:space="preserve"> </w:t>
      </w:r>
      <w:r>
        <w:t xml:space="preserve">generalisable</w:t>
      </w:r>
      <w:r>
        <w:t xml:space="preserve"> </w:t>
      </w:r>
      <w:r>
        <w:t xml:space="preserve">and</w:t>
      </w:r>
      <w:r>
        <w:t xml:space="preserve"> </w:t>
      </w:r>
      <w:r>
        <w:t xml:space="preserve">transferable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currently</w:t>
      </w:r>
      <w:r>
        <w:t xml:space="preserve"> </w:t>
      </w:r>
      <w:r>
        <w:t xml:space="preserve">applying</w:t>
      </w:r>
      <w:r>
        <w:t xml:space="preserve"> </w:t>
      </w:r>
      <w:r>
        <w:t xml:space="preserve">the</w:t>
      </w:r>
      <w:r>
        <w:t xml:space="preserve"> </w:t>
      </w:r>
      <w:r>
        <w:t xml:space="preserve">software</w:t>
      </w:r>
      <w:r>
        <w:t xml:space="preserve"> </w:t>
      </w:r>
      <w:r>
        <w:t xml:space="preserve">framework</w:t>
      </w:r>
      <w:r>
        <w:t xml:space="preserve"> </w:t>
      </w:r>
      <w:r>
        <w:t xml:space="preserve">to</w:t>
      </w:r>
      <w:r>
        <w:t xml:space="preserve"> </w:t>
      </w:r>
      <w:r>
        <w:t xml:space="preserve">develop</w:t>
      </w:r>
      <w:r>
        <w:t xml:space="preserve"> </w:t>
      </w:r>
      <w:r>
        <w:t xml:space="preserve">and</w:t>
      </w:r>
      <w:r>
        <w:t xml:space="preserve"> </w:t>
      </w:r>
      <w:r>
        <w:t xml:space="preserve">apply</w:t>
      </w:r>
      <w:r>
        <w:t xml:space="preserve"> </w:t>
      </w:r>
      <w:r>
        <w:t xml:space="preserve">utility</w:t>
      </w:r>
      <w:r>
        <w:t xml:space="preserve"> </w:t>
      </w:r>
      <w:r>
        <w:t xml:space="preserve">mapping</w:t>
      </w:r>
      <w:r>
        <w:t xml:space="preserve"> </w:t>
      </w:r>
      <w:r>
        <w:t xml:space="preserve">models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We</w:t>
      </w:r>
      <w:r>
        <w:t xml:space="preserve"> </w:t>
      </w:r>
      <w:r>
        <w:t xml:space="preserve">assess</w:t>
      </w:r>
      <w:r>
        <w:t xml:space="preserve"> </w:t>
      </w:r>
      <w:r>
        <w:t xml:space="preserve">the</w:t>
      </w:r>
      <w:r>
        <w:t xml:space="preserve"> </w:t>
      </w:r>
      <w:r>
        <w:t xml:space="preserve">first</w:t>
      </w:r>
      <w:r>
        <w:t xml:space="preserve"> </w:t>
      </w:r>
      <w:r>
        <w:t xml:space="preserve">set</w:t>
      </w:r>
      <w:r>
        <w:t xml:space="preserve"> </w:t>
      </w:r>
      <w:r>
        <w:t xml:space="preserve">of</w:t>
      </w:r>
      <w:r>
        <w:t xml:space="preserve"> </w:t>
      </w:r>
      <w:r>
        <w:t xml:space="preserve">utility</w:t>
      </w:r>
      <w:r>
        <w:t xml:space="preserve"> </w:t>
      </w:r>
      <w:r>
        <w:t xml:space="preserve">mapping</w:t>
      </w:r>
      <w:r>
        <w:t xml:space="preserve"> </w:t>
      </w:r>
      <w:r>
        <w:t xml:space="preserve">CHEMs</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as</w:t>
      </w:r>
      <w:r>
        <w:t xml:space="preserve"> </w:t>
      </w:r>
      <w:r>
        <w:t xml:space="preserve">wholly</w:t>
      </w:r>
      <w:r>
        <w:t xml:space="preserve"> </w:t>
      </w:r>
      <w:r>
        <w:t xml:space="preserve">meeting</w:t>
      </w:r>
      <w:r>
        <w:t xml:space="preserve"> </w:t>
      </w:r>
      <w:r>
        <w:t xml:space="preserve">both</w:t>
      </w:r>
      <w:r>
        <w:t xml:space="preserve"> </w:t>
      </w:r>
      <w:r>
        <w:t xml:space="preserve">transparency</w:t>
      </w:r>
      <w:r>
        <w:t xml:space="preserve"> </w:t>
      </w:r>
      <w:r>
        <w:t xml:space="preserve">criteria</w:t>
      </w:r>
      <w:r>
        <w:t xml:space="preserve"> </w:t>
      </w:r>
      <w:r>
        <w:t xml:space="preserve">(open</w:t>
      </w:r>
      <w:r>
        <w:t xml:space="preserve"> </w:t>
      </w:r>
      <w:r>
        <w:t xml:space="preserve">access</w:t>
      </w:r>
      <w:r>
        <w:t xml:space="preserve"> </w:t>
      </w:r>
      <w:r>
        <w:t xml:space="preserve">code</w:t>
      </w:r>
      <w:r>
        <w:t xml:space="preserve"> </w:t>
      </w:r>
      <w:r>
        <w:t xml:space="preserve">and</w:t>
      </w:r>
      <w:r>
        <w:t xml:space="preserve"> </w:t>
      </w:r>
      <w:r>
        <w:t xml:space="preserve">data</w:t>
      </w:r>
      <w:r>
        <w:t xml:space="preserve"> </w:t>
      </w:r>
      <w:r>
        <w:t xml:space="preserve">and</w:t>
      </w:r>
      <w:r>
        <w:t xml:space="preserve"> </w:t>
      </w:r>
      <w:r>
        <w:t xml:space="preserve">clarity</w:t>
      </w:r>
      <w:r>
        <w:t xml:space="preserve"> </w:t>
      </w:r>
      <w:r>
        <w:t xml:space="preserve">about</w:t>
      </w:r>
      <w:r>
        <w:t xml:space="preserve"> </w:t>
      </w:r>
      <w:r>
        <w:t xml:space="preserve">author</w:t>
      </w:r>
      <w:r>
        <w:t xml:space="preserve"> </w:t>
      </w:r>
      <w:r>
        <w:t xml:space="preserve">contributions</w:t>
      </w:r>
      <w:r>
        <w:t xml:space="preserve"> </w:t>
      </w:r>
      <w:r>
        <w:t xml:space="preserve">and</w:t>
      </w:r>
      <w:r>
        <w:t xml:space="preserve"> </w:t>
      </w:r>
      <w:r>
        <w:t xml:space="preserve">beliefs),</w:t>
      </w:r>
      <w:r>
        <w:t xml:space="preserve"> </w:t>
      </w:r>
      <w:r>
        <w:t xml:space="preserve">one</w:t>
      </w:r>
      <w:r>
        <w:t xml:space="preserve"> </w:t>
      </w:r>
      <w:r>
        <w:t xml:space="preserve">reusability</w:t>
      </w:r>
      <w:r>
        <w:t xml:space="preserve"> </w:t>
      </w:r>
      <w:r>
        <w:t xml:space="preserve">criteria</w:t>
      </w:r>
      <w:r>
        <w:t xml:space="preserve"> </w:t>
      </w:r>
      <w:r>
        <w:t xml:space="preserve">(liberal</w:t>
      </w:r>
      <w:r>
        <w:t xml:space="preserve"> </w:t>
      </w:r>
      <w:r>
        <w:t xml:space="preserve">terms</w:t>
      </w:r>
      <w:r>
        <w:t xml:space="preserve"> </w:t>
      </w:r>
      <w:r>
        <w:t xml:space="preserve">of</w:t>
      </w:r>
      <w:r>
        <w:t xml:space="preserve"> </w:t>
      </w:r>
      <w:r>
        <w:t xml:space="preserve">use)</w:t>
      </w:r>
      <w:r>
        <w:t xml:space="preserve"> </w:t>
      </w:r>
      <w:r>
        <w:t xml:space="preserve">and</w:t>
      </w:r>
      <w:r>
        <w:t xml:space="preserve"> </w:t>
      </w:r>
      <w:r>
        <w:t xml:space="preserve">one</w:t>
      </w:r>
      <w:r>
        <w:t xml:space="preserve"> </w:t>
      </w:r>
      <w:r>
        <w:t xml:space="preserve">updatability</w:t>
      </w:r>
      <w:r>
        <w:t xml:space="preserve"> </w:t>
      </w:r>
      <w:r>
        <w:t xml:space="preserve">criteria</w:t>
      </w:r>
      <w:r>
        <w:t xml:space="preserve"> </w:t>
      </w:r>
      <w:r>
        <w:t xml:space="preserve">(infrastructure</w:t>
      </w:r>
      <w:r>
        <w:t xml:space="preserve"> </w:t>
      </w:r>
      <w:r>
        <w:t xml:space="preserve">for</w:t>
      </w:r>
      <w:r>
        <w:t xml:space="preserve"> </w:t>
      </w:r>
      <w:r>
        <w:t xml:space="preserve">model</w:t>
      </w:r>
      <w:r>
        <w:t xml:space="preserve"> </w:t>
      </w:r>
      <w:r>
        <w:t xml:space="preserve">maintenance)</w:t>
      </w:r>
      <w:r>
        <w:t xml:space="preserve"> </w:t>
      </w:r>
      <w:r>
        <w:t xml:space="preserve">and</w:t>
      </w:r>
      <w:r>
        <w:t xml:space="preserve"> </w:t>
      </w:r>
      <w:r>
        <w:t xml:space="preserve">partially</w:t>
      </w:r>
      <w:r>
        <w:t xml:space="preserve"> </w:t>
      </w:r>
      <w:r>
        <w:t xml:space="preserve">meeting</w:t>
      </w:r>
      <w:r>
        <w:t xml:space="preserve"> </w:t>
      </w:r>
      <w:r>
        <w:t xml:space="preserve">the</w:t>
      </w:r>
      <w:r>
        <w:t xml:space="preserve"> </w:t>
      </w:r>
      <w:r>
        <w:t xml:space="preserve">two</w:t>
      </w:r>
      <w:r>
        <w:t xml:space="preserve"> </w:t>
      </w:r>
      <w:r>
        <w:t xml:space="preserve">remaining</w:t>
      </w:r>
      <w:r>
        <w:t xml:space="preserve"> </w:t>
      </w:r>
      <w:r>
        <w:t xml:space="preserve">criteria</w:t>
      </w:r>
      <w:r>
        <w:t xml:space="preserve"> </w:t>
      </w:r>
      <w:r>
        <w:t xml:space="preserve">for</w:t>
      </w:r>
      <w:r>
        <w:t xml:space="preserve"> </w:t>
      </w:r>
      <w:r>
        <w:t xml:space="preserve">transparency</w:t>
      </w:r>
      <w:r>
        <w:t xml:space="preserve"> </w:t>
      </w:r>
      <w:r>
        <w:t xml:space="preserve">(supports</w:t>
      </w:r>
      <w:r>
        <w:t xml:space="preserve"> </w:t>
      </w:r>
      <w:r>
        <w:t xml:space="preserve">generalisability</w:t>
      </w:r>
      <w:r>
        <w:t xml:space="preserve"> </w:t>
      </w:r>
      <w:r>
        <w:t xml:space="preserve">and</w:t>
      </w:r>
      <w:r>
        <w:t xml:space="preserve"> </w:t>
      </w:r>
      <w:r>
        <w:t xml:space="preserve">transferability)</w:t>
      </w:r>
      <w:r>
        <w:t xml:space="preserve"> </w:t>
      </w:r>
      <w:r>
        <w:t xml:space="preserve">and</w:t>
      </w:r>
      <w:r>
        <w:t xml:space="preserve"> </w:t>
      </w:r>
      <w:r>
        <w:t xml:space="preserve">updatability</w:t>
      </w:r>
      <w:r>
        <w:t xml:space="preserve"> </w:t>
      </w:r>
      <w:r>
        <w:t xml:space="preserve">(retesting</w:t>
      </w:r>
      <w:r>
        <w:t xml:space="preserve"> </w:t>
      </w:r>
      <w:r>
        <w:t xml:space="preserve">and</w:t>
      </w:r>
      <w:r>
        <w:t xml:space="preserve"> </w:t>
      </w:r>
      <w:r>
        <w:t xml:space="preserve">deprecation).</w:t>
      </w:r>
      <w:r>
        <w:t xml:space="preserve"> </w:t>
      </w:r>
      <w:r>
        <w:t xml:space="preserve">The</w:t>
      </w:r>
      <w:r>
        <w:t xml:space="preserve"> </w:t>
      </w:r>
      <w:r>
        <w:t xml:space="preserve">assessment</w:t>
      </w:r>
      <w:r>
        <w:t xml:space="preserve"> </w:t>
      </w:r>
      <w:r>
        <w:t xml:space="preserve">criteria</w:t>
      </w:r>
      <w:r>
        <w:t xml:space="preserve"> </w:t>
      </w:r>
      <w:r>
        <w:t xml:space="preserve">and</w:t>
      </w:r>
      <w:r>
        <w:t xml:space="preserve"> </w:t>
      </w:r>
      <w:r>
        <w:t xml:space="preserve">the</w:t>
      </w:r>
      <w:r>
        <w:t xml:space="preserve"> </w:t>
      </w:r>
      <w:r>
        <w:t xml:space="preserve">software</w:t>
      </w:r>
      <w:r>
        <w:t xml:space="preserve"> </w:t>
      </w:r>
      <w:r>
        <w:t xml:space="preserve">framework</w:t>
      </w:r>
      <w:r>
        <w:t xml:space="preserve"> </w:t>
      </w:r>
      <w:r>
        <w:t xml:space="preserve">we</w:t>
      </w:r>
      <w:r>
        <w:t xml:space="preserve"> </w:t>
      </w:r>
      <w:r>
        <w:t xml:space="preserve">have</w:t>
      </w:r>
      <w:r>
        <w:t xml:space="preserve"> </w:t>
      </w:r>
      <w:r>
        <w:t xml:space="preserve">developed</w:t>
      </w:r>
      <w:r>
        <w:t xml:space="preserve"> </w:t>
      </w:r>
      <w:r>
        <w:t xml:space="preserve">can</w:t>
      </w:r>
      <w:r>
        <w:t xml:space="preserve"> </w:t>
      </w:r>
      <w:r>
        <w:t xml:space="preserve">inform</w:t>
      </w:r>
      <w:r>
        <w:t xml:space="preserve"> </w:t>
      </w:r>
      <w:r>
        <w:t xml:space="preserve">future</w:t>
      </w:r>
      <w:r>
        <w:t xml:space="preserve"> </w:t>
      </w:r>
      <w:r>
        <w:t xml:space="preserve">work</w:t>
      </w:r>
      <w:r>
        <w:t xml:space="preserve"> </w:t>
      </w:r>
      <w:r>
        <w:t xml:space="preserve">to</w:t>
      </w:r>
      <w:r>
        <w:t xml:space="preserve"> </w:t>
      </w:r>
      <w:r>
        <w:t xml:space="preserve">understand</w:t>
      </w:r>
      <w:r>
        <w:t xml:space="preserve"> </w:t>
      </w:r>
      <w:r>
        <w:t xml:space="preserve">and</w:t>
      </w:r>
      <w:r>
        <w:t xml:space="preserve"> </w:t>
      </w:r>
      <w:r>
        <w:t xml:space="preserve">improve</w:t>
      </w:r>
      <w:r>
        <w:t xml:space="preserve"> </w:t>
      </w:r>
      <w:r>
        <w:t xml:space="preserve">ethical</w:t>
      </w:r>
      <w:r>
        <w:t xml:space="preserve"> </w:t>
      </w:r>
      <w:r>
        <w:t xml:space="preserve">computational</w:t>
      </w:r>
      <w:r>
        <w:t xml:space="preserve"> </w:t>
      </w:r>
      <w:r>
        <w:t xml:space="preserve">implementations</w:t>
      </w:r>
      <w:r>
        <w:t xml:space="preserve"> </w:t>
      </w:r>
      <w:r>
        <w:t xml:space="preserve">of</w:t>
      </w:r>
      <w:r>
        <w:t xml:space="preserve"> </w:t>
      </w:r>
      <w:r>
        <w:t xml:space="preserve">health</w:t>
      </w:r>
      <w:r>
        <w:t xml:space="preserve"> </w:t>
      </w:r>
      <w:r>
        <w:t xml:space="preserve">economic</w:t>
      </w:r>
      <w:r>
        <w:t xml:space="preserve"> </w:t>
      </w:r>
      <w:r>
        <w:t xml:space="preserve">models.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30"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pPr>
        <w:pStyle w:val="Corpsdetexte"/>
      </w:pPr>
      <w:r>
        <w:t xml:space="preserve">Computational health economic models (CHEMs) can be implemented using specialized commercial software or authored as software development projects in an open-source programming language such as Python</w:t>
      </w:r>
      <w:r>
        <w:t xml:space="preserve"> </w:t>
      </w:r>
      <w:r>
        <w:t xml:space="preserve">[2]</w:t>
      </w:r>
      <w:r>
        <w:t xml:space="preserve"> </w:t>
      </w:r>
      <w:r>
        <w:t xml:space="preserve">or R</w:t>
      </w:r>
      <w:r>
        <w:t xml:space="preserve"> </w:t>
      </w:r>
      <w:r>
        <w:t xml:space="preserve">[3]</w:t>
      </w:r>
      <w:r>
        <w:t xml:space="preserve">. Advantages of commercial modelling tools include simplicity and ease of use, but an open-source software development approach may facilitate computational models that are more transparent, reusable and updatable</w:t>
      </w:r>
      <w:r>
        <w:t xml:space="preserve"> </w:t>
      </w:r>
      <w:r>
        <w:t xml:space="preserve">[4,5]</w:t>
      </w:r>
      <w:r>
        <w:t xml:space="preserve">. The decision about what type of implementation to choose for a specific CHEM project needs to balance both desired model features and the resource and time constraints within which the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For open-source CHEM projects, a major consideration in is the selection of an appropriate software framework. A software framework is a shared common technology used by developers to collaboratively author software and which is not typically visible to software end-users</w:t>
      </w:r>
      <w:r>
        <w:t xml:space="preserve"> </w:t>
      </w:r>
      <w:r>
        <w:t xml:space="preserve">[6]</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[7]</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[8]</w:t>
      </w:r>
      <w:r>
        <w:t xml:space="preserve">. However, software frameworks can be challenging and time consuming to create</w:t>
      </w:r>
      <w:r>
        <w:t xml:space="preserve"> </w:t>
      </w:r>
      <w:r>
        <w:t xml:space="preserve">[8]</w:t>
      </w:r>
      <w:r>
        <w:t xml:space="preserve"> </w:t>
      </w:r>
      <w:r>
        <w:t xml:space="preserve">and then difficult for others to learn, often requiring model developers to undergo specialist training</w:t>
      </w:r>
      <w:r>
        <w:t xml:space="preserve"> </w:t>
      </w:r>
      <w:r>
        <w:t xml:space="preserve">[6]</w:t>
      </w:r>
      <w:r>
        <w:t xml:space="preserve">. There is also a risk that a software framework may become excessively complex over time</w:t>
      </w:r>
      <w:r>
        <w:t xml:space="preserve"> </w:t>
      </w:r>
      <w:r>
        <w:t xml:space="preserve">[8]</w:t>
      </w:r>
      <w:r>
        <w:t xml:space="preserve">.</w:t>
      </w:r>
    </w:p>
    <w:p>
      <w:pPr>
        <w:pStyle w:val="Corpsdetexte"/>
      </w:pPr>
      <w:r>
        <w:t xml:space="preserve">The ethical responsibilities of computational modellers are often poorly understood and inadequately fulfilled</w:t>
      </w:r>
      <w:r>
        <w:t xml:space="preserve"> </w:t>
      </w:r>
      <w:r>
        <w:t xml:space="preserve">[9–12]</w:t>
      </w:r>
      <w:r>
        <w:t xml:space="preserve">. Guidance on developing, selecting and using software frameworks for ethical CHEM implementations is scarce. A high-level software framework for implementing open-source CHEMs in R has previously been developed with the primary aim of improving model transparency</w:t>
      </w:r>
      <w:r>
        <w:t xml:space="preserve"> </w:t>
      </w:r>
      <w:r>
        <w:t xml:space="preserve">[13]</w:t>
      </w:r>
      <w:r>
        <w:t xml:space="preserve">. However, open-source CHEMs remain rare</w:t>
      </w:r>
      <w:r>
        <w:t xml:space="preserve"> </w:t>
      </w:r>
      <w:r>
        <w:t xml:space="preserve">[14,15]</w:t>
      </w:r>
      <w:r>
        <w:t xml:space="preserve">, and novel software frameworks may be necessary to help health economists fulfill a broader set of ethical responsibilities. Ideally, software frameworks for ethical CHEMs would provide tools that address known barriers to ethical computational modelling practice. The main barriers to open-source CHEMs identified in a 2020 survey of health economists concern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[5]</w:t>
      </w:r>
      <w:r>
        <w:t xml:space="preserve">.</w:t>
      </w:r>
    </w:p>
    <w:p>
      <w:pPr>
        <w:pStyle w:val="Corpsdetexte"/>
      </w:pPr>
      <w:r>
        <w:t xml:space="preserve">In this paper, we describe:</w:t>
      </w:r>
    </w:p>
    <w:p>
      <w:pPr>
        <w:numPr>
          <w:ilvl w:val="0"/>
          <w:numId w:val="1001"/>
        </w:numPr>
      </w:pPr>
      <w:r>
        <w:t xml:space="preserve">criteria for assessing ethical CHEM implementations;</w:t>
      </w:r>
    </w:p>
    <w:p>
      <w:pPr>
        <w:numPr>
          <w:ilvl w:val="0"/>
          <w:numId w:val="1001"/>
        </w:numPr>
      </w:pPr>
      <w:r>
        <w:t xml:space="preserve">a prototype software framework for the ethical implementation of CHEMs; and</w:t>
      </w:r>
    </w:p>
    <w:p>
      <w:pPr>
        <w:numPr>
          <w:ilvl w:val="0"/>
          <w:numId w:val="1001"/>
        </w:numPr>
      </w:pPr>
      <w:r>
        <w:t xml:space="preserve">use of the software framework to develop an open-source CHEM in youth mental health, with an initial focus on outcome valuation.</w:t>
      </w:r>
    </w:p>
    <w:bookmarkStart w:id="25" w:name="assessing-ethical-chem-implementations"/>
    <w:p>
      <w:pPr>
        <w:pStyle w:val="Titre2"/>
      </w:pPr>
      <w:r>
        <w:t xml:space="preserve">Assessing ethical CHEM implementations</w:t>
      </w:r>
    </w:p>
    <w:p>
      <w:pPr>
        <w:pStyle w:val="FirstParagraph"/>
      </w:pPr>
      <w:r>
        <w:t xml:space="preserve">We considered prior literature on modelling practice, our own professional experience and the needs of modelling projects we are undertaking to identify: (i) some core ethical responsibilities of CHEM developers; (ii) attributes of CHEMs that can suggest fulfillment of these responsibilities; and (iii) criteria against which these attributes can be assessed.</w:t>
      </w:r>
    </w:p>
    <w:bookmarkStart w:id="22" w:name="X981a922a01a377a6b1edd95996e68d93de2bfdd"/>
    <w:p>
      <w:pPr>
        <w:pStyle w:val="Titre3"/>
      </w:pPr>
      <w:r>
        <w:t xml:space="preserve">Ethical responsibilities of CHEM developers</w:t>
      </w:r>
    </w:p>
    <w:p>
      <w:pPr>
        <w:pStyle w:val="FirstParagraph"/>
      </w:pPr>
      <w:r>
        <w:t xml:space="preserve">We suggest that three core ethical responsibilities of health economic modellers are to make</w:t>
      </w:r>
      <w:r>
        <w:t xml:space="preserve"> </w:t>
      </w:r>
      <w:r>
        <w:rPr>
          <w:bCs/>
          <w:b/>
        </w:rPr>
        <w:t xml:space="preserve">socially acceptable</w:t>
      </w:r>
      <w:r>
        <w:t xml:space="preserve"> </w:t>
      </w:r>
      <w:r>
        <w:t xml:space="preserve">value judgments in planning a CHEM project, to ensure that implementation of a CHEM is</w:t>
      </w:r>
      <w:r>
        <w:t xml:space="preserve"> </w:t>
      </w:r>
      <w:r>
        <w:rPr>
          <w:bCs/>
          <w:b/>
        </w:rPr>
        <w:t xml:space="preserve">fit for purpose</w:t>
      </w:r>
      <w:r>
        <w:t xml:space="preserve"> </w:t>
      </w:r>
      <w:r>
        <w:t xml:space="preserve">and to promote</w:t>
      </w:r>
      <w:r>
        <w:t xml:space="preserve"> </w:t>
      </w:r>
      <w:r>
        <w:rPr>
          <w:bCs/>
          <w:b/>
        </w:rPr>
        <w:t xml:space="preserve">socially beneficial</w:t>
      </w:r>
      <w:r>
        <w:t xml:space="preserve"> </w:t>
      </w:r>
      <w:r>
        <w:t xml:space="preserve">use of the CHEM over its release lifecycle. There is significant scope to improve fulfilment of each of these responsibilities.</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[11,16]</w:t>
      </w:r>
      <w:r>
        <w:t xml:space="preserve">. The value judgments of CHEM developers influence the assumptions, selection of model features and standards for evidence that shape the model development process</w:t>
      </w:r>
      <w:r>
        <w:t xml:space="preserve"> </w:t>
      </w:r>
      <w:r>
        <w:t xml:space="preserve">[17]</w:t>
      </w:r>
      <w:r>
        <w:t xml:space="preserve">. These value judgments are rarely made explicit, omissions that may lead to socially unacceptable policy recommendations</w:t>
      </w:r>
      <w:r>
        <w:t xml:space="preserve"> </w:t>
      </w:r>
      <w:r>
        <w:t xml:space="preserve">[16]</w:t>
      </w:r>
      <w:r>
        <w:t xml:space="preserve">. Ideally, it should be straightforward for CHEMs to be modified to reflect alternative value judgments. However, such adaptability depends in part on the approach taken to computational model implementation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Computational modellers have duties both to take sufficient care that a computational model is adequate for the explicit purpose for which it was developed and to provide potential third party users with the means of assessing its adequacy for their proposed purposes</w:t>
      </w:r>
      <w:r>
        <w:t xml:space="preserve"> </w:t>
      </w:r>
      <w:r>
        <w:t xml:space="preserve">[9,14,18,19]</w:t>
      </w:r>
      <w:r>
        <w:t xml:space="preserve">. However,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Reuse of CHEMs as components of other models can potentially make model development more efficient</w:t>
      </w:r>
      <w:r>
        <w:t xml:space="preserve"> </w:t>
      </w:r>
      <w:r>
        <w:t xml:space="preserve">[29,30]</w:t>
      </w:r>
      <w:r>
        <w:t xml:space="preserve">. However, health economic models face challenges related to transferability across jurisdictions</w:t>
      </w:r>
      <w:r>
        <w:t xml:space="preserve"> </w:t>
      </w:r>
      <w:r>
        <w:t xml:space="preserve">[30]</w:t>
      </w:r>
      <w:r>
        <w:t xml:space="preserve"> </w:t>
      </w:r>
      <w:r>
        <w:t xml:space="preserve">that create barriers to reuse. Without ongoing maintenance, a CHEM risks becoming less reliable with time</w:t>
      </w:r>
      <w:r>
        <w:t xml:space="preserve"> </w:t>
      </w:r>
      <w:r>
        <w:t xml:space="preserve">[30]</w:t>
      </w:r>
      <w:r>
        <w:t xml:space="preserve"> </w:t>
      </w:r>
      <w:r>
        <w:t xml:space="preserve">and is at risk of being deployed for purposes for which it is poorly suited</w:t>
      </w:r>
      <w:r>
        <w:t xml:space="preserve"> </w:t>
      </w:r>
      <w:r>
        <w:t xml:space="preserve">[12]</w:t>
      </w:r>
      <w:r>
        <w:t xml:space="preserve">. Currently, health economic models are rarely implemented computationally in a manner that facilitates routine updates</w:t>
      </w:r>
      <w:r>
        <w:t xml:space="preserve"> </w:t>
      </w:r>
      <w:r>
        <w:t xml:space="preserve">[31]</w:t>
      </w:r>
      <w:r>
        <w:t xml:space="preserve">, thus limiting the temporal window within which a CHEM can be validly applied.</w:t>
      </w:r>
      <w:r>
        <w:t xml:space="preserve"> </w:t>
      </w:r>
      <w:r>
        <w:t xml:space="preserve"> </w:t>
      </w:r>
      <w:r>
        <w:t xml:space="preserve"> </w:t>
      </w:r>
    </w:p>
    <w:bookmarkEnd w:id="22"/>
    <w:bookmarkStart w:id="23" w:name="Xaaf39a4d2b86397b94900eb3f4ddc2287d74576"/>
    <w:p>
      <w:pPr>
        <w:pStyle w:val="Titre3"/>
      </w:pPr>
      <w:r>
        <w:t xml:space="preserve">CHEM attributes associated with ethical modelling practice</w:t>
      </w:r>
    </w:p>
    <w:p>
      <w:pPr>
        <w:pStyle w:val="FirstParagraph"/>
      </w:pPr>
      <w:r>
        <w:t xml:space="preserve">The responsibilities of health economic modellers for the planning, implementation and use of CHEMs are easier to state than to measure. We have therefore focused our assessment criteria for ethical modelling practice on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CHEMs that are</w:t>
      </w:r>
      <w:r>
        <w:t xml:space="preserve"> </w:t>
      </w:r>
      <w:r>
        <w:rPr>
          <w:bCs/>
          <w:b/>
        </w:rPr>
        <w:t xml:space="preserve">transparent</w:t>
      </w:r>
      <w:r>
        <w:t xml:space="preserve">,</w:t>
      </w:r>
      <w:r>
        <w:t xml:space="preserve"> </w:t>
      </w:r>
      <w:r>
        <w:rPr>
          <w:bCs/>
          <w:b/>
        </w:rPr>
        <w:t xml:space="preserve">reusable</w:t>
      </w:r>
      <w:r>
        <w:t xml:space="preserve"> </w:t>
      </w:r>
      <w:r>
        <w:t xml:space="preserve">and</w:t>
      </w:r>
      <w:r>
        <w:t xml:space="preserve"> </w:t>
      </w:r>
      <w:r>
        <w:rPr>
          <w:bCs/>
          <w:b/>
        </w:rPr>
        <w:t xml:space="preserve">updatable</w:t>
      </w:r>
      <w:r>
        <w:t xml:space="preserve"> </w:t>
      </w:r>
      <w:r>
        <w:t xml:space="preserve">(TRU) suggest that their creators have met a number of core ethical obligations. We therefore selected these model attributes to use as the basis for deriving ethical assessment criteria.</w:t>
      </w:r>
    </w:p>
    <w:p>
      <w:pPr>
        <w:pStyle w:val="Corpsdetexte"/>
      </w:pPr>
      <w:r>
        <w:t xml:space="preserve">Transparency has been identified as a core feature of ethical public health modelling practice</w:t>
      </w:r>
      <w:r>
        <w:t xml:space="preserve"> </w:t>
      </w:r>
      <w:r>
        <w:t xml:space="preserve">[9]</w:t>
      </w:r>
      <w:r>
        <w:t xml:space="preserve">. Guidance on transparency in health economic modelling recommended that model code and data should be clearly documented, potentially with different versions for technical and non-technical users</w:t>
      </w:r>
      <w:r>
        <w:t xml:space="preserve"> </w:t>
      </w:r>
      <w:r>
        <w:t xml:space="preserve">[32]</w:t>
      </w:r>
      <w:r>
        <w:t xml:space="preserve">. Notably, the same guidelines, published over ten years ago, did not include recommendations on sharing model code and data. However, more recent guidance recommends publicly dissemination of healthcare model artefacts using online repository services</w:t>
      </w:r>
      <w:r>
        <w:t xml:space="preserve"> </w:t>
      </w:r>
      <w:r>
        <w:t xml:space="preserve">[18]</w:t>
      </w:r>
      <w:r>
        <w:t xml:space="preserve">. Repositories such as Zenodo</w:t>
      </w:r>
      <w:r>
        <w:t xml:space="preserve"> </w:t>
      </w:r>
      <w:r>
        <w:t xml:space="preserve">[33]</w:t>
      </w:r>
      <w:r>
        <w:t xml:space="preserve"> </w:t>
      </w:r>
      <w:r>
        <w:t xml:space="preserve">and Dataverse</w:t>
      </w:r>
      <w:r>
        <w:t xml:space="preserve"> </w:t>
      </w:r>
      <w:r>
        <w:t xml:space="preserve">[34]</w:t>
      </w:r>
      <w:r>
        <w:t xml:space="preserve"> </w:t>
      </w:r>
      <w:r>
        <w:t xml:space="preserve">provide persistent storage solutions that generate a Digital Object Identifier (DOI) for each code and data collection. An essential component of quality assuring health economic models is verification - ensuring that calculations are correct and consistent with model specifications</w:t>
      </w:r>
      <w:r>
        <w:t xml:space="preserve"> </w:t>
      </w:r>
      <w:r>
        <w:t xml:space="preserve">[35]</w:t>
      </w:r>
      <w:r>
        <w:t xml:space="preserve">. The extensiveness of verification checks in models implemented as software projects can be reported using the concept of code coverage</w:t>
      </w:r>
      <w:r>
        <w:t xml:space="preserve"> </w:t>
      </w:r>
      <w:r>
        <w:t xml:space="preserve">[36]</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[37]</w:t>
      </w:r>
      <w:r>
        <w:t xml:space="preserve">). The nature and extent of individual model authorship contributions can become unclear when models are implemented over longer time-frames with a large and changing group of collaborators</w:t>
      </w:r>
      <w:r>
        <w:t xml:space="preserve"> </w:t>
      </w:r>
      <w:r>
        <w:t xml:space="preserve">[11]</w:t>
      </w:r>
      <w:r>
        <w:t xml:space="preserve">. This issue can be addressed by use of online repository services such as GitHub</w:t>
      </w:r>
      <w:r>
        <w:t xml:space="preserve"> </w:t>
      </w:r>
      <w:r>
        <w:t xml:space="preserve">[38]</w:t>
      </w:r>
      <w:r>
        <w:t xml:space="preserve">, that provide citation tools and can transparently record all individual code contributions to a modelling project over its lifecycle.</w:t>
      </w:r>
    </w:p>
    <w:p>
      <w:pPr>
        <w:pStyle w:val="Corpsdetexte"/>
      </w:pPr>
      <w:r>
        <w:t xml:space="preserve">Model reusability is the second attribute that we identify as signalling an ethical CHEM implementation. Making a CHEM’s code, data and documentation publicly available is increasingly considered good practice, yet is not sufficient to promote model re-use. Writing model algorithms as collections of functions (short, self-contained and reusable software routines that each perform a discrete task), is good scientific computing practice</w:t>
      </w:r>
      <w:r>
        <w:t xml:space="preserve"> </w:t>
      </w:r>
      <w:r>
        <w:t xml:space="preserve">[39]</w:t>
      </w:r>
      <w:r>
        <w:t xml:space="preserve"> </w:t>
      </w:r>
      <w:r>
        <w:t xml:space="preserve">and facilitates model reuse without adaptation (generalisability). To support reuse with adaptation (transferability), computational implementations can store model code and data in distinct files and locations (as opposed to embedding data such as parameter values into source code). Transferability can also be advanced through the use of object-oriented programming approaches</w:t>
      </w:r>
      <w:r>
        <w:t xml:space="preserve"> </w:t>
      </w:r>
      <w:r>
        <w:t xml:space="preserve">[40]</w:t>
      </w:r>
      <w:r>
        <w:t xml:space="preserve"> </w:t>
      </w:r>
      <w:r>
        <w:t xml:space="preserve">that take advantage of the concept of inheritance</w:t>
      </w:r>
      <w:r>
        <w:t xml:space="preserve"> </w:t>
      </w:r>
      <w:r>
        <w:t xml:space="preserve">[41]</w:t>
      </w:r>
      <w:r>
        <w:t xml:space="preserve"> </w:t>
      </w:r>
      <w:r>
        <w:t xml:space="preserve">to allow models to be first duplicated and then selectively modified. Generalisability and transferability are further enhanced if computational implementations adopt a modular approach, in which a model is constructed from multiple independently reusable and replaceable sub-models (modules)</w:t>
      </w:r>
      <w:r>
        <w:t xml:space="preserve"> </w:t>
      </w:r>
      <w:r>
        <w:t xml:space="preserve">[42]</w:t>
      </w:r>
      <w:r>
        <w:t xml:space="preserve">. To grant permissions to others to use, test and adapt models and their components, health economists can avail of two broad categories of open source licensing options. Some guidance strongly recommends the use of permissive licensing</w:t>
      </w:r>
      <w:r>
        <w:t xml:space="preserve"> </w:t>
      </w:r>
      <w:r>
        <w:t xml:space="preserve">[39]</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[43]</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be*updatable so that they remain valid for longer, evolving as new evidence emerges and the systems being modelled change</w:t>
      </w:r>
      <w:r>
        <w:t xml:space="preserve"> </w:t>
      </w:r>
      <w:r>
        <w:t xml:space="preserve">[30,44]</w:t>
      </w:r>
      <w:r>
        <w:t xml:space="preserve">. Ensuring that a model is regularly reviewed to identify and implement required improvements is a recommended defense against model validity decay</w:t>
      </w:r>
      <w:r>
        <w:t xml:space="preserve"> </w:t>
      </w:r>
      <w:r>
        <w:t xml:space="preserve">[12]</w:t>
      </w:r>
      <w:r>
        <w:t xml:space="preserve">. Sustainable maintenance of open source research software requires both a core development team and an active user community</w:t>
      </w:r>
      <w:r>
        <w:t xml:space="preserve"> </w:t>
      </w:r>
      <w:r>
        <w:t xml:space="preserve">[45]</w:t>
      </w:r>
      <w:r>
        <w:t xml:space="preserve">. Online communities can be an efficient means of engaging model users in testing each version of a model, identifying issues and suggesting improvements. Services such as GitHub</w:t>
      </w:r>
      <w:r>
        <w:t xml:space="preserve"> </w:t>
      </w:r>
      <w:r>
        <w:t xml:space="preserve">[38]</w:t>
      </w:r>
      <w:r>
        <w:t xml:space="preserve"> </w:t>
      </w:r>
      <w:r>
        <w:t xml:space="preserve">provide collaborative code development tools</w:t>
      </w:r>
      <w:r>
        <w:t xml:space="preserve"> </w:t>
      </w:r>
      <w:r>
        <w:t xml:space="preserve">[46]</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[47]</w:t>
      </w:r>
      <w:r>
        <w:t xml:space="preserve">. The risk of model revisions having unintended consequences for third party users can be mitigated through the use of deprecation conventions</w:t>
      </w:r>
      <w:r>
        <w:t xml:space="preserve"> </w:t>
      </w:r>
      <w:r>
        <w:t xml:space="preserve">[48]</w:t>
      </w:r>
      <w:r>
        <w:t xml:space="preserve"> </w:t>
      </w:r>
      <w:r>
        <w:t xml:space="preserve">that take an informative and staged approach to retiring outdated model code and data.</w:t>
      </w:r>
      <w:r>
        <w:t xml:space="preserve"> </w:t>
      </w:r>
    </w:p>
    <w:bookmarkEnd w:id="23"/>
    <w:bookmarkStart w:id="24" w:name="assessment-criteria"/>
    <w:p>
      <w:pPr>
        <w:pStyle w:val="Titre3"/>
      </w:pPr>
      <w:r>
        <w:t xml:space="preserve">Assessment criteria</w:t>
      </w:r>
    </w:p>
    <w:p>
      <w:pPr>
        <w:pStyle w:val="FirstParagraph"/>
      </w:pPr>
      <w:r>
        <w:t xml:space="preserve">For each model attribute, we identified only assessment criteria that can be met with existing technical solutions and which therefore have the potential to be facilitated by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2"/>
        </w:numPr>
      </w:pPr>
      <w:r>
        <w:rPr>
          <w:bCs/>
          <w:b/>
        </w:rPr>
        <w:t xml:space="preserve">T1</w:t>
      </w:r>
      <w:r>
        <w:t xml:space="preserve">: All model code, non-confidential data and testing procedures and outcomes are available in open access repositories.</w:t>
      </w:r>
    </w:p>
    <w:p>
      <w:pPr>
        <w:numPr>
          <w:ilvl w:val="0"/>
          <w:numId w:val="1002"/>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3"/>
        </w:numPr>
      </w:pPr>
      <w:r>
        <w:rPr>
          <w:bCs/>
          <w:b/>
        </w:rPr>
        <w:t xml:space="preserve">R1</w:t>
      </w:r>
      <w:r>
        <w:t xml:space="preserve">: Model code and data are implemented to facilitate both generalisability and transferability.</w:t>
      </w:r>
    </w:p>
    <w:p>
      <w:pPr>
        <w:numPr>
          <w:ilvl w:val="0"/>
          <w:numId w:val="1003"/>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4"/>
        </w:numPr>
      </w:pPr>
      <w:r>
        <w:rPr>
          <w:bCs/>
          <w:b/>
        </w:rPr>
        <w:t xml:space="preserve">U1</w:t>
      </w:r>
      <w:r>
        <w:t xml:space="preserve">: Technical infrastructure is in place to support version control and collaboration with model users in the maintenance of a model.</w:t>
      </w:r>
    </w:p>
    <w:p>
      <w:pPr>
        <w:numPr>
          <w:ilvl w:val="0"/>
          <w:numId w:val="1004"/>
        </w:numPr>
      </w:pPr>
      <w:r>
        <w:rPr>
          <w:bCs/>
          <w:b/>
        </w:rPr>
        <w:t xml:space="preserve">U2</w:t>
      </w:r>
      <w:r>
        <w:t xml:space="preserve">: Each new release of a model is retested, with changes implemented to minimize disruptions for existing model users.</w:t>
      </w:r>
    </w:p>
    <w:bookmarkEnd w:id="24"/>
    <w:bookmarkEnd w:id="25"/>
    <w:bookmarkStart w:id="29" w:name="software-framework"/>
    <w:p>
      <w:pPr>
        <w:pStyle w:val="Titre2"/>
      </w:pPr>
      <w:r>
        <w:t xml:space="preserve">Software framework</w:t>
      </w:r>
    </w:p>
    <w:p>
      <w:pPr>
        <w:pStyle w:val="FirstParagraph"/>
      </w:pPr>
      <w:r>
        <w:t xml:space="preserve">To support the development of CHEMs that meet TRU assessment criteria, we have created a prototype software framework called ready4 that works within the popular open-source programming language R</w:t>
      </w:r>
      <w:r>
        <w:t xml:space="preserve"> </w:t>
      </w:r>
      <w:r>
        <w:t xml:space="preserve">[3]</w:t>
      </w:r>
      <w:r>
        <w:t xml:space="preserve">. The ready4 software framework is implemented as a combination of R code libraries and online services and is supported by a documentation website.</w:t>
      </w:r>
      <w:r>
        <w:t xml:space="preserve"> </w:t>
      </w:r>
    </w:p>
    <w:bookmarkStart w:id="26" w:name="r-libraries"/>
    <w:p>
      <w:pPr>
        <w:pStyle w:val="Titre3"/>
      </w:pPr>
      <w:r>
        <w:t xml:space="preserve">R libraries</w:t>
      </w:r>
    </w:p>
    <w:p>
      <w:pPr>
        <w:pStyle w:val="FirstParagraph"/>
      </w:pPr>
      <w:r>
        <w:t xml:space="preserve">A library in the R language will typically depend on multiple other R libraries, each of which may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the</w:t>
      </w:r>
      <w:r>
        <w:t xml:space="preserve"> </w:t>
      </w:r>
      <w:r>
        <w:rPr>
          <w:bCs/>
          <w:b/>
        </w:rPr>
        <w:t xml:space="preserve">foundation</w:t>
      </w:r>
      <w:r>
        <w:t xml:space="preserve"> </w:t>
      </w:r>
      <w:r>
        <w:t xml:space="preserve">for implementing CHEMs that are modular and open-source. Modular models are comprised of modules that are able to share inputs and outputs with each other and to be run as independent models</w:t>
      </w:r>
      <w:r>
        <w:t xml:space="preserve"> </w:t>
      </w:r>
      <w:r>
        <w:t xml:space="preserve">[49]</w:t>
      </w:r>
      <w:r>
        <w:t xml:space="preserve">. To be implemented as open-source projects modules authored by different teams must be interoperable. The foundation library facilitates these objectives by defining a template module data structure (using R’s S4 class system) from which all model module data structures will be created and a novel syntax that enable module algorithms to be consistently named. The foundation library also contains tools for retrieving web-based information on model modules, datasets and analysis programs authored with the framework and for partially automating updates to a project documentation website.</w:t>
      </w:r>
    </w:p>
    <w:p>
      <w:pPr>
        <w:pStyle w:val="Corpsdetexte"/>
      </w:pPr>
      <w:r>
        <w:t xml:space="preserve">Three framework libraries are designed to help standardize workflows for</w:t>
      </w:r>
      <w:r>
        <w:t xml:space="preserve"> </w:t>
      </w:r>
      <w:r>
        <w:rPr>
          <w:bCs/>
          <w:b/>
        </w:rPr>
        <w:t xml:space="preserve">authoring modules</w:t>
      </w:r>
      <w:r>
        <w:t xml:space="preserve">. The R language supports functional and object-oriented programming paradigms</w:t>
      </w:r>
      <w:r>
        <w:t xml:space="preserve"> </w:t>
      </w:r>
      <w:r>
        <w:t xml:space="preserve">[50]</w:t>
      </w:r>
      <w:r>
        <w:t xml:space="preserve">. Both these paradigms are used in the ready4 framework, each facilitated by a dedicated authoring library. The first module authoring library contains tools for writing functions in a consistent house style and then using the resulting standardised naming conventions to automatically generate basic documentation for each function. The second module authoring library contains tools to help streamline and standardise the authoring of module data structures using the framework’s module template and for associating methods (a special type of function) with each module. The second module authoring library also supports the automatic generation of basic documentation for each new module. The third module authoring library provides tools for disseminating themed bundles of model modules as R libraries that are:</w:t>
      </w:r>
    </w:p>
    <w:p>
      <w:pPr>
        <w:numPr>
          <w:ilvl w:val="0"/>
          <w:numId w:val="1005"/>
        </w:numPr>
      </w:pPr>
      <w:r>
        <w:t xml:space="preserve">documented (with a website and PDF manuals);</w:t>
      </w:r>
    </w:p>
    <w:p>
      <w:pPr>
        <w:numPr>
          <w:ilvl w:val="0"/>
          <w:numId w:val="1005"/>
        </w:numPr>
      </w:pPr>
      <w:r>
        <w:t xml:space="preserve">licensed (using the copyleft GNU GPL-3 [66] by default);</w:t>
      </w:r>
    </w:p>
    <w:p>
      <w:pPr>
        <w:numPr>
          <w:ilvl w:val="0"/>
          <w:numId w:val="1005"/>
        </w:numPr>
      </w:pPr>
      <w:r>
        <w:t xml:space="preserve">easily citable (citation information can be retrieved within an R session or from hosting repositories); and</w:t>
      </w:r>
    </w:p>
    <w:p>
      <w:pPr>
        <w:numPr>
          <w:ilvl w:val="0"/>
          <w:numId w:val="1005"/>
        </w:numPr>
      </w:pPr>
      <w:r>
        <w:t xml:space="preserve">quality assured (each update triggers GitHub continuous integration workflows, including any acceptance and unit tests created by module library authors).</w:t>
      </w:r>
    </w:p>
    <w:p>
      <w:pPr>
        <w:pStyle w:val="FirstParagraph"/>
      </w:pPr>
      <w:r>
        <w:t xml:space="preserve">–&gt;</w:t>
      </w:r>
    </w:p>
    <w:p>
      <w:pPr>
        <w:pStyle w:val="Corpsdetexte"/>
      </w:pPr>
      <w:r>
        <w:t xml:space="preserve">A library for</w:t>
      </w:r>
      <w:r>
        <w:t xml:space="preserve"> </w:t>
      </w:r>
      <w:r>
        <w:rPr>
          <w:bCs/>
          <w:b/>
        </w:rPr>
        <w:t xml:space="preserve">authoring datasets</w:t>
      </w:r>
      <w:r>
        <w:t xml:space="preserve"> </w:t>
      </w:r>
      <w:r>
        <w:t xml:space="preserve">contains tools for supplying model modules with data stored in online repositories (hosted on a Dataverse installation or on GitHub), labelling these datasets and then sharing them via online repositories. A library for</w:t>
      </w:r>
      <w:r>
        <w:t xml:space="preserve"> </w:t>
      </w:r>
      <w:r>
        <w:rPr>
          <w:bCs/>
          <w:b/>
        </w:rPr>
        <w:t xml:space="preserve">authoring analyses</w:t>
      </w:r>
      <w:r>
        <w:t xml:space="preserve"> </w:t>
      </w:r>
      <w:r>
        <w:t xml:space="preserve">contains tools to help author R Markdown programs that combine model modules and datasets to undertake analyses. These analysis programs authored with this library can be either self-documenting (code is easy to understand and integrated with plain English explanations of what it does) or trigger the creation of separate documents (e.g. a scientific manuscript).</w:t>
      </w:r>
    </w:p>
    <w:bookmarkEnd w:id="26"/>
    <w:bookmarkStart w:id="27" w:name="online-services"/>
    <w:p>
      <w:pPr>
        <w:pStyle w:val="Titre3"/>
      </w:pPr>
      <w:r>
        <w:t xml:space="preserve">Online services</w:t>
      </w:r>
    </w:p>
    <w:p>
      <w:pPr>
        <w:pStyle w:val="FirstParagraph"/>
      </w:pPr>
      <w:r>
        <w:t xml:space="preserve">Our software framework needs to be used in conjunction with a number of online services.</w:t>
      </w:r>
      <w:r>
        <w:t xml:space="preserve"> </w:t>
      </w:r>
    </w:p>
    <w:p>
      <w:pPr>
        <w:pStyle w:val="Corpsdetexte"/>
      </w:pPr>
      <w:r>
        <w:t xml:space="preserve">We created a GitHub organisation (a collection of code repositories) where all code (libraries, programs and sub-routines) that we author with the framework is stored and version controlled. We configured individual repositories in our GitHub organisation that are used for code library projects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[51]</w:t>
      </w:r>
      <w:r>
        <w:t xml:space="preserve">. To track our code coverage, we linked our GitHub organisation to an account we established at codecov</w:t>
      </w:r>
      <w:r>
        <w:t xml:space="preserve"> </w:t>
      </w:r>
      <w:r>
        <w:t xml:space="preserve">[52]</w:t>
      </w:r>
      <w:r>
        <w:t xml:space="preserve">. To facilitate the creation and hosting of documentation websites, we enabled GitHub Pages in each repository we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7"/>
    <w:bookmarkStart w:id="28" w:name="documentation-website"/>
    <w:p>
      <w:pPr>
        <w:pStyle w:val="Titre3"/>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[53]</w:t>
      </w:r>
      <w:r>
        <w:t xml:space="preserve">, Docsy theme</w:t>
      </w:r>
      <w:r>
        <w:t xml:space="preserve"> </w:t>
      </w:r>
      <w:r>
        <w:t xml:space="preserve">[54]</w:t>
      </w:r>
      <w:r>
        <w:t xml:space="preserve"> </w:t>
      </w:r>
      <w:r>
        <w:t xml:space="preserve">and Algolia DocSearch</w:t>
      </w:r>
      <w:r>
        <w:t xml:space="preserve"> </w:t>
      </w:r>
      <w:r>
        <w:t xml:space="preserve">[55]</w:t>
      </w:r>
      <w:r>
        <w:t xml:space="preserve"> </w:t>
      </w:r>
      <w:r>
        <w:t xml:space="preserve">and is hosted using the Netlify</w:t>
      </w:r>
      <w:r>
        <w:t xml:space="preserve"> </w:t>
      </w:r>
      <w:r>
        <w:t xml:space="preserve">[56]</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the source code in its GitHub repository was edited.</w:t>
      </w:r>
    </w:p>
    <w:bookmarkEnd w:id="28"/>
    <w:bookmarkEnd w:id="29"/>
    <w:bookmarkEnd w:id="30"/>
    <w:bookmarkStart w:id="33" w:name="application"/>
    <w:p>
      <w:pPr>
        <w:pStyle w:val="Titre1"/>
      </w:pPr>
      <w:r>
        <w:t xml:space="preserve">Application</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computational models in four of the twelve domains of health economics identified by Wagstaff and Culyer</w:t>
      </w:r>
      <w:r>
        <w:t xml:space="preserve"> </w:t>
      </w:r>
      <w:r>
        <w:t xml:space="preserve">[1]</w:t>
      </w:r>
      <w:r>
        <w:t xml:space="preserve">:</w:t>
      </w:r>
    </w:p>
    <w:p>
      <w:pPr>
        <w:numPr>
          <w:ilvl w:val="0"/>
          <w:numId w:val="1006"/>
        </w:numPr>
      </w:pPr>
      <w:r>
        <w:t xml:space="preserve">health and its value (our projects: utility mapping models);</w:t>
      </w:r>
    </w:p>
    <w:p>
      <w:pPr>
        <w:numPr>
          <w:ilvl w:val="0"/>
          <w:numId w:val="1006"/>
        </w:numPr>
      </w:pPr>
      <w:r>
        <w:t xml:space="preserve">determinants of health and ill-health (our projects: models for creating synthetic household populations with key risk and protective factors for mental disorders);</w:t>
      </w:r>
    </w:p>
    <w:p>
      <w:pPr>
        <w:numPr>
          <w:ilvl w:val="0"/>
          <w:numId w:val="1006"/>
        </w:numPr>
      </w:pPr>
      <w:r>
        <w:t xml:space="preserve">demand for health and health care (our projects: spatial epidemiology and help-seeking choice models); and</w:t>
      </w:r>
    </w:p>
    <w:p>
      <w:pPr>
        <w:numPr>
          <w:ilvl w:val="0"/>
          <w:numId w:val="1006"/>
        </w:numPr>
      </w:pPr>
      <w:r>
        <w:t xml:space="preserve">supply of health services (our projects: a model of primary mental health care services).</w:t>
      </w:r>
    </w:p>
    <w:p>
      <w:pPr>
        <w:pStyle w:val="FirstParagraph"/>
      </w:pPr>
      <w:r>
        <w:t xml:space="preserve">Once these projects are completed, our aim is to flexibly combine these models as modules of a multi-purpose model (also called</w:t>
      </w:r>
      <w:r>
        <w:t xml:space="preserve"> </w:t>
      </w:r>
      <w:r>
        <w:t xml:space="preserve">“</w:t>
      </w:r>
      <w:r>
        <w:t xml:space="preserve">ready4</w:t>
      </w:r>
      <w:r>
        <w:t xml:space="preserve">”</w:t>
      </w:r>
      <w:r>
        <w:t xml:space="preserve">) to answer questions in two additional Wagstaff and Culyer domains:</w:t>
      </w:r>
    </w:p>
    <w:p>
      <w:pPr>
        <w:numPr>
          <w:ilvl w:val="0"/>
          <w:numId w:val="1007"/>
        </w:numPr>
      </w:pPr>
      <w:r>
        <w:t xml:space="preserve">efficiency and equity (our goal: assess the distributional impacts and identify the optimal targeting of care provision); and</w:t>
      </w:r>
    </w:p>
    <w:p>
      <w:pPr>
        <w:numPr>
          <w:ilvl w:val="0"/>
          <w:numId w:val="1007"/>
        </w:numPr>
      </w:pPr>
      <w:r>
        <w:t xml:space="preserve">economic evaluation (our goal: assess the cost-utility of competing policy options for improving the mental health of young people).</w:t>
      </w:r>
    </w:p>
    <w:bookmarkEnd w:id="31"/>
    <w:bookmarkStart w:id="32" w:name="case-study-utility-mapping"/>
    <w:p>
      <w:pPr>
        <w:pStyle w:val="Titre2"/>
      </w:pPr>
      <w:r>
        <w:t xml:space="preserve">Case study: Utility mapping</w:t>
      </w:r>
    </w:p>
    <w:p>
      <w:pPr>
        <w:pStyle w:val="FirstParagraph"/>
      </w:pPr>
      <w:r>
        <w:t xml:space="preserve">Our initial application of the ready4 software framework was to undertake a previously described study</w:t>
      </w:r>
      <w:r>
        <w:t xml:space="preserve"> </w:t>
      </w:r>
      <w:r>
        <w:t xml:space="preserve">[57]</w:t>
      </w:r>
      <w:r>
        <w:t xml:space="preserve"> </w:t>
      </w:r>
      <w:r>
        <w:t xml:space="preserve">to develop utility mapping models for use in samples of young people presenting to primary mental health services. The ready4 software framework was used to develop CHEM modules, supply those modules with data and implement modelling analyses, creating the following artefacts:</w:t>
      </w:r>
    </w:p>
    <w:p>
      <w:pPr>
        <w:numPr>
          <w:ilvl w:val="0"/>
          <w:numId w:val="1008"/>
        </w:numPr>
      </w:pPr>
      <w:r>
        <w:t xml:space="preserve">development version module libraries for describing and validating youth mental health human record datasets</w:t>
      </w:r>
      <w:r>
        <w:t xml:space="preserve"> </w:t>
      </w:r>
      <w:r>
        <w:t xml:space="preserve">[58]</w:t>
      </w:r>
      <w:r>
        <w:t xml:space="preserve">, scoring health utility</w:t>
      </w:r>
      <w:r>
        <w:t xml:space="preserve"> </w:t>
      </w:r>
      <w:r>
        <w:t xml:space="preserve">[59]</w:t>
      </w:r>
      <w:r>
        <w:t xml:space="preserve">, specifying utility mapping models</w:t>
      </w:r>
      <w:r>
        <w:t xml:space="preserve"> </w:t>
      </w:r>
      <w:r>
        <w:t xml:space="preserve">[60]</w:t>
      </w:r>
      <w:r>
        <w:t xml:space="preserve"> </w:t>
      </w:r>
      <w:r>
        <w:t xml:space="preserve">and implementing reproducible utility mapping studies</w:t>
      </w:r>
      <w:r>
        <w:t xml:space="preserve"> </w:t>
      </w:r>
      <w:r>
        <w:t xml:space="preserve">[61]</w:t>
      </w:r>
      <w:r>
        <w:t xml:space="preserve">;</w:t>
      </w:r>
    </w:p>
    <w:p>
      <w:pPr>
        <w:numPr>
          <w:ilvl w:val="0"/>
          <w:numId w:val="1008"/>
        </w:numPr>
      </w:pPr>
      <w:r>
        <w:t xml:space="preserve">a development version library of functions for finding and using utility mapping models developed with these tools</w:t>
      </w:r>
      <w:r>
        <w:t xml:space="preserve"> </w:t>
      </w:r>
      <w:r>
        <w:t xml:space="preserve">[62]</w:t>
      </w:r>
      <w:r>
        <w:t xml:space="preserve">;</w:t>
      </w:r>
    </w:p>
    <w:p>
      <w:pPr>
        <w:numPr>
          <w:ilvl w:val="0"/>
          <w:numId w:val="1008"/>
        </w:numPr>
      </w:pPr>
      <w:r>
        <w:t xml:space="preserve">data collections of synthetic populations for testing model modules</w:t>
      </w:r>
      <w:r>
        <w:t xml:space="preserve"> </w:t>
      </w:r>
      <w:r>
        <w:t xml:space="preserve">[63]</w:t>
      </w:r>
      <w:r>
        <w:t xml:space="preserve"> </w:t>
      </w:r>
      <w:r>
        <w:t xml:space="preserve">and study input and results data</w:t>
      </w:r>
      <w:r>
        <w:t xml:space="preserve"> </w:t>
      </w:r>
      <w:r>
        <w:t xml:space="preserve">[64]</w:t>
      </w:r>
      <w:r>
        <w:t xml:space="preserve">;</w:t>
      </w:r>
    </w:p>
    <w:p>
      <w:pPr>
        <w:numPr>
          <w:ilvl w:val="0"/>
          <w:numId w:val="1008"/>
        </w:numPr>
      </w:pPr>
      <w:r>
        <w:t xml:space="preserve">programs for replicating all steps from data ingest to manuscript reporting</w:t>
      </w:r>
      <w:r>
        <w:t xml:space="preserve"> </w:t>
      </w:r>
      <w:r>
        <w:t xml:space="preserve">[65]</w:t>
      </w:r>
      <w:r>
        <w:t xml:space="preserve">, applying utility mapping models to new data</w:t>
      </w:r>
      <w:r>
        <w:t xml:space="preserve"> </w:t>
      </w:r>
      <w:r>
        <w:t xml:space="preserve">[66]</w:t>
      </w:r>
      <w:r>
        <w:t xml:space="preserve"> </w:t>
      </w:r>
      <w:r>
        <w:t xml:space="preserve">and generating a synthetic representation of the study dataset</w:t>
      </w:r>
      <w:r>
        <w:t xml:space="preserve"> </w:t>
      </w:r>
      <w:r>
        <w:t xml:space="preserve">[67]</w:t>
      </w:r>
      <w:r>
        <w:t xml:space="preserve">;</w:t>
      </w:r>
    </w:p>
    <w:p>
      <w:pPr>
        <w:numPr>
          <w:ilvl w:val="0"/>
          <w:numId w:val="1008"/>
        </w:numPr>
      </w:pPr>
      <w:r>
        <w:t xml:space="preserve">subroutines for creating a catalogue of utility mapping models</w:t>
      </w:r>
      <w:r>
        <w:t xml:space="preserve"> </w:t>
      </w:r>
      <w:r>
        <w:t xml:space="preserve">[68]</w:t>
      </w:r>
      <w:r>
        <w:t xml:space="preserve"> </w:t>
      </w:r>
      <w:r>
        <w:t xml:space="preserve">and generating a draft scientific manuscript</w:t>
      </w:r>
      <w:r>
        <w:t xml:space="preserve"> </w:t>
      </w:r>
      <w:r>
        <w:t xml:space="preserve">[69]</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four of the six criteria (T1, T2, R2 and U1) and to have partially met two criteria (R1 and U2). The main shortcomings that we identified when applying the assessment criteria were the need for additional development before the CHEM modules would be sufficiently generalizable for valid application in datasets that measure health utility with different instruments and a general lack of unit testing.</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quantitive research, yet an understanding of what constitutes ethical computational modelling practice in health is underdeveloped</w:t>
      </w:r>
      <w:r>
        <w:t xml:space="preserve"> </w:t>
      </w:r>
      <w:r>
        <w:t xml:space="preserve">[9]</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[9]</w:t>
      </w:r>
      <w:r>
        <w:t xml:space="preserve">. The authors of that framework propose 13 questions to evaluate ethical risk across the four criteria of independence, transparency, benficience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beneficience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beneficience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[22,25–27]</w:t>
      </w:r>
      <w:r>
        <w:t xml:space="preserve">, reusable</w:t>
      </w:r>
      <w:r>
        <w:t xml:space="preserve"> </w:t>
      </w:r>
      <w:r>
        <w:t xml:space="preserve">[14,15]</w:t>
      </w:r>
      <w:r>
        <w:t xml:space="preserve"> </w:t>
      </w:r>
      <w:r>
        <w:t xml:space="preserve">and updatable</w:t>
      </w:r>
      <w:r>
        <w:t xml:space="preserve"> </w:t>
      </w:r>
      <w:r>
        <w:t xml:space="preserve">[31,70]</w:t>
      </w:r>
      <w:r>
        <w:t xml:space="preserve">].</w:t>
      </w:r>
      <w:r>
        <w:t xml:space="preserve"> </w:t>
      </w:r>
      <w:r>
        <w:t xml:space="preserve"> </w:t>
      </w:r>
      <w:r>
        <w:t xml:space="preserve">Existing incentive structures for health economists generally do not promote facilitating peers to reuse their work. Currently, it takes</w:t>
      </w:r>
      <w:r>
        <w:t xml:space="preserve"> </w:t>
      </w:r>
      <w:r>
        <w:t xml:space="preserve">“</w:t>
      </w:r>
      <w:r>
        <w:t xml:space="preserve">an extraordinary amount of idealism</w:t>
      </w:r>
      <w:r>
        <w:t xml:space="preserve">”</w:t>
      </w:r>
      <w:r>
        <w:t xml:space="preserve"> </w:t>
      </w:r>
      <w:r>
        <w:t xml:space="preserve">to dedicate the substantial time and resources required to author, test, document and maintain even fragile prototype research software that could instead be used to write scientific manuscripts</w:t>
      </w:r>
      <w:r>
        <w:t xml:space="preserve"> </w:t>
      </w:r>
      <w:r>
        <w:t xml:space="preserve">[71]</w:t>
      </w:r>
      <w:r>
        <w:t xml:space="preserve">.</w:t>
      </w:r>
    </w:p>
    <w:p>
      <w:pPr>
        <w:pStyle w:val="Corpsdetexte"/>
      </w:pPr>
      <w:r>
        <w:t xml:space="preserve">Reducing waste in research is a core responsibility of research funders</w:t>
      </w:r>
      <w:r>
        <w:t xml:space="preserve"> </w:t>
      </w:r>
      <w:r>
        <w:t xml:space="preserve">[72]</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[9]</w:t>
      </w:r>
      <w:r>
        <w:t xml:space="preserve">, methodological innovation to improve model transferability</w:t>
      </w:r>
      <w:r>
        <w:t xml:space="preserve"> </w:t>
      </w:r>
      <w:r>
        <w:t xml:space="preserve">[73]</w:t>
      </w:r>
      <w:r>
        <w:t xml:space="preserve">, networks of modellers working on common health conditions</w:t>
      </w:r>
      <w:r>
        <w:t xml:space="preserve"> </w:t>
      </w:r>
      <w:r>
        <w:t xml:space="preserve">[74]</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[6]</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(a limitation of object oriented approaches famously described as:</w:t>
      </w:r>
      <w:r>
        <w:t xml:space="preserve"> </w:t>
      </w:r>
      <w:r>
        <w:t xml:space="preserve">“</w:t>
      </w:r>
      <w:r>
        <w:t xml:space="preserve">you wanted a banana but what you got was a gorilla holding the banana</w:t>
      </w:r>
      <w:r>
        <w:t xml:space="preserve">”</w:t>
      </w:r>
      <w:r>
        <w:t xml:space="preserve"> </w:t>
      </w:r>
      <w:r>
        <w:t xml:space="preserve">[75]</w:t>
      </w:r>
      <w:r>
        <w:t xml:space="preserve">).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[76]</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4" w:name="references"/>
    <w:p>
      <w:pPr>
        <w:pStyle w:val="Titre1"/>
      </w:pPr>
      <w:r>
        <w:t xml:space="preserve">References</w:t>
      </w:r>
    </w:p>
    <w:bookmarkStart w:id="172"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1" w:name="ref-myllarniemi2018development"/>
    <w:p>
      <w:pPr>
        <w:pStyle w:val="Bibliographie"/>
      </w:pPr>
      <w:r>
        <w:t xml:space="preserve">6.</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1"/>
    <w:bookmarkStart w:id="52" w:name="ref-PyTorch2019"/>
    <w:p>
      <w:pPr>
        <w:pStyle w:val="Bibliographie"/>
      </w:pPr>
      <w:r>
        <w:t xml:space="preserve">7.</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2"/>
    <w:bookmarkStart w:id="53" w:name="ref-edwin2014software"/>
    <w:p>
      <w:pPr>
        <w:pStyle w:val="Bibliographie"/>
      </w:pPr>
      <w:r>
        <w:t xml:space="preserve">8.</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3"/>
    <w:bookmarkStart w:id="55" w:name="ref-10.3389/fpubh.2017.00068"/>
    <w:p>
      <w:pPr>
        <w:pStyle w:val="Bibliographie"/>
      </w:pPr>
      <w:r>
        <w:t xml:space="preserve">9.</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4">
        <w:r>
          <w:rPr>
            <w:rStyle w:val="Lienhypertexte"/>
          </w:rPr>
          <w:t xml:space="preserve">10.3389/fpubh.2017.00068</w:t>
        </w:r>
      </w:hyperlink>
    </w:p>
    <w:bookmarkEnd w:id="55"/>
    <w:bookmarkStart w:id="56" w:name="ref-pliakos2021ethics"/>
    <w:p>
      <w:pPr>
        <w:pStyle w:val="Bibliographie"/>
      </w:pPr>
      <w:r>
        <w:t xml:space="preserve">10.</w:t>
      </w:r>
      <w:r>
        <w:t xml:space="preserve"> </w:t>
      </w:r>
      <w:r>
        <w:t xml:space="preserve">	</w:t>
      </w:r>
      <w:r>
        <w:t xml:space="preserve">Pliakos EE. Ethics in economic modeling in health care. AMA Journal of Ethics. American Medical Association; 2021;23: 599–600.</w:t>
      </w:r>
      <w:r>
        <w:t xml:space="preserve"> </w:t>
      </w:r>
    </w:p>
    <w:bookmarkEnd w:id="56"/>
    <w:bookmarkStart w:id="57" w:name="ref-thompson2022escape"/>
    <w:p>
      <w:pPr>
        <w:pStyle w:val="Bibliographie"/>
      </w:pPr>
      <w:r>
        <w:t xml:space="preserve">11.</w:t>
      </w:r>
      <w:r>
        <w:t xml:space="preserve"> </w:t>
      </w:r>
      <w:r>
        <w:t xml:space="preserve">	</w:t>
      </w:r>
      <w:r>
        <w:t xml:space="preserve">Thompson E. Escape from model land: How mathematical models can lead us astray and what we can do about it. New Yourk: Basic Books; 2022.</w:t>
      </w:r>
      <w:r>
        <w:t xml:space="preserve"> </w:t>
      </w:r>
    </w:p>
    <w:bookmarkEnd w:id="57"/>
    <w:bookmarkStart w:id="58" w:name="ref-calder2018computational"/>
    <w:p>
      <w:pPr>
        <w:pStyle w:val="Bibliographie"/>
      </w:pPr>
      <w:r>
        <w:t xml:space="preserve">12.</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58"/>
    <w:bookmarkStart w:id="59" w:name="ref-alarid2019need"/>
    <w:p>
      <w:pPr>
        <w:pStyle w:val="Bibliographie"/>
      </w:pPr>
      <w:r>
        <w:t xml:space="preserve">13.</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9"/>
    <w:bookmarkStart w:id="61" w:name="ref-Feenstra2022"/>
    <w:p>
      <w:pPr>
        <w:pStyle w:val="Bibliographie"/>
      </w:pPr>
      <w:r>
        <w:t xml:space="preserve">14.</w:t>
      </w:r>
      <w:r>
        <w:t xml:space="preserve"> </w:t>
      </w:r>
      <w:r>
        <w:t xml:space="preserve">	</w:t>
      </w:r>
      <w:r>
        <w:t xml:space="preserve">Feenstra T, Corro-Ramos I, Hamerlijnck D, Voorn G van, Ghabri S. Four aspects affecting health economic decision models and their validation. PharmacoEconomics. 2022;40: 241–248. doi:</w:t>
      </w:r>
      <w:hyperlink r:id="rId60">
        <w:r>
          <w:rPr>
            <w:rStyle w:val="Lienhypertexte"/>
          </w:rPr>
          <w:t xml:space="preserve">10.1007/s40273-021-01110-w</w:t>
        </w:r>
      </w:hyperlink>
    </w:p>
    <w:bookmarkEnd w:id="61"/>
    <w:bookmarkStart w:id="63" w:name="ref-Emerson2019"/>
    <w:p>
      <w:pPr>
        <w:pStyle w:val="Bibliographie"/>
      </w:pPr>
      <w:r>
        <w:t xml:space="preserve">15.</w:t>
      </w:r>
      <w:r>
        <w:t xml:space="preserve"> </w:t>
      </w:r>
      <w:r>
        <w:t xml:space="preserve">	</w:t>
      </w:r>
      <w:r>
        <w:t xml:space="preserve">Emerson J, Bacon R, Kent A, Neumann PJ, Cohen JT. Publication of decision model source code: Attitudes of health economics authors. PharmacoEconomics. 2019;37: 1409–1410. doi:</w:t>
      </w:r>
      <w:hyperlink r:id="rId62">
        <w:r>
          <w:rPr>
            <w:rStyle w:val="Lienhypertexte"/>
          </w:rPr>
          <w:t xml:space="preserve">10.1007/s40273-019-00796-3</w:t>
        </w:r>
      </w:hyperlink>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Arnold2010"/>
    <w:p>
      <w:pPr>
        <w:pStyle w:val="Bibliographie"/>
      </w:pPr>
      <w:r>
        <w:t xml:space="preserve">29.</w:t>
      </w:r>
      <w:r>
        <w:t xml:space="preserve"> </w:t>
      </w:r>
      <w:r>
        <w:t xml:space="preserve">	</w:t>
      </w:r>
      <w:r>
        <w:t xml:space="preserve">Arnold RJG, Ekins S. Time for cooperation in health economics among the modelling community. PharmacoEconomics. 2010;28: 609–613. doi:</w:t>
      </w:r>
      <w:hyperlink r:id="rId86">
        <w:r>
          <w:rPr>
            <w:rStyle w:val="Lienhypertexte"/>
          </w:rPr>
          <w:t xml:space="preserve">10.2165/11537580-000000000-00000</w:t>
        </w:r>
      </w:hyperlink>
    </w:p>
    <w:bookmarkEnd w:id="87"/>
    <w:bookmarkStart w:id="88" w:name="ref-garcia2021cost"/>
    <w:p>
      <w:pPr>
        <w:pStyle w:val="Bibliographie"/>
      </w:pPr>
      <w:r>
        <w:t xml:space="preserve">30.</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8"/>
    <w:bookmarkStart w:id="90" w:name="ref-Sampson2017"/>
    <w:p>
      <w:pPr>
        <w:pStyle w:val="Bibliographie"/>
      </w:pPr>
      <w:r>
        <w:t xml:space="preserve">31.</w:t>
      </w:r>
      <w:r>
        <w:t xml:space="preserve"> </w:t>
      </w:r>
      <w:r>
        <w:t xml:space="preserve">	</w:t>
      </w:r>
      <w:r>
        <w:t xml:space="preserve">Sampson CJ, Wrightson T. Model registration: A call to action. PharmacoEconomics - Open. 2017;1: 73–77. doi:</w:t>
      </w:r>
      <w:hyperlink r:id="rId89">
        <w:r>
          <w:rPr>
            <w:rStyle w:val="Lienhypertexte"/>
          </w:rPr>
          <w:t xml:space="preserve">10.1007/s41669-017-0019-2</w:t>
        </w:r>
      </w:hyperlink>
    </w:p>
    <w:bookmarkEnd w:id="90"/>
    <w:bookmarkStart w:id="92" w:name="ref-Eddy2012"/>
    <w:p>
      <w:pPr>
        <w:pStyle w:val="Bibliographie"/>
      </w:pPr>
      <w:r>
        <w:t xml:space="preserve">32.</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1">
        <w:r>
          <w:rPr>
            <w:rStyle w:val="Lienhypertexte"/>
          </w:rPr>
          <w:t xml:space="preserve">10.1177/0272989x12454579</w:t>
        </w:r>
      </w:hyperlink>
    </w:p>
    <w:bookmarkEnd w:id="92"/>
    <w:bookmarkStart w:id="94" w:name="ref-Zenodo2013"/>
    <w:p>
      <w:pPr>
        <w:pStyle w:val="Bibliographie"/>
      </w:pPr>
      <w:r>
        <w:t xml:space="preserve">33.</w:t>
      </w:r>
      <w:r>
        <w:t xml:space="preserve"> </w:t>
      </w:r>
      <w:r>
        <w:t xml:space="preserve">	</w:t>
      </w:r>
      <w:r>
        <w:t xml:space="preserve">European Organization For Nuclear Research, OpenAIRE. Zenodo [Internet]. CERN; 2013. doi:</w:t>
      </w:r>
      <w:hyperlink r:id="rId93">
        <w:r>
          <w:rPr>
            <w:rStyle w:val="Lienhypertexte"/>
          </w:rPr>
          <w:t xml:space="preserve">10.25495/7GXK-RD71</w:t>
        </w:r>
      </w:hyperlink>
    </w:p>
    <w:bookmarkEnd w:id="94"/>
    <w:bookmarkStart w:id="96" w:name="ref-Dataverse2007"/>
    <w:p>
      <w:pPr>
        <w:pStyle w:val="Bibliographie"/>
      </w:pPr>
      <w:r>
        <w:t xml:space="preserve">34.</w:t>
      </w:r>
      <w:r>
        <w:t xml:space="preserve"> </w:t>
      </w:r>
      <w:r>
        <w:t xml:space="preserve">	</w:t>
      </w:r>
      <w:r>
        <w:t xml:space="preserve">Quantitative Social Science I for. Dataverse [Internet]. Harvard University; 2007. Available:</w:t>
      </w:r>
      <w:r>
        <w:t xml:space="preserve"> </w:t>
      </w:r>
      <w:hyperlink r:id="rId95">
        <w:r>
          <w:rPr>
            <w:rStyle w:val="Lienhypertexte"/>
          </w:rPr>
          <w:t xml:space="preserve">https://dataverse.org</w:t>
        </w:r>
      </w:hyperlink>
    </w:p>
    <w:bookmarkEnd w:id="96"/>
    <w:bookmarkStart w:id="98" w:name="ref-techver2019"/>
    <w:p>
      <w:pPr>
        <w:pStyle w:val="Bibliographie"/>
      </w:pPr>
      <w:r>
        <w:t xml:space="preserve">35.</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7">
        <w:r>
          <w:rPr>
            <w:rStyle w:val="Lienhypertexte"/>
          </w:rPr>
          <w:t xml:space="preserve">10.1007/s40273-019-00844-y</w:t>
        </w:r>
      </w:hyperlink>
    </w:p>
    <w:bookmarkEnd w:id="98"/>
    <w:bookmarkStart w:id="100" w:name="ref-ERICWONG2010188"/>
    <w:p>
      <w:pPr>
        <w:pStyle w:val="Bibliographie"/>
      </w:pPr>
      <w:r>
        <w:t xml:space="preserve">36.</w:t>
      </w:r>
      <w:r>
        <w:t xml:space="preserve"> </w:t>
      </w:r>
      <w:r>
        <w:t xml:space="preserve">	</w:t>
      </w:r>
      <w:r>
        <w:t xml:space="preserve">Eric Wong W, Debroy V, Choi B. A family of code coverage-based heuristics for effective fault localization. Journal of Systems and Software. 2010;83: 188–208. doi:</w:t>
      </w:r>
      <w:hyperlink r:id="rId99">
        <w:r>
          <w:rPr>
            <w:rStyle w:val="Lienhypertexte"/>
          </w:rPr>
          <w:t xml:space="preserve">https://doi.org/10.1016/j.jss.2009.09.037</w:t>
        </w:r>
      </w:hyperlink>
    </w:p>
    <w:bookmarkEnd w:id="100"/>
    <w:bookmarkStart w:id="101" w:name="ref-martin2003agile"/>
    <w:p>
      <w:pPr>
        <w:pStyle w:val="Bibliographie"/>
      </w:pPr>
      <w:r>
        <w:t xml:space="preserve">37.</w:t>
      </w:r>
      <w:r>
        <w:t xml:space="preserve"> </w:t>
      </w:r>
      <w:r>
        <w:t xml:space="preserve">	</w:t>
      </w:r>
      <w:r>
        <w:t xml:space="preserve">Martin RC. Agile software development: Principles, patterns, and practices. Prentice Hall PTR; 2003.</w:t>
      </w:r>
      <w:r>
        <w:t xml:space="preserve"> </w:t>
      </w:r>
    </w:p>
    <w:bookmarkEnd w:id="101"/>
    <w:bookmarkStart w:id="103" w:name="ref-github2007"/>
    <w:p>
      <w:pPr>
        <w:pStyle w:val="Bibliographie"/>
      </w:pPr>
      <w:r>
        <w:t xml:space="preserve">38.</w:t>
      </w:r>
      <w:r>
        <w:t xml:space="preserve"> </w:t>
      </w:r>
      <w:r>
        <w:t xml:space="preserve">	</w:t>
      </w:r>
      <w:r>
        <w:t xml:space="preserve">github. GitHub [Internet]. 2007. Available:</w:t>
      </w:r>
      <w:r>
        <w:t xml:space="preserve"> </w:t>
      </w:r>
      <w:hyperlink r:id="rId102">
        <w:r>
          <w:rPr>
            <w:rStyle w:val="Lienhypertexte"/>
          </w:rPr>
          <w:t xml:space="preserve">https://github.com/</w:t>
        </w:r>
      </w:hyperlink>
    </w:p>
    <w:bookmarkEnd w:id="103"/>
    <w:bookmarkStart w:id="105" w:name="ref-Wilson_2017"/>
    <w:p>
      <w:pPr>
        <w:pStyle w:val="Bibliographie"/>
      </w:pPr>
      <w:r>
        <w:t xml:space="preserve">39.</w:t>
      </w:r>
      <w:r>
        <w:t xml:space="preserve"> </w:t>
      </w:r>
      <w:r>
        <w:t xml:space="preserve">	</w:t>
      </w:r>
      <w:r>
        <w:t xml:space="preserve">Wilson JAC Greg AND Bryan. Good enough practices in scientific computing. PLOS Computational Biology. Public Library of Science; 2017;13: 1–20. doi:</w:t>
      </w:r>
      <w:hyperlink r:id="rId104">
        <w:r>
          <w:rPr>
            <w:rStyle w:val="Lienhypertexte"/>
          </w:rPr>
          <w:t xml:space="preserve">10.1371/journal.pcbi.1005510</w:t>
        </w:r>
      </w:hyperlink>
    </w:p>
    <w:bookmarkEnd w:id="105"/>
    <w:bookmarkStart w:id="107" w:name="ref-ready4oop2022"/>
    <w:p>
      <w:pPr>
        <w:pStyle w:val="Bibliographie"/>
      </w:pPr>
      <w:r>
        <w:t xml:space="preserve">40.</w:t>
      </w:r>
      <w:r>
        <w:t xml:space="preserve"> </w:t>
      </w:r>
      <w:r>
        <w:t xml:space="preserve">	</w:t>
      </w:r>
      <w:r>
        <w:t xml:space="preserve">Hamilton M. Apply an object-oriented paradigm to computational models of mental health systems [Internet]. 2022. Available:</w:t>
      </w:r>
      <w:r>
        <w:t xml:space="preserve"> </w:t>
      </w:r>
      <w:hyperlink r:id="rId106">
        <w:r>
          <w:rPr>
            <w:rStyle w:val="Lienhypertexte"/>
          </w:rPr>
          <w:t xml:space="preserve">https://ready4-dev.github.io/ready4/articles/V_03.html</w:t>
        </w:r>
      </w:hyperlink>
    </w:p>
    <w:bookmarkEnd w:id="107"/>
    <w:bookmarkStart w:id="109" w:name="ref-8717448"/>
    <w:p>
      <w:pPr>
        <w:pStyle w:val="Bibliographie"/>
      </w:pPr>
      <w:r>
        <w:t xml:space="preserve">41.</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08">
        <w:r>
          <w:rPr>
            <w:rStyle w:val="Lienhypertexte"/>
          </w:rPr>
          <w:t xml:space="preserve">10.1109/JEEIT.2019.8717448</w:t>
        </w:r>
      </w:hyperlink>
    </w:p>
    <w:bookmarkEnd w:id="109"/>
    <w:bookmarkStart w:id="110" w:name="ref-pan2021modular"/>
    <w:p>
      <w:pPr>
        <w:pStyle w:val="Bibliographie"/>
      </w:pPr>
      <w:r>
        <w:t xml:space="preserve">42.</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10"/>
    <w:bookmarkStart w:id="112" w:name="ref-copyleft2022"/>
    <w:p>
      <w:pPr>
        <w:pStyle w:val="Bibliographie"/>
      </w:pPr>
      <w:r>
        <w:t xml:space="preserve">43.</w:t>
      </w:r>
      <w:r>
        <w:t xml:space="preserve"> </w:t>
      </w:r>
      <w:r>
        <w:t xml:space="preserve">	</w:t>
      </w:r>
      <w:r>
        <w:t xml:space="preserve">Foundation TFS. What is copyleft? [Internet]. Available:</w:t>
      </w:r>
      <w:r>
        <w:t xml:space="preserve"> </w:t>
      </w:r>
      <w:hyperlink r:id="rId111">
        <w:r>
          <w:rPr>
            <w:rStyle w:val="Lienhypertexte"/>
          </w:rPr>
          <w:t xml:space="preserve">https://www.gnu.org/copyleft/</w:t>
        </w:r>
      </w:hyperlink>
    </w:p>
    <w:bookmarkEnd w:id="112"/>
    <w:bookmarkStart w:id="114" w:name="ref-Jenkins2021"/>
    <w:p>
      <w:pPr>
        <w:pStyle w:val="Bibliographie"/>
      </w:pPr>
      <w:r>
        <w:t xml:space="preserve">44.</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3">
        <w:r>
          <w:rPr>
            <w:rStyle w:val="Lienhypertexte"/>
          </w:rPr>
          <w:t xml:space="preserve">10.1186/s41512-020-00090-3</w:t>
        </w:r>
      </w:hyperlink>
    </w:p>
    <w:bookmarkEnd w:id="114"/>
    <w:bookmarkStart w:id="116" w:name="ref-info:doi/10.2196/20028"/>
    <w:p>
      <w:pPr>
        <w:pStyle w:val="Bibliographie"/>
      </w:pPr>
      <w:r>
        <w:t xml:space="preserve">45.</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5">
        <w:r>
          <w:rPr>
            <w:rStyle w:val="Lienhypertexte"/>
          </w:rPr>
          <w:t xml:space="preserve">10.2196/20028</w:t>
        </w:r>
      </w:hyperlink>
    </w:p>
    <w:bookmarkEnd w:id="116"/>
    <w:bookmarkStart w:id="118" w:name="ref-MERGEL2015464"/>
    <w:p>
      <w:pPr>
        <w:pStyle w:val="Bibliographie"/>
      </w:pPr>
      <w:r>
        <w:t xml:space="preserve">46.</w:t>
      </w:r>
      <w:r>
        <w:t xml:space="preserve"> </w:t>
      </w:r>
      <w:r>
        <w:t xml:space="preserve">	</w:t>
      </w:r>
      <w:r>
        <w:t xml:space="preserve">Mergel I. Open collaboration in the public sector: The case of social coding on GitHub. Government Information Quarterly. 2015;32: 464–472. doi:</w:t>
      </w:r>
      <w:hyperlink r:id="rId117">
        <w:r>
          <w:rPr>
            <w:rStyle w:val="Lienhypertexte"/>
          </w:rPr>
          <w:t xml:space="preserve">https://doi.org/10.1016/j.giq.2015.09.004</w:t>
        </w:r>
      </w:hyperlink>
    </w:p>
    <w:bookmarkEnd w:id="118"/>
    <w:bookmarkStart w:id="120" w:name="ref-CI2017"/>
    <w:p>
      <w:pPr>
        <w:pStyle w:val="Bibliographie"/>
      </w:pPr>
      <w:r>
        <w:t xml:space="preserve">47.</w:t>
      </w:r>
      <w:r>
        <w:t xml:space="preserve"> </w:t>
      </w:r>
      <w:r>
        <w:t xml:space="preserve">	</w:t>
      </w:r>
      <w:r>
        <w:t xml:space="preserve">Shahin M, Ali Babar M, Zhu L. Continuous integration, delivery and deployment: A systematic review on approaches, tools, challenges and practices. IEEE Access. 2017;5: 3909–3943. doi:</w:t>
      </w:r>
      <w:hyperlink r:id="rId119">
        <w:r>
          <w:rPr>
            <w:rStyle w:val="Lienhypertexte"/>
          </w:rPr>
          <w:t xml:space="preserve">10.1109/ACCESS.2017.2685629</w:t>
        </w:r>
      </w:hyperlink>
    </w:p>
    <w:bookmarkEnd w:id="120"/>
    <w:bookmarkStart w:id="121" w:name="ref-zhou2016api"/>
    <w:p>
      <w:pPr>
        <w:pStyle w:val="Bibliographie"/>
      </w:pPr>
      <w:r>
        <w:t xml:space="preserve">48.</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1"/>
    <w:bookmarkStart w:id="122" w:name="ref-barros2023empowering"/>
    <w:p>
      <w:pPr>
        <w:pStyle w:val="Bibliographie"/>
      </w:pPr>
      <w:r>
        <w:t xml:space="preserve">49.</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2"/>
    <w:bookmarkStart w:id="124" w:name="ref-10.1214/13-STS452"/>
    <w:p>
      <w:pPr>
        <w:pStyle w:val="Bibliographie"/>
      </w:pPr>
      <w:r>
        <w:t xml:space="preserve">50.</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3">
        <w:r>
          <w:rPr>
            <w:rStyle w:val="Lienhypertexte"/>
          </w:rPr>
          <w:t xml:space="preserve">10.1214/13-STS452</w:t>
        </w:r>
      </w:hyperlink>
    </w:p>
    <w:bookmarkEnd w:id="124"/>
    <w:bookmarkStart w:id="126" w:name="ref-CRAN2022"/>
    <w:p>
      <w:pPr>
        <w:pStyle w:val="Bibliographie"/>
      </w:pPr>
      <w:r>
        <w:t xml:space="preserve">51.</w:t>
      </w:r>
      <w:r>
        <w:t xml:space="preserve"> </w:t>
      </w:r>
      <w:r>
        <w:t xml:space="preserve">	</w:t>
      </w:r>
      <w:r>
        <w:t xml:space="preserve">Statistical Computing RF for. The comprehensive r archive network [Internet]. 2022. Available:</w:t>
      </w:r>
      <w:r>
        <w:t xml:space="preserve"> </w:t>
      </w:r>
      <w:hyperlink r:id="rId125">
        <w:r>
          <w:rPr>
            <w:rStyle w:val="Lienhypertexte"/>
          </w:rPr>
          <w:t xml:space="preserve">https://cran.r-project.org</w:t>
        </w:r>
      </w:hyperlink>
    </w:p>
    <w:bookmarkEnd w:id="126"/>
    <w:bookmarkStart w:id="128" w:name="ref-codecov_2022"/>
    <w:p>
      <w:pPr>
        <w:pStyle w:val="Bibliographie"/>
      </w:pPr>
      <w:r>
        <w:t xml:space="preserve">52.</w:t>
      </w:r>
      <w:r>
        <w:t xml:space="preserve"> </w:t>
      </w:r>
      <w:r>
        <w:t xml:space="preserve">	</w:t>
      </w:r>
      <w:r>
        <w:t xml:space="preserve">Codecov [Internet]. Available:</w:t>
      </w:r>
      <w:r>
        <w:t xml:space="preserve"> </w:t>
      </w:r>
      <w:hyperlink r:id="rId127">
        <w:r>
          <w:rPr>
            <w:rStyle w:val="Lienhypertexte"/>
          </w:rPr>
          <w:t xml:space="preserve">https://about.codecov.io/</w:t>
        </w:r>
      </w:hyperlink>
    </w:p>
    <w:bookmarkEnd w:id="128"/>
    <w:bookmarkStart w:id="130" w:name="ref-hugo_2023"/>
    <w:p>
      <w:pPr>
        <w:pStyle w:val="Bibliographie"/>
      </w:pPr>
      <w:r>
        <w:t xml:space="preserve">53.</w:t>
      </w:r>
      <w:r>
        <w:t xml:space="preserve"> </w:t>
      </w:r>
      <w:r>
        <w:t xml:space="preserve">	</w:t>
      </w:r>
      <w:r>
        <w:t xml:space="preserve">Hugo: The world’s fastest framework for building websites [Internet]. Available:</w:t>
      </w:r>
      <w:r>
        <w:t xml:space="preserve"> </w:t>
      </w:r>
      <w:hyperlink r:id="rId129">
        <w:r>
          <w:rPr>
            <w:rStyle w:val="Lienhypertexte"/>
          </w:rPr>
          <w:t xml:space="preserve">https://gohugo.io</w:t>
        </w:r>
      </w:hyperlink>
    </w:p>
    <w:bookmarkEnd w:id="130"/>
    <w:bookmarkStart w:id="132" w:name="ref-docsy_2023"/>
    <w:p>
      <w:pPr>
        <w:pStyle w:val="Bibliographie"/>
      </w:pPr>
      <w:r>
        <w:t xml:space="preserve">54.</w:t>
      </w:r>
      <w:r>
        <w:t xml:space="preserve"> </w:t>
      </w:r>
      <w:r>
        <w:t xml:space="preserve">	</w:t>
      </w:r>
      <w:r>
        <w:t xml:space="preserve">Docsy [Internet]. Available:</w:t>
      </w:r>
      <w:r>
        <w:t xml:space="preserve"> </w:t>
      </w:r>
      <w:hyperlink r:id="rId131">
        <w:r>
          <w:rPr>
            <w:rStyle w:val="Lienhypertexte"/>
          </w:rPr>
          <w:t xml:space="preserve">https://www.docsy.dev</w:t>
        </w:r>
      </w:hyperlink>
    </w:p>
    <w:bookmarkEnd w:id="132"/>
    <w:bookmarkStart w:id="134" w:name="ref-algoliadocsearch_2023"/>
    <w:p>
      <w:pPr>
        <w:pStyle w:val="Bibliographie"/>
      </w:pPr>
      <w:r>
        <w:t xml:space="preserve">55.</w:t>
      </w:r>
      <w:r>
        <w:t xml:space="preserve"> </w:t>
      </w:r>
      <w:r>
        <w:t xml:space="preserve">	</w:t>
      </w:r>
      <w:r>
        <w:t xml:space="preserve">Docsearch [Internet]. Available:</w:t>
      </w:r>
      <w:r>
        <w:t xml:space="preserve"> </w:t>
      </w:r>
      <w:hyperlink r:id="rId133">
        <w:r>
          <w:rPr>
            <w:rStyle w:val="Lienhypertexte"/>
          </w:rPr>
          <w:t xml:space="preserve">https://docsearch.algolia.com</w:t>
        </w:r>
      </w:hyperlink>
    </w:p>
    <w:bookmarkEnd w:id="134"/>
    <w:bookmarkStart w:id="136" w:name="ref-netlify_2023"/>
    <w:p>
      <w:pPr>
        <w:pStyle w:val="Bibliographie"/>
      </w:pPr>
      <w:r>
        <w:t xml:space="preserve">56.</w:t>
      </w:r>
      <w:r>
        <w:t xml:space="preserve"> </w:t>
      </w:r>
      <w:r>
        <w:t xml:space="preserve">	</w:t>
      </w:r>
      <w:r>
        <w:t xml:space="preserve">Netlify [Internet]. Available:</w:t>
      </w:r>
      <w:r>
        <w:t xml:space="preserve"> </w:t>
      </w:r>
      <w:hyperlink r:id="rId135">
        <w:r>
          <w:rPr>
            <w:rStyle w:val="Lienhypertexte"/>
          </w:rPr>
          <w:t xml:space="preserve">https://www.netlify.com</w:t>
        </w:r>
      </w:hyperlink>
    </w:p>
    <w:bookmarkEnd w:id="136"/>
    <w:bookmarkStart w:id="138" w:name="ref-Hamilton2021.07.07.21260129"/>
    <w:p>
      <w:pPr>
        <w:pStyle w:val="Bibliographie"/>
      </w:pPr>
      <w:r>
        <w:t xml:space="preserve">57.</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7">
        <w:r>
          <w:rPr>
            <w:rStyle w:val="Lienhypertexte"/>
          </w:rPr>
          <w:t xml:space="preserve">10.1101/2021.07.07.21260129</w:t>
        </w:r>
      </w:hyperlink>
    </w:p>
    <w:bookmarkEnd w:id="138"/>
    <w:bookmarkStart w:id="140" w:name="ref-hamilton_matthew_2022_6084467"/>
    <w:p>
      <w:pPr>
        <w:pStyle w:val="Bibliographie"/>
      </w:pPr>
      <w:r>
        <w:t xml:space="preserve">58.</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9">
        <w:r>
          <w:rPr>
            <w:rStyle w:val="Lienhypertexte"/>
          </w:rPr>
          <w:t xml:space="preserve">10.5281/zenodo.6084467</w:t>
        </w:r>
      </w:hyperlink>
    </w:p>
    <w:bookmarkEnd w:id="140"/>
    <w:bookmarkStart w:id="142" w:name="ref-hamilton_matthew_2022_6084824"/>
    <w:p>
      <w:pPr>
        <w:pStyle w:val="Bibliographie"/>
      </w:pPr>
      <w:r>
        <w:t xml:space="preserve">59.</w:t>
      </w:r>
      <w:r>
        <w:t xml:space="preserve"> </w:t>
      </w:r>
      <w:r>
        <w:t xml:space="preserve">	</w:t>
      </w:r>
      <w:r>
        <w:t xml:space="preserve">Hamilton M, Gao C. Scorz: Score questionnaire item responses [Internet]. Zenodo; 2022. doi:</w:t>
      </w:r>
      <w:hyperlink r:id="rId141">
        <w:r>
          <w:rPr>
            <w:rStyle w:val="Lienhypertexte"/>
          </w:rPr>
          <w:t xml:space="preserve">10.5281/zenodo.6084824</w:t>
        </w:r>
      </w:hyperlink>
    </w:p>
    <w:bookmarkEnd w:id="142"/>
    <w:bookmarkStart w:id="144" w:name="ref-hamilton_matthew_2022_6116701"/>
    <w:p>
      <w:pPr>
        <w:pStyle w:val="Bibliographie"/>
      </w:pPr>
      <w:r>
        <w:t xml:space="preserve">60.</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3">
        <w:r>
          <w:rPr>
            <w:rStyle w:val="Lienhypertexte"/>
          </w:rPr>
          <w:t xml:space="preserve">10.5281/zenodo.6116701</w:t>
        </w:r>
      </w:hyperlink>
    </w:p>
    <w:bookmarkEnd w:id="144"/>
    <w:bookmarkStart w:id="146" w:name="ref-gao_caroline_2022_6130155"/>
    <w:p>
      <w:pPr>
        <w:pStyle w:val="Bibliographie"/>
      </w:pPr>
      <w:r>
        <w:t xml:space="preserve">61.</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5">
        <w:r>
          <w:rPr>
            <w:rStyle w:val="Lienhypertexte"/>
          </w:rPr>
          <w:t xml:space="preserve">10.5281/zenodo.6130155</w:t>
        </w:r>
      </w:hyperlink>
    </w:p>
    <w:bookmarkEnd w:id="146"/>
    <w:bookmarkStart w:id="148" w:name="ref-matthew_p_hamilton_2021_5646669"/>
    <w:p>
      <w:pPr>
        <w:pStyle w:val="Bibliographie"/>
      </w:pPr>
      <w:r>
        <w:t xml:space="preserve">62.</w:t>
      </w:r>
      <w:r>
        <w:t xml:space="preserve"> </w:t>
      </w:r>
      <w:r>
        <w:t xml:space="preserve">	</w:t>
      </w:r>
      <w:r>
        <w:t xml:space="preserve">Hamilton MP, Gao CX. Youthu: Transform youth outcomes to health utility predictions [Internet]. Zenodo; 2022. doi:</w:t>
      </w:r>
      <w:hyperlink r:id="rId147">
        <w:r>
          <w:rPr>
            <w:rStyle w:val="Lienhypertexte"/>
          </w:rPr>
          <w:t xml:space="preserve">10.5281/zenodo.6210978</w:t>
        </w:r>
      </w:hyperlink>
    </w:p>
    <w:bookmarkEnd w:id="148"/>
    <w:bookmarkStart w:id="150" w:name="ref-DVN/HJXYKQ_2021"/>
    <w:p>
      <w:pPr>
        <w:pStyle w:val="Bibliographie"/>
      </w:pPr>
      <w:r>
        <w:t xml:space="preserve">63.</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49">
        <w:r>
          <w:rPr>
            <w:rStyle w:val="Lienhypertexte"/>
          </w:rPr>
          <w:t xml:space="preserve">10.7910/DVN/HJXYKQ</w:t>
        </w:r>
      </w:hyperlink>
    </w:p>
    <w:bookmarkEnd w:id="150"/>
    <w:bookmarkStart w:id="152" w:name="ref-DVN/DKDIB0_2021"/>
    <w:p>
      <w:pPr>
        <w:pStyle w:val="Bibliographie"/>
      </w:pPr>
      <w:r>
        <w:t xml:space="preserve">64.</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51">
        <w:r>
          <w:rPr>
            <w:rStyle w:val="Lienhypertexte"/>
          </w:rPr>
          <w:t xml:space="preserve">10.7910/DVN/DKDIB0</w:t>
        </w:r>
      </w:hyperlink>
    </w:p>
    <w:bookmarkEnd w:id="152"/>
    <w:bookmarkStart w:id="154" w:name="ref-hamilton_matthew_2022_6129906"/>
    <w:p>
      <w:pPr>
        <w:pStyle w:val="Bibliographie"/>
      </w:pPr>
      <w:r>
        <w:t xml:space="preserve">65.</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3">
        <w:r>
          <w:rPr>
            <w:rStyle w:val="Lienhypertexte"/>
          </w:rPr>
          <w:t xml:space="preserve">10.5281/zenodo.6212704</w:t>
        </w:r>
      </w:hyperlink>
    </w:p>
    <w:bookmarkEnd w:id="154"/>
    <w:bookmarkStart w:id="156" w:name="ref-hamilton_matthew_2022_6416330"/>
    <w:p>
      <w:pPr>
        <w:pStyle w:val="Bibliographie"/>
      </w:pPr>
      <w:r>
        <w:t xml:space="preserve">66.</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5">
        <w:r>
          <w:rPr>
            <w:rStyle w:val="Lienhypertexte"/>
          </w:rPr>
          <w:t xml:space="preserve">10.5281/zenodo.6416330</w:t>
        </w:r>
      </w:hyperlink>
    </w:p>
    <w:bookmarkEnd w:id="156"/>
    <w:bookmarkStart w:id="158" w:name="ref-hamilton_matthew_p_2022_6321821"/>
    <w:p>
      <w:pPr>
        <w:pStyle w:val="Bibliographie"/>
      </w:pPr>
      <w:r>
        <w:t xml:space="preserve">67.</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7">
        <w:r>
          <w:rPr>
            <w:rStyle w:val="Lienhypertexte"/>
          </w:rPr>
          <w:t xml:space="preserve">10.5281/zenodo.6321821</w:t>
        </w:r>
      </w:hyperlink>
    </w:p>
    <w:bookmarkEnd w:id="158"/>
    <w:bookmarkStart w:id="160" w:name="ref-hamilton_matthew_2022_6116385"/>
    <w:p>
      <w:pPr>
        <w:pStyle w:val="Bibliographie"/>
      </w:pPr>
      <w:r>
        <w:t xml:space="preserve">68.</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9">
        <w:r>
          <w:rPr>
            <w:rStyle w:val="Lienhypertexte"/>
          </w:rPr>
          <w:t xml:space="preserve">10.5281/zenodo.6116385</w:t>
        </w:r>
      </w:hyperlink>
    </w:p>
    <w:bookmarkEnd w:id="160"/>
    <w:bookmarkStart w:id="162" w:name="ref-matthew_p_hamilton_2022_5976988"/>
    <w:p>
      <w:pPr>
        <w:pStyle w:val="Bibliographie"/>
      </w:pPr>
      <w:r>
        <w:t xml:space="preserve">69.</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1">
        <w:r>
          <w:rPr>
            <w:rStyle w:val="Lienhypertexte"/>
          </w:rPr>
          <w:t xml:space="preserve">10.5281/zenodo.5976988</w:t>
        </w:r>
      </w:hyperlink>
    </w:p>
    <w:bookmarkEnd w:id="162"/>
    <w:bookmarkStart w:id="164" w:name="ref-10.3389/fpubh.2022.899874"/>
    <w:p>
      <w:pPr>
        <w:pStyle w:val="Bibliographie"/>
      </w:pPr>
      <w:r>
        <w:t xml:space="preserve">70.</w:t>
      </w:r>
      <w:r>
        <w:t xml:space="preserve"> </w:t>
      </w:r>
      <w:r>
        <w:t xml:space="preserve">	</w:t>
      </w:r>
      <w:r>
        <w:t xml:space="preserve">Kokol P, Blažun Vošner H, Kokol M, Završnik J. Role of agile in digital public health transformation. Frontiers in Public Health. 2022;10. doi:</w:t>
      </w:r>
      <w:hyperlink r:id="rId163">
        <w:r>
          <w:rPr>
            <w:rStyle w:val="Lienhypertexte"/>
          </w:rPr>
          <w:t xml:space="preserve">10.3389/fpubh.2022.899874</w:t>
        </w:r>
      </w:hyperlink>
    </w:p>
    <w:bookmarkEnd w:id="164"/>
    <w:bookmarkStart w:id="165" w:name="ref-anzt2020environment"/>
    <w:p>
      <w:pPr>
        <w:pStyle w:val="Bibliographie"/>
      </w:pPr>
      <w:r>
        <w:t xml:space="preserve">71.</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5"/>
    <w:bookmarkStart w:id="166" w:name="ref-chalmers2014increase"/>
    <w:p>
      <w:pPr>
        <w:pStyle w:val="Bibliographie"/>
      </w:pPr>
      <w:r>
        <w:t xml:space="preserve">72.</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6"/>
    <w:bookmarkStart w:id="167" w:name="ref-craig2018taking"/>
    <w:p>
      <w:pPr>
        <w:pStyle w:val="Bibliographie"/>
      </w:pPr>
      <w:r>
        <w:t xml:space="preserve">73.</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7"/>
    <w:bookmarkStart w:id="169" w:name="ref-Sampson2019"/>
    <w:p>
      <w:pPr>
        <w:pStyle w:val="Bibliographie"/>
      </w:pPr>
      <w:r>
        <w:t xml:space="preserve">74.</w:t>
      </w:r>
      <w:r>
        <w:t xml:space="preserve"> </w:t>
      </w:r>
      <w:r>
        <w:t xml:space="preserve">	</w:t>
      </w:r>
      <w:r>
        <w:t xml:space="preserve">Sampson CJ, Arnold R, Bryan S, Clarke P, Ekins S, Hatswell A, et al. Transparency in decision modelling: What, why, who and how? PharmacoEconomics. 2019;37: 1355–1369. doi:</w:t>
      </w:r>
      <w:hyperlink r:id="rId168">
        <w:r>
          <w:rPr>
            <w:rStyle w:val="Lienhypertexte"/>
          </w:rPr>
          <w:t xml:space="preserve">10.1007/s40273-019-00819-z</w:t>
        </w:r>
      </w:hyperlink>
    </w:p>
    <w:bookmarkEnd w:id="169"/>
    <w:bookmarkStart w:id="170" w:name="ref-seibel2009joe"/>
    <w:p>
      <w:pPr>
        <w:pStyle w:val="Bibliographie"/>
      </w:pPr>
      <w:r>
        <w:t xml:space="preserve">75.</w:t>
      </w:r>
      <w:r>
        <w:t xml:space="preserve"> </w:t>
      </w:r>
      <w:r>
        <w:t xml:space="preserve">	</w:t>
      </w:r>
      <w:r>
        <w:t xml:space="preserve">Seibel P. Joe armstrong. Coders at work: Reflections on the craft of programming. Springer; 2009. pp. 205–239.</w:t>
      </w:r>
      <w:r>
        <w:t xml:space="preserve"> </w:t>
      </w:r>
    </w:p>
    <w:bookmarkEnd w:id="170"/>
    <w:bookmarkStart w:id="171" w:name="ref-beck2001manifesto"/>
    <w:p>
      <w:pPr>
        <w:pStyle w:val="Bibliographie"/>
      </w:pPr>
      <w:r>
        <w:t xml:space="preserve">76.</w:t>
      </w:r>
      <w:r>
        <w:t xml:space="preserve"> </w:t>
      </w:r>
      <w:r>
        <w:t xml:space="preserve">	</w:t>
      </w:r>
      <w:r>
        <w:t xml:space="preserve">Beck K, Beedle M, Van Bennekum A, Cockburn A, Cunningham W, Fowler M, et al. Manifesto for agile software development. Snowbird, UT; 2001;</w:t>
      </w:r>
      <w:r>
        <w:t xml:space="preserve"> </w:t>
      </w:r>
    </w:p>
    <w:bookmarkEnd w:id="171"/>
    <w:bookmarkEnd w:id="172"/>
    <w:p>
      <w:r>
        <w:br w:type="page"/>
      </w:r>
    </w:p>
    <w:bookmarkStart w:id="173"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c262a85c-a8af-4987-bc53-5c04fc11bd73" w:name="proscons"/>
      <w:r>
        <w:rPr>
          <w:rFonts/>
          <w:b w:val="true"/>
        </w:rPr>
        <w:fldChar w:fldCharType="begin" w:dirty="true"/>
      </w:r>
      <w:r>
        <w:rPr>
          <w:rFonts/>
          <w:b w:val="true"/>
        </w:rPr>
        <w:instrText xml:space="preserve" w:dirty="true">SEQ tab \* Arabic</w:instrText>
      </w:r>
      <w:r>
        <w:rPr>
          <w:rFonts/>
          <w:b w:val="true"/>
        </w:rPr>
        <w:fldChar w:fldCharType="end" w:dirty="true"/>
      </w:r>
      <w:bookmarkEnd w:id="c262a85c-a8af-4987-bc53-5c04fc11bd73"/>
      <w:r>
        <w:rPr>
          <w:rFonts/>
          <w:b w:val="true"/>
        </w:rPr>
        <w:t xml:space="preserve">:  </w:t>
      </w:r>
      <w:r>
        <w:t xml:space="preserve">Considerations when choosing between implementing computational models using commercial software or as softwre projects using a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ea7f83ff-a4f4-46a5-9113-f0a76452321e" w:name="timelygls"/>
      <w:r>
        <w:rPr>
          <w:rFonts/>
          <w:b w:val="true"/>
        </w:rPr>
        <w:fldChar w:fldCharType="begin" w:dirty="true"/>
      </w:r>
      <w:r>
        <w:rPr>
          <w:rFonts/>
          <w:b w:val="true"/>
        </w:rPr>
        <w:instrText xml:space="preserve" w:dirty="true">SEQ tab \* Arabic</w:instrText>
      </w:r>
      <w:r>
        <w:rPr>
          <w:rFonts/>
          <w:b w:val="true"/>
        </w:rPr>
        <w:fldChar w:fldCharType="end" w:dirty="true"/>
      </w:r>
      <w:bookmarkEnd w:id="ea7f83ff-a4f4-46a5-9113-f0a76452321e"/>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bookmarkEnd w:id="173"/>
    <w:bookmarkEnd w:id="17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62" Type="http://schemas.openxmlformats.org/officeDocument/2006/relationships/hyperlink" Target="https://doi.org/10.1007/s40273-019-00796-3" TargetMode="External"/>
<Relationship Id="rId168"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60"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8"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4" Type="http://schemas.openxmlformats.org/officeDocument/2006/relationships/hyperlink" Target="https://doi.org/10.1371/journal.pcbi.100551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4"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51" Type="http://schemas.openxmlformats.org/officeDocument/2006/relationships/hyperlink" Target="https://doi.org/10.7910/DVN/DKDIB0" TargetMode="External"/>
<Relationship Id="rId149"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106"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_rels/footnotes.xml.rels><?xml version="1.0" encoding="UTF-8" standalone="yes"?>

<Relationships  xmlns="http://schemas.openxmlformats.org/package/2006/relationships">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62" Type="http://schemas.openxmlformats.org/officeDocument/2006/relationships/hyperlink" Target="https://doi.org/10.1007/s40273-019-00796-3" TargetMode="External"/>
<Relationship Id="rId168"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60"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8"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4" Type="http://schemas.openxmlformats.org/officeDocument/2006/relationships/hyperlink" Target="https://doi.org/10.1371/journal.pcbi.100551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4"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51" Type="http://schemas.openxmlformats.org/officeDocument/2006/relationships/hyperlink" Target="https://doi.org/10.7910/DVN/DKDIB0" TargetMode="External"/>
<Relationship Id="rId149"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106"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2023-08-16T11:19:15Z</dcterms:created>
  <dcterms:modified xsi:type="dcterms:W3CDTF">2023-08-16T21:19:16Z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tools that are now essential to the work of health economists. However, the ethical dimensions of how health economic models are implemented computationally are poorly understood. Explicit ethical standards for computational health economic models (CHEMs) and the technical infrastructure to facilitate implementations of that meet those standards are required. We propose six criteria for assessing ethical implementation of CHEMs – two each for the three domains of transparency, reusability and updatability. To facilitate the implementation of CHEMs that meet these criteria, we developed a novel prototype software framework in the open source programming language R. The framework comprises six code libraries that collectively provide a toolkit for authoring CHEMs, supplying them with data and using them to undertake generalisable and transferable analyses. The framework supports integrations with existing digital services for collaborative software development and data archiving. We are currently applying the software framework to develop and apply utility mapping models in youth mental health. We assess the first set of utility mapping CHEMs that we have developed with the framework as wholly meeting both transparency criteria (open access code and data and clarity about author contributions and beliefs), one reusability criteria (liberal terms of use) and one updatability criteria (infrastructure for model maintenance) and partially meeting the two remaining criteria for transparency (supports generalisability and transferability) and updatability (retesting and deprecation). The assessment criteria and the software framework we have developed can inform future work to understand and improve ethical computational implementations of health economic models.Code: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