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5D8" w:rsidRDefault="00FC2679">
      <w:pPr>
        <w:pStyle w:val="Title"/>
      </w:pPr>
      <w:r>
        <w:t>A prototype software framework for transparent, reusable and updatable computational health economic models</w:t>
      </w:r>
    </w:p>
    <w:p w:rsidR="00E875D8" w:rsidRDefault="00FC2679">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Alexandra Parker</w:t>
      </w:r>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rsidR="00E875D8" w:rsidRDefault="00FC2679">
      <w:pPr>
        <w:pStyle w:val="Abstract"/>
      </w:pPr>
      <w:r>
        <w:rPr>
          <w:b/>
          <w:bCs/>
        </w:rPr>
        <w:t xml:space="preserve">Summary: </w:t>
      </w:r>
      <w:r>
        <w:t xml:space="preserve"> Most health economic analyses are undertaken with the aid of computers. However, the ethical dimensions of implementing health economic models as software </w:t>
      </w:r>
      <w:r w:rsidR="00165997">
        <w:t xml:space="preserve">(or </w:t>
      </w:r>
      <w:r w:rsidR="00165997">
        <w:t>computational health economic models (CHEMs)</w:t>
      </w:r>
      <w:r w:rsidR="00165997">
        <w:t xml:space="preserve">) </w:t>
      </w:r>
      <w:r>
        <w:t>are poorly understood. We propose that developers and funders of CHEMs share ethical responsibilities to (</w:t>
      </w:r>
      <w:proofErr w:type="spellStart"/>
      <w:r>
        <w:t>i</w:t>
      </w:r>
      <w:proofErr w:type="spellEnd"/>
      <w:r>
        <w:t xml:space="preserve">) establish socially acceptable </w:t>
      </w:r>
      <w:r w:rsidR="00C81742">
        <w:t xml:space="preserve">user </w:t>
      </w:r>
      <w:r>
        <w:t xml:space="preserve">requirements and design specifications; (ii) ensure fit for purpose implementation; and (iii) support socially beneficial use. We further propose that a transparent (T), reusable (R) and updatable (U) CHEM is suggestive of a project team that has largely fulfilled these responsibilities. We propose six criteria for assessing CHEMs: (T1) software files are open access; (T2) project team judgments and contributions are easily identified; (R1) programming practices promote </w:t>
      </w:r>
      <w:proofErr w:type="spellStart"/>
      <w:r>
        <w:t>generalisability</w:t>
      </w:r>
      <w:proofErr w:type="spellEnd"/>
      <w:r>
        <w:t xml:space="preserve"> and transferability; (R2) </w:t>
      </w:r>
      <w:r w:rsidR="00C81742">
        <w:t>licenses</w:t>
      </w:r>
      <w:r>
        <w:t xml:space="preserve"> restrict only unethical </w:t>
      </w:r>
      <w:r w:rsidR="00C81742">
        <w:t>reuse</w:t>
      </w:r>
      <w:r>
        <w:t>; (U1) maintenance infrastructure is in place; and (U2) new releases are systematically retested and appropriately deprecated. To facilitate CHEMs that meet TRU criteria, we have developed a prototype software framework in the</w:t>
      </w:r>
      <w:r w:rsidR="005A19F6">
        <w:t xml:space="preserve"> open-source</w:t>
      </w:r>
      <w:r>
        <w:t xml:space="preserve"> programming language R. The framework comprises six code libraries for authoring CHEMs, supplying CHEMs with data and undertak</w:t>
      </w:r>
      <w:r w:rsidR="005A19F6">
        <w:t>ing</w:t>
      </w:r>
      <w:r>
        <w:t xml:space="preserve"> analyses</w:t>
      </w:r>
      <w:r w:rsidR="005A19F6">
        <w:t xml:space="preserve"> with</w:t>
      </w:r>
      <w:r w:rsidR="005A19F6">
        <w:t xml:space="preserve"> CHEMs</w:t>
      </w:r>
      <w:r>
        <w:t xml:space="preserve">. The </w:t>
      </w:r>
      <w:r w:rsidR="005A19F6">
        <w:t xml:space="preserve">prototype software </w:t>
      </w:r>
      <w:r>
        <w:t xml:space="preserve">framework integrates with services for software development and research data archiving. We determine that an initial set of youth mental health CHEMs we developed with the </w:t>
      </w:r>
      <w:r>
        <w:t xml:space="preserve">prototype software </w:t>
      </w:r>
      <w:r>
        <w:t xml:space="preserve">framework wholly meet criteria T1-2, R1-2 and U1 and partially meet criterion U2. Our assessment criteria and </w:t>
      </w:r>
      <w:r>
        <w:t xml:space="preserve">prototype </w:t>
      </w:r>
      <w:r>
        <w:t xml:space="preserve">software framework can help inform and improve ethical implementation of </w:t>
      </w:r>
      <w:r>
        <w:t>CHEMs</w:t>
      </w:r>
      <w:r>
        <w:t>.</w:t>
      </w:r>
      <w:r w:rsidR="00165997">
        <w:t xml:space="preserve"> </w:t>
      </w:r>
      <w:r w:rsidR="005A19F6">
        <w:t>R</w:t>
      </w:r>
      <w:r w:rsidR="00165997">
        <w:t>esource constraints on ethical CHEM practice should be addressed by research funders.</w:t>
      </w:r>
    </w:p>
    <w:p w:rsidR="00E875D8" w:rsidRDefault="00FC2679">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prototype software framework.</w:t>
      </w:r>
    </w:p>
    <w:p w:rsidR="00E875D8" w:rsidRDefault="00FC2679">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E875D8" w:rsidRDefault="00FC2679">
      <w:pPr>
        <w:pStyle w:val="BodyText"/>
      </w:pPr>
      <w:r>
        <w:rPr>
          <w:vertAlign w:val="superscript"/>
        </w:rPr>
        <w:t>✉</w:t>
      </w:r>
      <w:r>
        <w:t xml:space="preserve"> Correspondence: </w:t>
      </w:r>
      <w:hyperlink r:id="rId8">
        <w:r>
          <w:rPr>
            <w:rStyle w:val="Hyperlink"/>
          </w:rPr>
          <w:t>Matthew P Hamilton &lt;</w:t>
        </w:r>
        <w:hyperlink r:id="rId9">
          <w:r>
            <w:rPr>
              <w:rStyle w:val="Hyperlink"/>
            </w:rPr>
            <w:t>matthew.hamilton1@monash.edu</w:t>
          </w:r>
        </w:hyperlink>
        <w:r>
          <w:rPr>
            <w:rStyle w:val="Hyperlink"/>
          </w:rPr>
          <w:t>&gt;</w:t>
        </w:r>
      </w:hyperlink>
    </w:p>
    <w:p w:rsidR="00E875D8" w:rsidRDefault="00FC2679">
      <w:pPr>
        <w:pStyle w:val="Heading1"/>
      </w:pPr>
      <w:bookmarkStart w:id="0" w:name="introduction"/>
      <w:r>
        <w:t>Introduction</w:t>
      </w:r>
    </w:p>
    <w:p w:rsidR="00E875D8" w:rsidRDefault="00FC2679">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w:t>
      </w:r>
      <w:r>
        <w:lastRenderedPageBreak/>
        <w:t xml:space="preserve">believed to influence human health. A health economic model should be capable of being 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the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   </w:t>
      </w:r>
    </w:p>
    <w:p w:rsidR="00E875D8" w:rsidRDefault="00FC2679">
      <w:pPr>
        <w:pStyle w:val="BodyText"/>
      </w:pPr>
      <w:r>
        <w:t xml:space="preserve">The set of software files implementing a health economic model’s structure, data and algorithms can be called a computational health economic model (CHEM). CHEMs can be developed using commercial modelling software or open-source programming languages such as Python [2] or R [3]. An advantage of commercial modelling software is that users often require no or limited programming skills to develop and apply CHEMs. However, open-source software programming languages may facilitate the development of CHEMs that are more transparent, reusable and updatable [4,5]. The decision about what type of software development platform to use must balance ethical considerations and resource constraints (see Table </w:t>
      </w:r>
      <w:hyperlink w:anchor="proscons">
        <w:r>
          <w:fldChar w:fldCharType="begin"/>
        </w:r>
        <w:r>
          <w:instrText xml:space="preserve"> REF proscons \h</w:instrText>
        </w:r>
        <w:r w:rsidR="00271F31">
          <w:fldChar w:fldCharType="separate"/>
        </w:r>
        <w:r w:rsidR="00271F31">
          <w:rPr>
            <w:b/>
            <w:noProof/>
          </w:rPr>
          <w:t>1</w:t>
        </w:r>
        <w:r>
          <w:fldChar w:fldCharType="end"/>
        </w:r>
      </w:hyperlink>
      <w:r>
        <w:t>).</w:t>
      </w:r>
    </w:p>
    <w:p w:rsidR="00E875D8" w:rsidRDefault="00FC2679">
      <w:pPr>
        <w:pStyle w:val="BodyText"/>
      </w:pPr>
      <w:r>
        <w:t xml:space="preserve">Open-source CHEMs remain rare [6,7]. The software used to develop CHEMs was identified as a barrier to open-source model implementations by participants in a 2020 survey of health economists [5]. Other reported barriers relate to difficulties in </w:t>
      </w:r>
      <w:proofErr w:type="spellStart"/>
      <w:r>
        <w:t>generalising</w:t>
      </w:r>
      <w:proofErr w:type="spellEnd"/>
      <w:r>
        <w:t xml:space="preserve"> models, updating models and transferring model data, concerns about the level of public access and lack of interest from decision-makers, and legal, confidentiality and security considerations [5].    </w:t>
      </w:r>
    </w:p>
    <w:p w:rsidR="00E875D8" w:rsidRDefault="00FC2679">
      <w:pPr>
        <w:pStyle w:val="BodyText"/>
      </w:pPr>
      <w:r>
        <w:t xml:space="preserve">Better software frameworks could potentially help address some of the barriers to open-source CHEM development. A software framework is a shared common technology used by developers to collaboratively author software and which is not typically visible to software end-users [8].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 [9]. Software frameworks have widely been developed and implemented in data science, for example, </w:t>
      </w:r>
      <w:proofErr w:type="spellStart"/>
      <w:r>
        <w:t>PyTorch</w:t>
      </w:r>
      <w:proofErr w:type="spellEnd"/>
      <w:r>
        <w:t xml:space="preserve"> [10] for machine learning using Python.</w:t>
      </w:r>
    </w:p>
    <w:p w:rsidR="00E875D8" w:rsidRDefault="00FC2679">
      <w:pPr>
        <w:pStyle w:val="BodyText"/>
      </w:pPr>
      <w:r>
        <w:t xml:space="preserve">A high-level software framework for implementing open-source CHEMs in R has previously been developed with the primary aim of improving model transparency [11]. However, to gain widespread adoption, a software framework for CHEMs may need to provide tools to help model developers meet a broader range of ethical practice requirements. There are multiple challenges to overcome. Firstly, the ethical responsibilities of public health computational </w:t>
      </w:r>
      <w:proofErr w:type="spellStart"/>
      <w:r>
        <w:t>modellers</w:t>
      </w:r>
      <w:proofErr w:type="spellEnd"/>
      <w:r>
        <w:t xml:space="preserve"> remain poorly understood [12] and the computational modelling landscape is changing fast [13]. Secondly, software frameworks can be challenging and time consuming to create and may become excessively complex over time [9]. Thirdly, software </w:t>
      </w:r>
      <w:r>
        <w:lastRenderedPageBreak/>
        <w:t>frameworks can be difficult to learn, often requiring model developers to undergo specialist training [8].</w:t>
      </w:r>
    </w:p>
    <w:p w:rsidR="00E875D8" w:rsidRDefault="00FC2679">
      <w:pPr>
        <w:pStyle w:val="BodyText"/>
      </w:pPr>
      <w:r>
        <w:t>In this paper, we:</w:t>
      </w:r>
    </w:p>
    <w:p w:rsidR="00E875D8" w:rsidRDefault="00FC2679">
      <w:pPr>
        <w:numPr>
          <w:ilvl w:val="0"/>
          <w:numId w:val="27"/>
        </w:numPr>
      </w:pPr>
      <w:r>
        <w:t xml:space="preserve">propose a set of ethical responsibilities for CHEM </w:t>
      </w:r>
      <w:r w:rsidR="00F217A0">
        <w:t>project teams</w:t>
      </w:r>
      <w:r>
        <w:t xml:space="preserve"> and criteria for assessing ethical CHEM implementations;</w:t>
      </w:r>
    </w:p>
    <w:p w:rsidR="00E875D8" w:rsidRDefault="00FC2679">
      <w:pPr>
        <w:numPr>
          <w:ilvl w:val="0"/>
          <w:numId w:val="27"/>
        </w:numPr>
      </w:pPr>
      <w:r>
        <w:t>describe a prototype software framework we have developed to support the ethical implementation of CHEMs; and</w:t>
      </w:r>
    </w:p>
    <w:p w:rsidR="00E875D8" w:rsidRDefault="00FC2679">
      <w:pPr>
        <w:numPr>
          <w:ilvl w:val="0"/>
          <w:numId w:val="27"/>
        </w:numPr>
      </w:pPr>
      <w:r>
        <w:t>assess an initial set of youth mental health CHEMs developed with our software framework against our proposed ethical CHEM implementation criteria.</w:t>
      </w:r>
    </w:p>
    <w:p w:rsidR="00E875D8" w:rsidRDefault="00FC2679">
      <w:pPr>
        <w:pStyle w:val="Heading1"/>
      </w:pPr>
      <w:bookmarkStart w:id="1" w:name="Xc23e7cc8853e6c45bccbde37d85d525897d0aee"/>
      <w:bookmarkEnd w:id="0"/>
      <w:r>
        <w:t xml:space="preserve">Ethical </w:t>
      </w:r>
      <w:r w:rsidR="00F82321">
        <w:t>issues</w:t>
      </w:r>
    </w:p>
    <w:p w:rsidR="00E875D8" w:rsidRDefault="00FC2679">
      <w:pPr>
        <w:pStyle w:val="FirstParagraph"/>
      </w:pPr>
      <w:r>
        <w:t xml:space="preserve">We considered literature on modelling practice and </w:t>
      </w:r>
      <w:r w:rsidR="00F82321">
        <w:t xml:space="preserve">reflected on </w:t>
      </w:r>
      <w:r>
        <w:t xml:space="preserve">our </w:t>
      </w:r>
      <w:r w:rsidR="00F82321">
        <w:t>prior</w:t>
      </w:r>
      <w:r w:rsidR="00F82321">
        <w:t xml:space="preserve"> </w:t>
      </w:r>
      <w:r>
        <w:t>experience with developing and using CHEMs to identify: (</w:t>
      </w:r>
      <w:proofErr w:type="spellStart"/>
      <w:r>
        <w:t>i</w:t>
      </w:r>
      <w:proofErr w:type="spellEnd"/>
      <w:r>
        <w:t>) some core ethical responsibilities of CHEM project teams; (ii) attributes of CHEMs that can suggest fulfillment of these responsibilities; and (iii) criteria against which these attributes can be assessed.</w:t>
      </w:r>
    </w:p>
    <w:p w:rsidR="00E875D8" w:rsidRDefault="00FC2679">
      <w:pPr>
        <w:pStyle w:val="Heading2"/>
      </w:pPr>
      <w:bookmarkStart w:id="2" w:name="Xc4c074d03d475829ea2b5cdcda0307cb2eb0618"/>
      <w:r>
        <w:t>Ethical responsibilities of CHEM project teams</w:t>
      </w:r>
    </w:p>
    <w:p w:rsidR="00E875D8" w:rsidRDefault="00FC2679">
      <w:pPr>
        <w:pStyle w:val="FirstParagraph"/>
      </w:pPr>
      <w:r>
        <w:t xml:space="preserve">Boden and McKendrick [12] propose a framework for ethical public health modelling based on the criteria of independence (concerning how </w:t>
      </w:r>
      <w:proofErr w:type="spellStart"/>
      <w:r>
        <w:t>modeller</w:t>
      </w:r>
      <w:proofErr w:type="spellEnd"/>
      <w:r>
        <w:t xml:space="preserve"> subjectivity shapes model design), beneficence / non-maleficence (concerning model quality and utility), transparency (concerning the need for policymakers to reliably evaluate model strengths and weaknesses) and justice (concerning the social obligations of </w:t>
      </w:r>
      <w:proofErr w:type="spellStart"/>
      <w:r>
        <w:t>modellers</w:t>
      </w:r>
      <w:proofErr w:type="spellEnd"/>
      <w:r>
        <w:t xml:space="preserve"> to consider and communicate ethical issues about model use). However, these criteria are not specific to the computational model, but are designed to apply to a modelling project as a whole, including a model’s conceptual and mathematical representations. The authors propose 13 questions to evaluate ethical risk across the four criteria, but of these, only “is the model code open source or available on request” (for transparency) and “has the model been verified, i.e., does it do what the </w:t>
      </w:r>
      <w:proofErr w:type="spellStart"/>
      <w:r>
        <w:t>modeller</w:t>
      </w:r>
      <w:proofErr w:type="spellEnd"/>
      <w:r>
        <w:t xml:space="preserve"> wants it to do?” (for beneficence / non-maleficence) are specific to model’s representation as software.</w:t>
      </w:r>
    </w:p>
    <w:p w:rsidR="00E875D8" w:rsidRDefault="00FC2679">
      <w:pPr>
        <w:pStyle w:val="BodyText"/>
      </w:pPr>
      <w:r>
        <w:t xml:space="preserve">To identify ethical </w:t>
      </w:r>
      <w:r w:rsidR="00106243">
        <w:t>issues</w:t>
      </w:r>
      <w:r w:rsidR="00106243">
        <w:t xml:space="preserve"> </w:t>
      </w:r>
      <w:r>
        <w:t>that are specific to CHEM</w:t>
      </w:r>
      <w:r w:rsidR="00106243">
        <w:t>s</w:t>
      </w:r>
      <w:r>
        <w:t xml:space="preserve">, we first considered the distinct phases in a software development project. Software development lifecycle (SDLC) models take different approaches to the inclusion, naming, definition, sequencing and iteration of project phases [14]. However, SDLC models typically have components that can principally map to the concepts of </w:t>
      </w:r>
      <w:r>
        <w:rPr>
          <w:i/>
          <w:iCs/>
        </w:rPr>
        <w:t>planning</w:t>
      </w:r>
      <w:r>
        <w:t xml:space="preserve"> (e.g., identification of system / user requirements and design specifications), </w:t>
      </w:r>
      <w:r>
        <w:rPr>
          <w:i/>
          <w:iCs/>
        </w:rPr>
        <w:t>implementation</w:t>
      </w:r>
      <w:r>
        <w:t xml:space="preserve"> (e.g., development and testing) and </w:t>
      </w:r>
      <w:r>
        <w:rPr>
          <w:i/>
          <w:iCs/>
        </w:rPr>
        <w:t>release</w:t>
      </w:r>
      <w:r>
        <w:t xml:space="preserve"> (e.g., deployment, system integration, maintenance and support). For simplicity, we propose one overarching ethical responsibility for CHEM </w:t>
      </w:r>
      <w:r w:rsidR="006609C0">
        <w:t>project teams</w:t>
      </w:r>
      <w:r>
        <w:t xml:space="preserve"> for each phase. These responsibilities are to:</w:t>
      </w:r>
    </w:p>
    <w:p w:rsidR="00E875D8" w:rsidRDefault="00FC2679">
      <w:pPr>
        <w:numPr>
          <w:ilvl w:val="0"/>
          <w:numId w:val="28"/>
        </w:numPr>
      </w:pPr>
      <w:r>
        <w:rPr>
          <w:b/>
          <w:bCs/>
        </w:rPr>
        <w:lastRenderedPageBreak/>
        <w:t xml:space="preserve">establish socially acceptable </w:t>
      </w:r>
      <w:r w:rsidR="006609C0">
        <w:rPr>
          <w:b/>
          <w:bCs/>
        </w:rPr>
        <w:t>user</w:t>
      </w:r>
      <w:r w:rsidR="006609C0">
        <w:rPr>
          <w:b/>
          <w:bCs/>
        </w:rPr>
        <w:t xml:space="preserve"> </w:t>
      </w:r>
      <w:r>
        <w:rPr>
          <w:b/>
          <w:bCs/>
        </w:rPr>
        <w:t>requirements and design specifications</w:t>
      </w:r>
      <w:r>
        <w:t xml:space="preserve"> (during CHEM planning);</w:t>
      </w:r>
    </w:p>
    <w:p w:rsidR="00E875D8" w:rsidRDefault="00FC2679">
      <w:pPr>
        <w:numPr>
          <w:ilvl w:val="0"/>
          <w:numId w:val="28"/>
        </w:numPr>
      </w:pPr>
      <w:r>
        <w:rPr>
          <w:b/>
          <w:bCs/>
        </w:rPr>
        <w:t>ensure fit for purpose implementation</w:t>
      </w:r>
      <w:r>
        <w:t xml:space="preserve"> (during CHEM implementation); and</w:t>
      </w:r>
    </w:p>
    <w:p w:rsidR="00E875D8" w:rsidRDefault="00FC2679">
      <w:pPr>
        <w:numPr>
          <w:ilvl w:val="0"/>
          <w:numId w:val="28"/>
        </w:numPr>
      </w:pPr>
      <w:r>
        <w:rPr>
          <w:b/>
          <w:bCs/>
        </w:rPr>
        <w:t>support socially beneficial use</w:t>
      </w:r>
      <w:r>
        <w:t xml:space="preserve"> (on CHEM release).</w:t>
      </w:r>
    </w:p>
    <w:p w:rsidR="00E875D8" w:rsidRDefault="00FC2679">
      <w:pPr>
        <w:pStyle w:val="FirstParagraph"/>
      </w:pPr>
      <w:r>
        <w:t xml:space="preserve">Transparency underpins all three responsibilities (Table </w:t>
      </w:r>
      <w:hyperlink w:anchor="timelygls">
        <w:r>
          <w:fldChar w:fldCharType="begin"/>
        </w:r>
        <w:r>
          <w:instrText xml:space="preserve"> REF timelygls \h</w:instrText>
        </w:r>
        <w:r w:rsidR="00271F31">
          <w:fldChar w:fldCharType="separate"/>
        </w:r>
        <w:r w:rsidR="00271F31">
          <w:rPr>
            <w:b/>
            <w:noProof/>
          </w:rPr>
          <w:t>2</w:t>
        </w:r>
        <w:r>
          <w:fldChar w:fldCharType="end"/>
        </w:r>
      </w:hyperlink>
      <w:r>
        <w:t xml:space="preserve">. </w:t>
      </w:r>
      <w:r w:rsidR="00267858">
        <w:t xml:space="preserve">Boden and McKendrick’s </w:t>
      </w:r>
      <w:r w:rsidR="00267858">
        <w:t xml:space="preserve">other </w:t>
      </w:r>
      <w:r w:rsidR="00267858">
        <w:t>ethical criteria</w:t>
      </w:r>
      <w:r w:rsidR="00267858">
        <w:t xml:space="preserve"> more selectively map to each responsibility:</w:t>
      </w:r>
      <w:r w:rsidR="00267858">
        <w:t xml:space="preserve"> </w:t>
      </w:r>
      <w:r w:rsidR="00267858">
        <w:t>the</w:t>
      </w:r>
      <w:r>
        <w:t xml:space="preserve"> planning responsibility incorporates justice and independence</w:t>
      </w:r>
      <w:r w:rsidR="00267858">
        <w:t>;</w:t>
      </w:r>
      <w:r>
        <w:t xml:space="preserve"> the implementation responsibility incorporates independence</w:t>
      </w:r>
      <w:r w:rsidR="00267858">
        <w:t>;</w:t>
      </w:r>
      <w:r>
        <w:t xml:space="preserve"> and the release responsibility incorporates beneficence / non-maleficence and justice. All three ethical responsibilities have implications for both professional practice and project resourcing and should therefore apply to model developers and funders jointly.</w:t>
      </w:r>
      <w:r w:rsidR="006969DA">
        <w:t xml:space="preserve"> </w:t>
      </w:r>
      <w:r w:rsidR="00147724">
        <w:t>Model developers need to be supported with resources sufficient to fulfilling each responsibility.</w:t>
      </w:r>
    </w:p>
    <w:p w:rsidR="00E875D8" w:rsidRDefault="00FC2679">
      <w:pPr>
        <w:pStyle w:val="BodyText"/>
      </w:pPr>
      <w:r>
        <w:t xml:space="preserve">Misalignment between the values of computational model developers and those of the population groups affected by decisions based on their models presents significant ethical risks [15,16]. The value judgments of health economic </w:t>
      </w:r>
      <w:proofErr w:type="spellStart"/>
      <w:r>
        <w:t>modellers</w:t>
      </w:r>
      <w:proofErr w:type="spellEnd"/>
      <w:r>
        <w:t xml:space="preserve"> are rarely adequately specified, omissions that may lead to socially unacceptable policy recommendations [16]. These value judgments influence the assumptions, selection of model features and standards for evidence that shape health economic model projects [17]. For example, as illustrated in Table </w:t>
      </w:r>
      <w:hyperlink w:anchor="proscons">
        <w:r>
          <w:fldChar w:fldCharType="begin"/>
        </w:r>
        <w:r>
          <w:instrText xml:space="preserve"> REF proscons \h</w:instrText>
        </w:r>
        <w:r w:rsidR="00271F31">
          <w:fldChar w:fldCharType="separate"/>
        </w:r>
        <w:r w:rsidR="00271F31">
          <w:rPr>
            <w:b/>
            <w:noProof/>
          </w:rPr>
          <w:t>1</w:t>
        </w:r>
        <w:r>
          <w:fldChar w:fldCharType="end"/>
        </w:r>
      </w:hyperlink>
      <w:r>
        <w:t xml:space="preserve">, project resource constraints may </w:t>
      </w:r>
      <w:r w:rsidR="00DB0AAB">
        <w:t>limit the extent to which</w:t>
      </w:r>
      <w:r w:rsidR="00DB0AAB">
        <w:t xml:space="preserve"> </w:t>
      </w:r>
      <w:r w:rsidR="00DB0AAB">
        <w:t>ethically</w:t>
      </w:r>
      <w:r>
        <w:t xml:space="preserve"> </w:t>
      </w:r>
      <w:proofErr w:type="spellStart"/>
      <w:r>
        <w:t>desire</w:t>
      </w:r>
      <w:r w:rsidR="00DB0AAB">
        <w:t>able</w:t>
      </w:r>
      <w:proofErr w:type="spellEnd"/>
      <w:r>
        <w:t xml:space="preserve"> </w:t>
      </w:r>
      <w:r w:rsidR="00147724">
        <w:rPr>
          <w:b/>
          <w:bCs/>
        </w:rPr>
        <w:t>user</w:t>
      </w:r>
      <w:r w:rsidR="00147724">
        <w:rPr>
          <w:b/>
          <w:bCs/>
        </w:rPr>
        <w:t xml:space="preserve"> </w:t>
      </w:r>
      <w:r>
        <w:rPr>
          <w:b/>
          <w:bCs/>
        </w:rPr>
        <w:t>requirements and design</w:t>
      </w:r>
      <w:r>
        <w:t xml:space="preserve"> features</w:t>
      </w:r>
      <w:r w:rsidR="00DB0AAB">
        <w:t xml:space="preserve"> can be incorporated in a CHEM</w:t>
      </w:r>
      <w:r>
        <w:t xml:space="preserve">. These trade-offs in turn determine how straightforward it is for </w:t>
      </w:r>
      <w:r w:rsidR="00800E4F">
        <w:t xml:space="preserve">a </w:t>
      </w:r>
      <w:r>
        <w:t xml:space="preserve">CHEM to be amended to reflect alternative </w:t>
      </w:r>
      <w:proofErr w:type="spellStart"/>
      <w:r>
        <w:t>valuejudgments</w:t>
      </w:r>
      <w:proofErr w:type="spellEnd"/>
      <w:r>
        <w:t xml:space="preserve"> </w:t>
      </w:r>
      <w:r w:rsidR="00800E4F">
        <w:t>relating to</w:t>
      </w:r>
      <w:r w:rsidR="00800E4F">
        <w:t xml:space="preserve"> </w:t>
      </w:r>
      <w:r>
        <w:t xml:space="preserve">model </w:t>
      </w:r>
      <w:proofErr w:type="spellStart"/>
      <w:r>
        <w:t>conceptualisation</w:t>
      </w:r>
      <w:proofErr w:type="spellEnd"/>
      <w:r>
        <w:t xml:space="preserve"> and mathematical </w:t>
      </w:r>
      <w:proofErr w:type="spellStart"/>
      <w:r>
        <w:t>formalisation</w:t>
      </w:r>
      <w:proofErr w:type="spellEnd"/>
      <w:r>
        <w:t xml:space="preserve"> (Table </w:t>
      </w:r>
      <w:hyperlink w:anchor="timelygls">
        <w:r>
          <w:fldChar w:fldCharType="begin"/>
        </w:r>
        <w:r>
          <w:instrText xml:space="preserve"> REF timelygls \h</w:instrText>
        </w:r>
        <w:r w:rsidR="00271F31">
          <w:fldChar w:fldCharType="separate"/>
        </w:r>
        <w:r w:rsidR="00271F31">
          <w:rPr>
            <w:b/>
            <w:noProof/>
          </w:rPr>
          <w:t>2</w:t>
        </w:r>
        <w:r>
          <w:fldChar w:fldCharType="end"/>
        </w:r>
      </w:hyperlink>
      <w:r>
        <w:t>).</w:t>
      </w:r>
    </w:p>
    <w:p w:rsidR="00E875D8" w:rsidRDefault="00FC2679">
      <w:pPr>
        <w:pStyle w:val="BodyText"/>
      </w:pPr>
      <w:proofErr w:type="spellStart"/>
      <w:r>
        <w:t>Modellers</w:t>
      </w:r>
      <w:proofErr w:type="spellEnd"/>
      <w:r>
        <w:t xml:space="preserve"> have duties both to ensure a computational model is </w:t>
      </w:r>
      <w:r>
        <w:rPr>
          <w:b/>
          <w:bCs/>
        </w:rPr>
        <w:t>fit for purpose</w:t>
      </w:r>
      <w:r>
        <w:t xml:space="preserve"> and to provide potential third-party users with the means of assessing its adequacy for their proposed uses [6,12,18,19]. However, it is common for health economic models to have serious methodological flaws [20,21]; insufficient validation [22–24], poor reproducibility [25–27]; and undeclared errors [28]. Appropriate computational implementation choices can help address many of these shortcomings, for example by automating quality assurance checks and facilitating manual reviews by third parties.</w:t>
      </w:r>
    </w:p>
    <w:p w:rsidR="00E875D8" w:rsidRDefault="00FC2679">
      <w:pPr>
        <w:pStyle w:val="BodyText"/>
      </w:pPr>
      <w:r>
        <w:t xml:space="preserve">A CHEM will have limited </w:t>
      </w:r>
      <w:r>
        <w:rPr>
          <w:b/>
          <w:bCs/>
        </w:rPr>
        <w:t>social benefit</w:t>
      </w:r>
      <w:r>
        <w:t xml:space="preserve"> if it is rarely used, if mis-used or when its acceptability and adequacy rapidly decay. Reuse of CHEMs as components of other models can potentially make model development more efficient [29,30]. However, health economic models face challenges related to transferability across jurisdictions [30] that create barriers to reuse. Without ongoing maintenance, a CHEM risks becoming less reliable with time [30] and is at risk of being deployed for purposes for which it is poorly suited [13]. Currently, health economic models are rarely implemented computationally in a manner that facilitates routine updates [31], thus limiting the temporal window within which a CHEM can be validly applied. </w:t>
      </w:r>
    </w:p>
    <w:p w:rsidR="00E875D8" w:rsidRDefault="00FC2679">
      <w:pPr>
        <w:pStyle w:val="Heading2"/>
      </w:pPr>
      <w:bookmarkStart w:id="3" w:name="Xaaf39a4d2b86397b94900eb3f4ddc2287d74576"/>
      <w:bookmarkEnd w:id="2"/>
      <w:r>
        <w:lastRenderedPageBreak/>
        <w:t>CHEM attributes associated with ethical modelling practice</w:t>
      </w:r>
    </w:p>
    <w:p w:rsidR="00E875D8" w:rsidRDefault="00FC2679">
      <w:pPr>
        <w:pStyle w:val="FirstParagraph"/>
      </w:pPr>
      <w:r>
        <w:t xml:space="preserve">The responsibilities of model project teams over a CHEM lifecycle are easier to state than to measure. However, aspects of ethical modelling practice may be inferred from measurable attributes of CHEMs. As described in Table </w:t>
      </w:r>
      <w:hyperlink w:anchor="timelygls">
        <w:r>
          <w:fldChar w:fldCharType="begin"/>
        </w:r>
        <w:r>
          <w:instrText xml:space="preserve"> REF timelygls \h</w:instrText>
        </w:r>
        <w:r w:rsidR="00271F31">
          <w:fldChar w:fldCharType="separate"/>
        </w:r>
        <w:r w:rsidR="00271F31">
          <w:rPr>
            <w:b/>
            <w:noProof/>
          </w:rPr>
          <w:t>2</w:t>
        </w:r>
        <w:r>
          <w:fldChar w:fldCharType="end"/>
        </w:r>
      </w:hyperlink>
      <w:r>
        <w:t>, we believe that the creators of transparent, reusable and updatable (TRU) CHEMs are likely to have fulfilled a number of their ethical obligations. We therefore selected these model attributes to use as the basis for deriving ethical assessment criteria.</w:t>
      </w:r>
    </w:p>
    <w:p w:rsidR="00E875D8" w:rsidRDefault="00FC2679">
      <w:pPr>
        <w:pStyle w:val="BodyText"/>
      </w:pPr>
      <w:r>
        <w:t xml:space="preserve">Taking steps to make computational models </w:t>
      </w:r>
      <w:r>
        <w:rPr>
          <w:b/>
          <w:bCs/>
        </w:rPr>
        <w:t>transparent</w:t>
      </w:r>
      <w:r>
        <w:t xml:space="preserve"> is an important part of ethical public health modelling practice [12]. Guidance on transparency in health economic modelling recommend that model code and data should be clearly documented [32]. Notably, the same guidelines, published over ten years ago, do not recommend sharing model code and data. However, more recent healthcare modelling guidance does recommend public dissemination of such artefacts [18]. Online repository services such as </w:t>
      </w:r>
      <w:proofErr w:type="spellStart"/>
      <w:r>
        <w:t>Zenodo</w:t>
      </w:r>
      <w:proofErr w:type="spellEnd"/>
      <w:r>
        <w:t xml:space="preserve"> [33] and </w:t>
      </w:r>
      <w:proofErr w:type="spellStart"/>
      <w:r>
        <w:t>Dataverse</w:t>
      </w:r>
      <w:proofErr w:type="spellEnd"/>
      <w:r>
        <w:t xml:space="preserve"> [34] provide persistent storage solutions that generate a Digital Object Identifier (DOI) for each code and data collection. Ensuring that calculations are correct and consistent with model specifications is an essential part of CHEM quality assurance [35]. The extensiveness of such verification checks can be reported using the concept of code coverage [36] -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 [37]). The nature and extent of individual model authorship contributions can become unclear when models are implemented over longer time-frames with a large and changing group of collaborators [15]. This issue can be addressed by use of online repository services such as GitHub [38], that provide citation tools and can transparently record all individual code contributions to a modelling project over its lifecycle.</w:t>
      </w:r>
    </w:p>
    <w:p w:rsidR="00E875D8" w:rsidRDefault="00FC2679">
      <w:pPr>
        <w:pStyle w:val="BodyText"/>
      </w:pPr>
      <w:r>
        <w:t xml:space="preserve">A CHEM that is </w:t>
      </w:r>
      <w:r>
        <w:rPr>
          <w:b/>
          <w:bCs/>
        </w:rPr>
        <w:t>reusable</w:t>
      </w:r>
      <w:r>
        <w:t xml:space="preserve"> also signals ethical modelling practice. Making a CHEM’s code, data and documentation publicly available is increasingly considered good practice, yet is not sufficient to promote model re-use. Key concepts in health economic model reuse include </w:t>
      </w:r>
      <w:proofErr w:type="spellStart"/>
      <w:r>
        <w:t>generalisability</w:t>
      </w:r>
      <w:proofErr w:type="spellEnd"/>
      <w:r>
        <w:t xml:space="preserve"> (application without adaptation) and transferability (selective reuse and/or modification of model components) [39]. Writing model algorithms as collections of functions (short, self-contained and reusable software routines that each perform a discrete task) is good scientific computing practice [40] 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 [41]. The programming concept inheritance [42],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 [40] that provides users with great flexibility as to the purposes </w:t>
      </w:r>
      <w:r>
        <w:lastRenderedPageBreak/>
        <w:t xml:space="preserve">(including commercial) for which content can be re-used. An alternative approach is to use copyleft licenses [43] that </w:t>
      </w:r>
      <w:r w:rsidR="005E1959">
        <w:t>ensure</w:t>
      </w:r>
      <w:r>
        <w:t xml:space="preserve"> any derivative works create</w:t>
      </w:r>
      <w:r w:rsidR="005E1959">
        <w:t>d by content users are distributed</w:t>
      </w:r>
      <w:r>
        <w:t xml:space="preserve"> under similar open-source arrangements.    </w:t>
      </w:r>
    </w:p>
    <w:p w:rsidR="00E875D8" w:rsidRDefault="00FC2679">
      <w:pPr>
        <w:pStyle w:val="BodyText"/>
      </w:pPr>
      <w:r>
        <w:t xml:space="preserve">Models should be </w:t>
      </w:r>
      <w:r>
        <w:rPr>
          <w:b/>
          <w:bCs/>
        </w:rPr>
        <w:t>updatable</w:t>
      </w:r>
      <w:r>
        <w:t xml:space="preserve"> so that they remain valid for longer, evolving as new evidence emerges and the systems being modelled change [30,44]. Ensuring that a model is regularly reviewed to identify and implement required improvements is a recommended </w:t>
      </w:r>
      <w:proofErr w:type="spellStart"/>
      <w:r>
        <w:t>defence</w:t>
      </w:r>
      <w:proofErr w:type="spellEnd"/>
      <w:r>
        <w:t xml:space="preserve"> against model validity decay [13]. Sustainable maintenance of open source research software requires both a core development team and an active user community [45]. Online communities can be an efficient means of engaging model users in testing each version of a model, identifying issues and suggesting improvements. Services such as GitHub [38] provide collaborative code development tools [46] 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 [47]. The risk of software revisions having unintended consequences for third party users can be mitigated through the use of deprecation conventions [48] that take an informative and staged approach to retiring outdated CHEMs. </w:t>
      </w:r>
    </w:p>
    <w:p w:rsidR="00E875D8" w:rsidRDefault="00FC2679">
      <w:pPr>
        <w:pStyle w:val="Heading2"/>
      </w:pPr>
      <w:bookmarkStart w:id="4" w:name="assessment-criteria"/>
      <w:bookmarkEnd w:id="3"/>
      <w:r>
        <w:t>Assessment criteria</w:t>
      </w:r>
    </w:p>
    <w:p w:rsidR="00E875D8" w:rsidRDefault="00FC2679">
      <w:pPr>
        <w:pStyle w:val="FirstParagraph"/>
      </w:pPr>
      <w:r>
        <w:t>For each CHEM attribute that suggests ethical CHEM modelling practice, we identified assessment criteria that have the potential to be met with the assistance of software frameworks.</w:t>
      </w:r>
    </w:p>
    <w:p w:rsidR="00E875D8" w:rsidRDefault="00FC2679">
      <w:pPr>
        <w:pStyle w:val="BodyText"/>
      </w:pPr>
      <w:r>
        <w:t xml:space="preserve">How </w:t>
      </w:r>
      <w:r>
        <w:rPr>
          <w:b/>
          <w:bCs/>
        </w:rPr>
        <w:t>transparent</w:t>
      </w:r>
      <w:r>
        <w:t xml:space="preserve"> a CHEM is can be assessed against the criteria:</w:t>
      </w:r>
    </w:p>
    <w:p w:rsidR="00E875D8" w:rsidRDefault="00FC2679">
      <w:pPr>
        <w:numPr>
          <w:ilvl w:val="0"/>
          <w:numId w:val="29"/>
        </w:numPr>
      </w:pPr>
      <w:r>
        <w:rPr>
          <w:b/>
          <w:bCs/>
        </w:rPr>
        <w:t>T1</w:t>
      </w:r>
      <w:r>
        <w:t>: Software files (executable code, testing procedures and outcomes and non-confidential data) are available in open access repositories.</w:t>
      </w:r>
    </w:p>
    <w:p w:rsidR="00E875D8" w:rsidRDefault="00FC2679">
      <w:pPr>
        <w:numPr>
          <w:ilvl w:val="0"/>
          <w:numId w:val="29"/>
        </w:numPr>
      </w:pPr>
      <w:r>
        <w:rPr>
          <w:b/>
          <w:bCs/>
        </w:rPr>
        <w:t>T2</w:t>
      </w:r>
      <w:r>
        <w:t>: It is easy to see who funded, developed and tested each part of the CHEM and to identify the modelling team’s assumptions, judgments and theories about CHEM development and use.</w:t>
      </w:r>
    </w:p>
    <w:p w:rsidR="00E875D8" w:rsidRDefault="00FC2679">
      <w:pPr>
        <w:pStyle w:val="FirstParagraph"/>
      </w:pPr>
      <w:r>
        <w:t xml:space="preserve">How </w:t>
      </w:r>
      <w:r>
        <w:rPr>
          <w:b/>
          <w:bCs/>
        </w:rPr>
        <w:t>reusable</w:t>
      </w:r>
      <w:r>
        <w:t xml:space="preserve"> a CHEM is can be assessed against the criteria:</w:t>
      </w:r>
    </w:p>
    <w:p w:rsidR="00E875D8" w:rsidRDefault="00FC2679">
      <w:pPr>
        <w:numPr>
          <w:ilvl w:val="0"/>
          <w:numId w:val="30"/>
        </w:numPr>
      </w:pPr>
      <w:r>
        <w:rPr>
          <w:b/>
          <w:bCs/>
        </w:rPr>
        <w:t>R1</w:t>
      </w:r>
      <w:r>
        <w:t xml:space="preserve">: Programming practices facilitate both </w:t>
      </w:r>
      <w:proofErr w:type="spellStart"/>
      <w:r>
        <w:t>generalisability</w:t>
      </w:r>
      <w:proofErr w:type="spellEnd"/>
      <w:r>
        <w:t xml:space="preserve"> and transferability.</w:t>
      </w:r>
    </w:p>
    <w:p w:rsidR="00E875D8" w:rsidRDefault="00FC2679">
      <w:pPr>
        <w:numPr>
          <w:ilvl w:val="0"/>
          <w:numId w:val="30"/>
        </w:numPr>
      </w:pPr>
      <w:r>
        <w:rPr>
          <w:b/>
          <w:bCs/>
        </w:rPr>
        <w:t>R2</w:t>
      </w:r>
      <w:r>
        <w:t xml:space="preserve">: </w:t>
      </w:r>
      <w:r w:rsidR="00F42D6D">
        <w:t>Licenses</w:t>
      </w:r>
      <w:r>
        <w:t xml:space="preserve"> restrict only unethical </w:t>
      </w:r>
      <w:r w:rsidR="00F42D6D">
        <w:t>us</w:t>
      </w:r>
      <w:r w:rsidR="00F42D6D">
        <w:t xml:space="preserve">e </w:t>
      </w:r>
      <w:r>
        <w:t>and allow anyone to ethically reuse model code and non-confidential data, in whole or in part, without charge, and for purposes that include the creation of derivative works.</w:t>
      </w:r>
    </w:p>
    <w:p w:rsidR="00E875D8" w:rsidRDefault="00FC2679">
      <w:pPr>
        <w:pStyle w:val="FirstParagraph"/>
      </w:pPr>
      <w:r>
        <w:t xml:space="preserve">How </w:t>
      </w:r>
      <w:r>
        <w:rPr>
          <w:b/>
          <w:bCs/>
        </w:rPr>
        <w:t>updatable</w:t>
      </w:r>
      <w:r>
        <w:t xml:space="preserve"> a CHEM is can be assessed against the criteria:</w:t>
      </w:r>
    </w:p>
    <w:p w:rsidR="00E875D8" w:rsidRDefault="00FC2679">
      <w:pPr>
        <w:numPr>
          <w:ilvl w:val="0"/>
          <w:numId w:val="31"/>
        </w:numPr>
      </w:pPr>
      <w:r>
        <w:rPr>
          <w:b/>
          <w:bCs/>
        </w:rPr>
        <w:t>U1</w:t>
      </w:r>
      <w:r>
        <w:t>: Maintenance infrastructure is in place to support version control and collaboration with model users.</w:t>
      </w:r>
    </w:p>
    <w:p w:rsidR="00E875D8" w:rsidRDefault="00FC2679">
      <w:pPr>
        <w:numPr>
          <w:ilvl w:val="0"/>
          <w:numId w:val="31"/>
        </w:numPr>
      </w:pPr>
      <w:r>
        <w:rPr>
          <w:b/>
          <w:bCs/>
        </w:rPr>
        <w:t>U2</w:t>
      </w:r>
      <w:r>
        <w:t xml:space="preserve">: Each new release of a model is systematically retested, with changes implemented to </w:t>
      </w:r>
      <w:proofErr w:type="spellStart"/>
      <w:r>
        <w:t>minimise</w:t>
      </w:r>
      <w:proofErr w:type="spellEnd"/>
      <w:r>
        <w:t xml:space="preserve"> disruptions for existing model users.</w:t>
      </w:r>
    </w:p>
    <w:p w:rsidR="00E875D8" w:rsidRDefault="00FC2679">
      <w:pPr>
        <w:pStyle w:val="Heading1"/>
      </w:pPr>
      <w:bookmarkStart w:id="5" w:name="prototype-software-framework"/>
      <w:bookmarkEnd w:id="1"/>
      <w:bookmarkEnd w:id="4"/>
      <w:r>
        <w:lastRenderedPageBreak/>
        <w:t>Prototype software framework</w:t>
      </w:r>
    </w:p>
    <w:p w:rsidR="00E875D8" w:rsidRDefault="00FC2679">
      <w:pPr>
        <w:pStyle w:val="FirstParagraph"/>
      </w:pPr>
      <w:r>
        <w:t>To support the development of CHEMs that meet TRU assessment criteria, we have created a prototype software framework called ready4. The software framework aims to provide a toolkit for: (</w:t>
      </w:r>
      <w:proofErr w:type="spellStart"/>
      <w:r>
        <w:t>i</w:t>
      </w:r>
      <w:proofErr w:type="spellEnd"/>
      <w:r>
        <w:t>) enabling modular implementation of CHEMs; (ii) authoring and documenting CHEM modules; (iii) managing the labelling and transfer of CHEM input and output data; and (iv) authoring reproducible analyses that apply CHEMs to compatible data.</w:t>
      </w:r>
    </w:p>
    <w:p w:rsidR="00E875D8" w:rsidRDefault="00FC2679">
      <w:pPr>
        <w:pStyle w:val="BodyText"/>
      </w:pPr>
      <w:r>
        <w:t xml:space="preserve">To achieve these goals, we have implemented the software framework as R [3] code libraries that integrate with a number of online services and which are supported by a documentation website. </w:t>
      </w:r>
    </w:p>
    <w:p w:rsidR="00E875D8" w:rsidRDefault="00FC2679">
      <w:pPr>
        <w:pStyle w:val="Heading2"/>
      </w:pPr>
      <w:bookmarkStart w:id="6" w:name="r-libraries"/>
      <w:r>
        <w:t>R libraries</w:t>
      </w:r>
    </w:p>
    <w:p w:rsidR="00E875D8" w:rsidRDefault="00FC2679">
      <w:pPr>
        <w:pStyle w:val="FirstParagraph"/>
      </w:pPr>
      <w:r>
        <w:t xml:space="preserve">A library in the R language will typically depend on multiple other R libraries, all of which potentially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rsidR="00271F31">
          <w:fldChar w:fldCharType="separate"/>
        </w:r>
        <w:r w:rsidR="00271F31">
          <w:rPr>
            <w:b/>
            <w:noProof/>
          </w:rPr>
          <w:t>3</w:t>
        </w:r>
        <w:r>
          <w:fldChar w:fldCharType="end"/>
        </w:r>
      </w:hyperlink>
      <w:r>
        <w:t>).</w:t>
      </w:r>
    </w:p>
    <w:p w:rsidR="00E875D8" w:rsidRDefault="00FC2679">
      <w:pPr>
        <w:pStyle w:val="BodyText"/>
      </w:pPr>
      <w:r>
        <w:t xml:space="preserve">One framework library provides a </w:t>
      </w:r>
      <w:r>
        <w:rPr>
          <w:b/>
          <w:bCs/>
        </w:rPr>
        <w:t>foundation for modular CHEM implementations</w:t>
      </w:r>
      <w:r>
        <w:t>. In modular model implementations, modules need to be able to share inputs and outputs with each other and to be run as independent models [49].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tools for partially automating updates to a project documentation website.</w:t>
      </w:r>
    </w:p>
    <w:p w:rsidR="00E875D8" w:rsidRDefault="00FC2679">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and object-oriented programming paradigms [50]. Authoring with each of these paradigms is facilitated by a dedicated CHEM module authoring library. One module authoring library contains tools for writing functions in a consistent house style and automatically generating basic documentation for each function. A second module authoring library contains tools to help streamline and </w:t>
      </w:r>
      <w:proofErr w:type="spellStart"/>
      <w:r>
        <w:t>standardise</w:t>
      </w:r>
      <w:proofErr w:type="spellEnd"/>
      <w:r>
        <w:t xml:space="preserve"> the authoring and documenting of novel CHEM modules. A third module authoring library provides tools for disseminating themed bundles of CHEM modules as R libraries that are:</w:t>
      </w:r>
    </w:p>
    <w:p w:rsidR="00E875D8" w:rsidRDefault="00FC2679">
      <w:pPr>
        <w:numPr>
          <w:ilvl w:val="0"/>
          <w:numId w:val="32"/>
        </w:numPr>
      </w:pPr>
      <w:r>
        <w:t>documented (with a website and PDF manuals);</w:t>
      </w:r>
    </w:p>
    <w:p w:rsidR="00E875D8" w:rsidRDefault="00FC2679">
      <w:pPr>
        <w:numPr>
          <w:ilvl w:val="0"/>
          <w:numId w:val="32"/>
        </w:numPr>
      </w:pPr>
      <w:r>
        <w:t>licensed (using the copyleft GNU GPL-3 [66] by default);</w:t>
      </w:r>
    </w:p>
    <w:p w:rsidR="00E875D8" w:rsidRDefault="00FC2679">
      <w:pPr>
        <w:numPr>
          <w:ilvl w:val="0"/>
          <w:numId w:val="32"/>
        </w:numPr>
      </w:pPr>
      <w:r>
        <w:lastRenderedPageBreak/>
        <w:t>easily citable (citation information can be retrieved within an R session or from hosting repositories); and</w:t>
      </w:r>
    </w:p>
    <w:p w:rsidR="00E875D8" w:rsidRDefault="00FC2679">
      <w:pPr>
        <w:numPr>
          <w:ilvl w:val="0"/>
          <w:numId w:val="32"/>
        </w:numPr>
      </w:pPr>
      <w:r>
        <w:t>quality assured (each update triggers continuous integration workflows, including any acceptance and unit tests created by module library authors).</w:t>
      </w:r>
    </w:p>
    <w:p w:rsidR="00E875D8" w:rsidRDefault="00FC2679">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separate documents (e.g., a scientific manuscript).</w:t>
      </w:r>
    </w:p>
    <w:p w:rsidR="00E875D8" w:rsidRDefault="00FC2679">
      <w:pPr>
        <w:pStyle w:val="Heading2"/>
      </w:pPr>
      <w:bookmarkStart w:id="7" w:name="online-services"/>
      <w:bookmarkEnd w:id="6"/>
      <w:r>
        <w:t>Online services</w:t>
      </w:r>
    </w:p>
    <w:p w:rsidR="00E875D8" w:rsidRDefault="00FC2679">
      <w:pPr>
        <w:pStyle w:val="FirstParagraph"/>
      </w:pPr>
      <w:r>
        <w:t xml:space="preserve">Framework libraries are designed to be used in conjunction with a number of third-party online services that we established and configured accounts with. </w:t>
      </w:r>
    </w:p>
    <w:p w:rsidR="00E875D8" w:rsidRDefault="00FC2679">
      <w:pPr>
        <w:pStyle w:val="BodyText"/>
      </w:pPr>
      <w:r>
        <w:t xml:space="preserve">We created a GitHub </w:t>
      </w:r>
      <w:proofErr w:type="spellStart"/>
      <w:r>
        <w:t>organisation</w:t>
      </w:r>
      <w:proofErr w:type="spellEnd"/>
      <w:r>
        <w:t xml:space="preserve"> (a collection of code repositories) where source code that we author is stored and version controlled. We configured individual repositories in our GitHub </w:t>
      </w:r>
      <w:proofErr w:type="spellStart"/>
      <w:r>
        <w:t>organisation</w:t>
      </w:r>
      <w:proofErr w:type="spellEnd"/>
      <w:r>
        <w:t xml:space="preserve">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used for code library development.</w:t>
      </w:r>
    </w:p>
    <w:p w:rsidR="00E875D8" w:rsidRDefault="00FC2679">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rsidR="00E875D8" w:rsidRDefault="00FC2679">
      <w:pPr>
        <w:pStyle w:val="Heading2"/>
      </w:pPr>
      <w:bookmarkStart w:id="8" w:name="documentation-website"/>
      <w:bookmarkEnd w:id="7"/>
      <w:r>
        <w:t>Documentation website</w:t>
      </w:r>
    </w:p>
    <w:p w:rsidR="00E875D8" w:rsidRDefault="00FC2679">
      <w:pPr>
        <w:pStyle w:val="FirstParagraph"/>
      </w:pPr>
      <w:r>
        <w:t xml:space="preserve">We developed a framework documentation website (www.ready4-dev.com) that provides guidance to model developers on how to use and contribute improvements to the ready4 software framework and </w:t>
      </w:r>
      <w:r w:rsidR="001253F9">
        <w:t>CHEMs</w:t>
      </w:r>
      <w:r w:rsidR="001253F9">
        <w:t xml:space="preserve"> </w:t>
      </w:r>
      <w:r>
        <w:t>developed with it. The documentation website is versioned, which means documentation relating to prior versions of framework software can be archived, retrieved and viewed.</w:t>
      </w:r>
    </w:p>
    <w:p w:rsidR="00E875D8" w:rsidRDefault="00FC2679">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w:t>
      </w:r>
      <w:proofErr w:type="spellStart"/>
      <w:r>
        <w:t>Netlify</w:t>
      </w:r>
      <w:proofErr w:type="spellEnd"/>
      <w:r>
        <w:t xml:space="preserve"> [56] service. We used functions from our foundation framework library to partially automate website updates relating to available CHEM modules, datasets and analysis programs. We linked our </w:t>
      </w:r>
      <w:proofErr w:type="spellStart"/>
      <w:r>
        <w:t>Netlify</w:t>
      </w:r>
      <w:proofErr w:type="spellEnd"/>
      <w:r>
        <w:t xml:space="preserve"> </w:t>
      </w:r>
      <w:r>
        <w:lastRenderedPageBreak/>
        <w:t xml:space="preserve">account to our GitHub </w:t>
      </w:r>
      <w:proofErr w:type="spellStart"/>
      <w:r>
        <w:t>organisation</w:t>
      </w:r>
      <w:proofErr w:type="spellEnd"/>
      <w:r>
        <w:t xml:space="preserve"> so that the project website would automatically update whenever its source code (publicly available in a GitHub repository) was edited.</w:t>
      </w:r>
    </w:p>
    <w:p w:rsidR="00E875D8" w:rsidRDefault="00FC2679">
      <w:pPr>
        <w:pStyle w:val="Heading1"/>
      </w:pPr>
      <w:bookmarkStart w:id="9" w:name="application-in-youth-mental-health"/>
      <w:bookmarkEnd w:id="5"/>
      <w:bookmarkEnd w:id="8"/>
      <w:r>
        <w:t>Application in youth mental health</w:t>
      </w:r>
    </w:p>
    <w:p w:rsidR="00E875D8" w:rsidRDefault="00FC2679">
      <w:pPr>
        <w:pStyle w:val="FirstParagraph"/>
      </w:pPr>
      <w:r>
        <w:t xml:space="preserve">We are using the ready4 software framework to implement multiple transparent, reusable and updatable CHEMs in youth mental health (see Figure </w:t>
      </w:r>
      <w:hyperlink w:anchor="fig1">
        <w:r>
          <w:fldChar w:fldCharType="begin"/>
        </w:r>
        <w:r>
          <w:instrText xml:space="preserve"> REF fig1 \h</w:instrText>
        </w:r>
        <w:r w:rsidR="00271F31">
          <w:fldChar w:fldCharType="separate"/>
        </w:r>
        <w:r w:rsidR="00271F31">
          <w:rPr>
            <w:b/>
            <w:noProof/>
          </w:rPr>
          <w:t>1</w:t>
        </w:r>
        <w:r>
          <w:fldChar w:fldCharType="end"/>
        </w:r>
      </w:hyperlink>
      <w:r>
        <w:t>). Some initial outputs from this work are publicly available as development version releases.</w:t>
      </w:r>
    </w:p>
    <w:p w:rsidR="00E875D8" w:rsidRDefault="00FC2679">
      <w:pPr>
        <w:pStyle w:val="Heading2"/>
      </w:pPr>
      <w:bookmarkStart w:id="10" w:name="economic-topics"/>
      <w:r>
        <w:t>Economic topics</w:t>
      </w:r>
    </w:p>
    <w:p w:rsidR="00E875D8" w:rsidRDefault="00FC2679">
      <w:pPr>
        <w:pStyle w:val="FirstParagraph"/>
      </w:pPr>
      <w:r>
        <w:t xml:space="preserve">Currently, we are using the ready4 software framework to develop, apply, and share youth mental health CHEMs in four of the twelve domains of health economics identified by Wagstaff and </w:t>
      </w:r>
      <w:proofErr w:type="spellStart"/>
      <w:r>
        <w:t>Culyer</w:t>
      </w:r>
      <w:proofErr w:type="spellEnd"/>
      <w:r>
        <w:t xml:space="preserve"> [1]:</w:t>
      </w:r>
    </w:p>
    <w:p w:rsidR="00E875D8" w:rsidRDefault="00FC2679">
      <w:pPr>
        <w:numPr>
          <w:ilvl w:val="0"/>
          <w:numId w:val="33"/>
        </w:numPr>
      </w:pPr>
      <w:r>
        <w:t>health and its value (our projects: models to map psychological and functional measures to health utility);</w:t>
      </w:r>
    </w:p>
    <w:p w:rsidR="00E875D8" w:rsidRDefault="00FC2679">
      <w:pPr>
        <w:numPr>
          <w:ilvl w:val="0"/>
          <w:numId w:val="33"/>
        </w:numPr>
      </w:pPr>
      <w:r>
        <w:t>determinants of health and ill-health (our projects: models for creating synthetic household populations with key risk and protective factors for mental disorders);</w:t>
      </w:r>
    </w:p>
    <w:p w:rsidR="00E875D8" w:rsidRDefault="00FC2679">
      <w:pPr>
        <w:numPr>
          <w:ilvl w:val="0"/>
          <w:numId w:val="33"/>
        </w:numPr>
      </w:pPr>
      <w:r>
        <w:t>demand for health and health care (our projects: spatial epidemiology and help-seeking choice models); and</w:t>
      </w:r>
    </w:p>
    <w:p w:rsidR="00E875D8" w:rsidRDefault="00FC2679">
      <w:pPr>
        <w:numPr>
          <w:ilvl w:val="0"/>
          <w:numId w:val="33"/>
        </w:numPr>
      </w:pPr>
      <w:r>
        <w:t>supply of health services (our projects: a model of primary mental health care services for young people).</w:t>
      </w:r>
    </w:p>
    <w:p w:rsidR="00E875D8" w:rsidRDefault="00FC2679">
      <w:pPr>
        <w:pStyle w:val="FirstParagraph"/>
      </w:pPr>
      <w:r>
        <w:t xml:space="preserve">Potential future directions are to supplement this work with CHEMs in two additional Wagstaff and </w:t>
      </w:r>
      <w:proofErr w:type="spellStart"/>
      <w:r>
        <w:t>Culyer</w:t>
      </w:r>
      <w:proofErr w:type="spellEnd"/>
      <w:r>
        <w:t xml:space="preserve"> domains of: (</w:t>
      </w:r>
      <w:proofErr w:type="spellStart"/>
      <w:r>
        <w:t>i</w:t>
      </w:r>
      <w:proofErr w:type="spellEnd"/>
      <w:r>
        <w:t xml:space="preserve">) public health (to model the impact of selected fiscal policy and regulation options on young people’s mental health); and (ii) human resources (to model the supply and </w:t>
      </w:r>
      <w:proofErr w:type="spellStart"/>
      <w:r>
        <w:t>behaviours</w:t>
      </w:r>
      <w:proofErr w:type="spellEnd"/>
      <w:r>
        <w:t xml:space="preserve"> of the youth mental health workforce). Our ultimate aim is to flexibly combining all our CHEMs in analyses that help answer questions in two additional Wagstaff and </w:t>
      </w:r>
      <w:proofErr w:type="spellStart"/>
      <w:r>
        <w:t>Culyer</w:t>
      </w:r>
      <w:proofErr w:type="spellEnd"/>
      <w:r>
        <w:t xml:space="preserve"> domains:</w:t>
      </w:r>
    </w:p>
    <w:p w:rsidR="00E875D8" w:rsidRDefault="00FC2679">
      <w:pPr>
        <w:numPr>
          <w:ilvl w:val="0"/>
          <w:numId w:val="34"/>
        </w:numPr>
      </w:pPr>
      <w:r>
        <w:t>efficiency and equity (our goal: assess the distributional impacts and identify the optimal targeting of youth mental health interventions); and</w:t>
      </w:r>
    </w:p>
    <w:p w:rsidR="00E875D8" w:rsidRDefault="00FC2679">
      <w:pPr>
        <w:numPr>
          <w:ilvl w:val="0"/>
          <w:numId w:val="34"/>
        </w:numPr>
      </w:pPr>
      <w:r>
        <w:t>economic evaluation (our goal: assess the cost-utility of competing policy options for improving the mental health of young people).</w:t>
      </w:r>
    </w:p>
    <w:p w:rsidR="00E875D8" w:rsidRDefault="00FC2679">
      <w:pPr>
        <w:pStyle w:val="FirstParagraph"/>
      </w:pPr>
      <w:r>
        <w:t>Although we are principally interested in using CHEMs to answer policy questions relating to the mental health of young people in Australia, we want to facilitate CHEM transferability to other jurisdictions. Our CHEMs are being derived from and applied to real data (which can be empirical</w:t>
      </w:r>
      <w:r w:rsidR="006D3F39">
        <w:t xml:space="preserve">, </w:t>
      </w:r>
      <w:r w:rsidR="006D3F39">
        <w:t>simulated</w:t>
      </w:r>
      <w:r>
        <w:t xml:space="preserve"> or </w:t>
      </w:r>
      <w:r w:rsidR="006D3F39">
        <w:t>assumption</w:t>
      </w:r>
      <w:r>
        <w:t>, so long as it is appropriate for use in analysis intended to inform decision-making) from Australia. To help demonstrate the potential use of CHEMs in other decision contexts, we also create toy datasets. Data created for illustration purposes is prominently labelled as not for use in decision-analysis.</w:t>
      </w:r>
    </w:p>
    <w:p w:rsidR="00E875D8" w:rsidRDefault="00FC2679">
      <w:pPr>
        <w:pStyle w:val="Heading2"/>
      </w:pPr>
      <w:bookmarkStart w:id="11" w:name="case-study-health-and-its-value"/>
      <w:bookmarkEnd w:id="10"/>
      <w:r>
        <w:lastRenderedPageBreak/>
        <w:t>Case study: health and its value</w:t>
      </w:r>
    </w:p>
    <w:p w:rsidR="00E875D8" w:rsidRDefault="00FC2679">
      <w:pPr>
        <w:pStyle w:val="FirstParagraph"/>
      </w:pPr>
      <w:r>
        <w:t>We have previously described a study [57] 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rsidR="00E875D8" w:rsidRDefault="00FC2679">
      <w:pPr>
        <w:numPr>
          <w:ilvl w:val="0"/>
          <w:numId w:val="35"/>
        </w:numPr>
      </w:pPr>
      <w:r>
        <w:t>development version module libraries for describing and validating youth mental health human record datasets [58], scoring health utility [59], specifying utility mapping models [60] and implementing reproducible utility mapping studies [61];</w:t>
      </w:r>
    </w:p>
    <w:p w:rsidR="00E875D8" w:rsidRDefault="00FC2679">
      <w:pPr>
        <w:numPr>
          <w:ilvl w:val="0"/>
          <w:numId w:val="35"/>
        </w:numPr>
      </w:pPr>
      <w:r>
        <w:t>a development version library of functions for finding and using utility mapping models developed with these tools [62];</w:t>
      </w:r>
    </w:p>
    <w:p w:rsidR="00E875D8" w:rsidRDefault="00FC2679">
      <w:pPr>
        <w:numPr>
          <w:ilvl w:val="0"/>
          <w:numId w:val="35"/>
        </w:numPr>
      </w:pPr>
      <w:r>
        <w:t xml:space="preserve">collections of real data (study input and results [63]) and </w:t>
      </w:r>
      <w:r w:rsidR="009108C7">
        <w:t>toy</w:t>
      </w:r>
      <w:r w:rsidR="009108C7">
        <w:t xml:space="preserve"> </w:t>
      </w:r>
      <w:r>
        <w:t>data (synthetic populations for testing model modules [64]);</w:t>
      </w:r>
    </w:p>
    <w:p w:rsidR="00E875D8" w:rsidRDefault="00FC2679">
      <w:pPr>
        <w:numPr>
          <w:ilvl w:val="0"/>
          <w:numId w:val="35"/>
        </w:numPr>
      </w:pPr>
      <w:r>
        <w:t>programs for replicating all steps from data ingest to manuscript reporting [65], applying utility mapping models to new data [66] and generating a synthetic representation of the study dataset [67]; and</w:t>
      </w:r>
    </w:p>
    <w:p w:rsidR="00E875D8" w:rsidRDefault="00FC2679">
      <w:pPr>
        <w:numPr>
          <w:ilvl w:val="0"/>
          <w:numId w:val="35"/>
        </w:numPr>
      </w:pPr>
      <w:r>
        <w:t>subroutines for creating a catalogue of utility mapping models [68] and generating a draft scientific manuscript [69] for studies implemented with these modules.</w:t>
      </w:r>
    </w:p>
    <w:p w:rsidR="00E875D8" w:rsidRDefault="00FC2679">
      <w:pPr>
        <w:pStyle w:val="FirstParagraph"/>
      </w:pPr>
      <w:r>
        <w:t xml:space="preserve">We created a checklist (Table </w:t>
      </w:r>
      <w:hyperlink w:anchor="checktb">
        <w:r>
          <w:fldChar w:fldCharType="begin"/>
        </w:r>
        <w:r>
          <w:instrText xml:space="preserve"> REF checktb \h</w:instrText>
        </w:r>
        <w:r w:rsidR="00271F31">
          <w:fldChar w:fldCharType="separate"/>
        </w:r>
        <w:r w:rsidR="00271F31">
          <w:rPr>
            <w:b/>
            <w:noProof/>
          </w:rPr>
          <w:t>4</w:t>
        </w:r>
        <w:r>
          <w:fldChar w:fldCharType="end"/>
        </w:r>
      </w:hyperlink>
      <w:r>
        <w:t>) that we used to subjectively assess these study outputs against TRU criteria. For each criterion, we provided a global assessment of whether it was met using the responses “yes”, “no” or “partial”. We believe our utility mapping study CHEMs have satisfactorily met five of the six criteria (T1, T2, R1, R2 and U1) and have partially met one criterion (U2). The main shortcomings that we identified when applying the assessment criteria was that we have yet to adequately implement unit testing of the R libraries authored as part of this study.</w:t>
      </w:r>
    </w:p>
    <w:p w:rsidR="00E875D8" w:rsidRDefault="00FC2679">
      <w:pPr>
        <w:pStyle w:val="Heading1"/>
      </w:pPr>
      <w:bookmarkStart w:id="12" w:name="discussion"/>
      <w:bookmarkEnd w:id="9"/>
      <w:bookmarkEnd w:id="11"/>
      <w:r>
        <w:t>Discussion</w:t>
      </w:r>
    </w:p>
    <w:p w:rsidR="00E875D8" w:rsidRDefault="00FC2679">
      <w:pPr>
        <w:pStyle w:val="FirstParagraph"/>
      </w:pPr>
      <w:r>
        <w:t xml:space="preserve">Ethical practice is a core expectation of health researchers and computational methods underpin most quantitative research, yet an understanding of what constitutes ethical public health modelling practice is underdeveloped [12]. We have addressed this gap with our proposed project team responsibilities, enabling </w:t>
      </w:r>
      <w:r w:rsidR="003B7599">
        <w:t>CHEM</w:t>
      </w:r>
      <w:r w:rsidR="003B7599">
        <w:t xml:space="preserve"> </w:t>
      </w:r>
      <w:r>
        <w:t xml:space="preserve">attributes and </w:t>
      </w:r>
      <w:r w:rsidR="003B7599">
        <w:t>CHEM</w:t>
      </w:r>
      <w:r w:rsidR="003B7599">
        <w:t xml:space="preserve"> </w:t>
      </w:r>
      <w:r w:rsidR="003B7599">
        <w:t>attribute</w:t>
      </w:r>
      <w:r w:rsidR="003B7599">
        <w:t xml:space="preserve"> </w:t>
      </w:r>
      <w:r>
        <w:t>assessment criteria.</w:t>
      </w:r>
    </w:p>
    <w:p w:rsidR="00E875D8" w:rsidRDefault="00FC2679">
      <w:pPr>
        <w:pStyle w:val="BodyText"/>
      </w:pPr>
      <w:r>
        <w:t>Currently, many if not most existing CHEMs are insufficiently transparent [22,25–27], not reusable [6,7], nor updatable [31,70].  Addressing these issues will require changes to the tools, practices and funding underpinning health economic model development.</w:t>
      </w:r>
    </w:p>
    <w:p w:rsidR="00E875D8" w:rsidRDefault="00FC2679">
      <w:pPr>
        <w:pStyle w:val="BodyText"/>
      </w:pPr>
      <w:r>
        <w:t xml:space="preserve">As illustrated by Table </w:t>
      </w:r>
      <w:hyperlink w:anchor="checktb">
        <w:r>
          <w:fldChar w:fldCharType="begin"/>
        </w:r>
        <w:r>
          <w:instrText xml:space="preserve"> REF checktb \h</w:instrText>
        </w:r>
        <w:r w:rsidR="00271F31">
          <w:fldChar w:fldCharType="separate"/>
        </w:r>
        <w:r w:rsidR="00271F31">
          <w:rPr>
            <w:b/>
            <w:noProof/>
          </w:rPr>
          <w:t>4</w:t>
        </w:r>
        <w:r>
          <w:fldChar w:fldCharType="end"/>
        </w:r>
      </w:hyperlink>
      <w:r>
        <w:t xml:space="preserve">, we have developed a prototype software framework that can be used to implement youth mental health CHEMs that largely satisfy our TRU criteria. However, in its current form our software framework is too fragile to be recommended as </w:t>
      </w:r>
      <w:r>
        <w:lastRenderedPageBreak/>
        <w:t>anything more than a prototype for supporting the development needs of other modelling teams and projects. We developed our prototype software framework primarily to address the user requirements of one group – ourselves. Factors such as user enjoyment, usability, active user-community and supporting resources influence adoption of software frameworks [8]. We currently lack the resources required to address these issues</w:t>
      </w:r>
      <w:r w:rsidR="008541E4">
        <w:t xml:space="preserve"> for our software framework</w:t>
      </w:r>
      <w:r>
        <w:t>.</w:t>
      </w:r>
    </w:p>
    <w:p w:rsidR="00E875D8" w:rsidRDefault="00FC2679">
      <w:pPr>
        <w:pStyle w:val="BodyText"/>
      </w:pPr>
      <w:r>
        <w:t>However, our prototype has a number of features that future work on CHEM software frameworks may find useful to incorporate. Firstly, developing a software framework to work within an existing and widely used open source programming language</w:t>
      </w:r>
      <w:r w:rsidR="004C14A0">
        <w:t>,</w:t>
      </w:r>
      <w:r>
        <w:t xml:space="preserve"> such as R or python, can keep framework scope relatively narrow. This makes it more tractable to develop, maintain and learn, and can integrate other modelling tools written in that language (e.g., the dependency libraries we list in Table </w:t>
      </w:r>
      <w:hyperlink w:anchor="cpkgs">
        <w:r>
          <w:fldChar w:fldCharType="begin"/>
        </w:r>
        <w:r>
          <w:instrText xml:space="preserve"> REF cpkgs \h</w:instrText>
        </w:r>
        <w:r w:rsidR="00271F31">
          <w:fldChar w:fldCharType="separate"/>
        </w:r>
        <w:r w:rsidR="00271F31">
          <w:rPr>
            <w:b/>
            <w:noProof/>
          </w:rPr>
          <w:t>3</w:t>
        </w:r>
        <w:r>
          <w:fldChar w:fldCharType="end"/>
        </w:r>
      </w:hyperlink>
      <w:r>
        <w:t xml:space="preserve">). Secondly, implementation that combines both object-oriented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w:t>
      </w:r>
      <w:proofErr w:type="spellStart"/>
      <w:r>
        <w:t>prioritising</w:t>
      </w:r>
      <w:proofErr w:type="spellEnd"/>
      <w:r>
        <w:t xml:space="preserve"> the development of working code over writing documentation [71]). Our software framework makes this trade off by enforcing the use of consistent </w:t>
      </w:r>
      <w:r w:rsidR="004C14A0">
        <w:t>coding</w:t>
      </w:r>
      <w:r w:rsidR="004C14A0">
        <w:t xml:space="preserve"> </w:t>
      </w:r>
      <w:r>
        <w:t xml:space="preserve">conventions and file </w:t>
      </w:r>
      <w:proofErr w:type="spellStart"/>
      <w:r>
        <w:t>organisation</w:t>
      </w:r>
      <w:proofErr w:type="spellEnd"/>
      <w:r>
        <w:t xml:space="preserve"> which in turn enables automated generation of simple documentation at every </w:t>
      </w:r>
      <w:r w:rsidR="00F1318D">
        <w:t>CHEM</w:t>
      </w:r>
      <w:r w:rsidR="00F1318D">
        <w:t xml:space="preserve"> </w:t>
      </w:r>
      <w:r w:rsidR="000A33A9">
        <w:t xml:space="preserve">module </w:t>
      </w:r>
      <w:r>
        <w:t xml:space="preserve">update. All model data-structures and algorithms are therefore always documented (at least minimally, with machine authored content), meaning model developers have a requirement to write </w:t>
      </w:r>
      <w:proofErr w:type="spellStart"/>
      <w:r>
        <w:t>customised</w:t>
      </w:r>
      <w:proofErr w:type="spellEnd"/>
      <w:r>
        <w:t xml:space="preserve"> documentation less frequently. Many of the features of our prototype software framework have the potential to be significantly enhanced through integration with evolving </w:t>
      </w:r>
      <w:proofErr w:type="gramStart"/>
      <w:r>
        <w:t>code</w:t>
      </w:r>
      <w:r w:rsidR="00397BA2">
        <w:t xml:space="preserve"> </w:t>
      </w:r>
      <w:r>
        <w:t xml:space="preserve"> and</w:t>
      </w:r>
      <w:proofErr w:type="gramEnd"/>
      <w:r>
        <w:t xml:space="preserve"> documentation authoring capabilities of large language models.</w:t>
      </w:r>
    </w:p>
    <w:p w:rsidR="00E875D8" w:rsidRDefault="00FC2679">
      <w:pPr>
        <w:pStyle w:val="BodyText"/>
      </w:pPr>
      <w:r>
        <w:t>Our software framework provides the outline of a technical solution to some of the challenges of open source CHEM development. However, better tools alone are insufficient and policy and institutional changes are also required. Reducing waste in research is a core responsibility of research funders [72] and funding the development of CHEMs that are not adequately understood, reused or updated is wasteful. Existing incentive structures for health economists generally do not promote facilitating peers to reuse their work and funding is rarely adequate to maintain an</w:t>
      </w:r>
      <w:r w:rsidR="00397BA2">
        <w:t>d</w:t>
      </w:r>
      <w:r>
        <w:t xml:space="preserve"> routinely update a model. Currently, it can take “an extraordinary amount of idealism” to commit to authoring and maintaining research software [73]. Previously recommended strategies for more beneficial health economic research investments include support for </w:t>
      </w:r>
      <w:proofErr w:type="spellStart"/>
      <w:r>
        <w:t>harmonised</w:t>
      </w:r>
      <w:proofErr w:type="spellEnd"/>
      <w:r>
        <w:t xml:space="preserve"> ethical standards for model development [12], methodological innovation to improve model transferability [74], networks of </w:t>
      </w:r>
      <w:proofErr w:type="spellStart"/>
      <w:r>
        <w:t>modellers</w:t>
      </w:r>
      <w:proofErr w:type="spellEnd"/>
      <w:r>
        <w:t xml:space="preserve"> working on common health conditions [75], and centralized infrastructure such as open source model repositories [5] and a standard platform for model implementations [22]. Development of software frameworks to support ethical CHEM implementations could enable and enhance each of these strategies.</w:t>
      </w:r>
    </w:p>
    <w:p w:rsidR="00E875D8" w:rsidRDefault="00FC2679">
      <w:pPr>
        <w:pStyle w:val="BodyText"/>
      </w:pPr>
      <w:r>
        <w:t>A future software framework for ethical CHEMs would ideally incorporate a base set of features useful to developers of computational models across all domains of public health</w:t>
      </w:r>
      <w:r w:rsidR="00397BA2">
        <w:t xml:space="preserve"> and health economics</w:t>
      </w:r>
      <w:r>
        <w:t xml:space="preserve">, with the capability for community-led extensions that are tailored to </w:t>
      </w:r>
      <w:r>
        <w:lastRenderedPageBreak/>
        <w:t xml:space="preserve">the needs of </w:t>
      </w:r>
      <w:proofErr w:type="spellStart"/>
      <w:r>
        <w:t>modellers</w:t>
      </w:r>
      <w:proofErr w:type="spellEnd"/>
      <w:r>
        <w:t xml:space="preserve"> focused on specific health-conditions. Such approaches will likely be important to ensure </w:t>
      </w:r>
      <w:r w:rsidR="00DD79F4">
        <w:t>a sufficient</w:t>
      </w:r>
      <w:r>
        <w:t xml:space="preserve"> potential user-base to make CHEM software frameworks sustainable.</w:t>
      </w:r>
    </w:p>
    <w:p w:rsidR="00E875D8" w:rsidRDefault="00FC2679">
      <w:pPr>
        <w:pStyle w:val="Heading1"/>
      </w:pPr>
      <w:bookmarkStart w:id="13" w:name="conclusion"/>
      <w:bookmarkEnd w:id="12"/>
      <w:r>
        <w:t>Conclusion</w:t>
      </w:r>
    </w:p>
    <w:p w:rsidR="007F7AC7" w:rsidRPr="00C611C3" w:rsidRDefault="00FC2679" w:rsidP="007F7AC7">
      <w:pPr>
        <w:pStyle w:val="Abstract"/>
        <w:rPr>
          <w:sz w:val="24"/>
          <w:szCs w:val="24"/>
        </w:rPr>
      </w:pPr>
      <w:r w:rsidRPr="00C611C3">
        <w:rPr>
          <w:sz w:val="24"/>
          <w:szCs w:val="24"/>
        </w:rPr>
        <w:t>We have identified criteria that can be used to systematically assess the extent to which the computational implementation of health economic models adheres to transparency, reusability and updatability criteria. We have developed a prototype software framework that can support the implementation of CHEMs that largely meet these criteria. Our framework can be used as a prototype for developing future software frameworks to support ethical implementation of CHEMs.</w:t>
      </w:r>
      <w:r w:rsidR="007F7AC7" w:rsidRPr="00C611C3">
        <w:rPr>
          <w:sz w:val="24"/>
          <w:szCs w:val="24"/>
        </w:rPr>
        <w:t xml:space="preserve"> </w:t>
      </w:r>
      <w:r w:rsidR="007F7AC7" w:rsidRPr="00C611C3">
        <w:rPr>
          <w:sz w:val="24"/>
          <w:szCs w:val="24"/>
        </w:rPr>
        <w:t>Resource constraints on ethical CHEM practice should be addressed by research funders.</w:t>
      </w:r>
    </w:p>
    <w:p w:rsidR="00E875D8" w:rsidRDefault="00E875D8">
      <w:pPr>
        <w:pStyle w:val="FirstParagraph"/>
      </w:pPr>
    </w:p>
    <w:p w:rsidR="00E875D8" w:rsidRDefault="00FC2679">
      <w:pPr>
        <w:pStyle w:val="Heading2"/>
      </w:pPr>
      <w:bookmarkStart w:id="14" w:name="acknowledgement"/>
      <w:r>
        <w:t>Acknowledgement</w:t>
      </w:r>
    </w:p>
    <w:p w:rsidR="00E875D8" w:rsidRDefault="00FC2679">
      <w:pPr>
        <w:pStyle w:val="FirstParagraph"/>
      </w:pPr>
      <w:r>
        <w:t>The authors would like to acknowledge the contribution of John Gillam who provided advisory input to this research.</w:t>
      </w:r>
    </w:p>
    <w:p w:rsidR="00E875D8" w:rsidRDefault="00FC2679">
      <w:pPr>
        <w:pStyle w:val="Heading2"/>
      </w:pPr>
      <w:bookmarkStart w:id="15" w:name="availability-of-data-and-materials"/>
      <w:bookmarkEnd w:id="14"/>
      <w:r>
        <w:t>Availability of data and materials</w:t>
      </w:r>
    </w:p>
    <w:p w:rsidR="00E875D8" w:rsidRDefault="00FC2679">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https://dataverse.harvard.edu/dataverse/ready4</w:t>
        </w:r>
      </w:hyperlink>
      <w:r>
        <w:t xml:space="preserve"> .</w:t>
      </w:r>
    </w:p>
    <w:p w:rsidR="00E875D8" w:rsidRDefault="00FC2679">
      <w:pPr>
        <w:pStyle w:val="Heading2"/>
      </w:pPr>
      <w:bookmarkStart w:id="16" w:name="ethics-approval"/>
      <w:bookmarkEnd w:id="15"/>
      <w:r>
        <w:t>Ethics approval</w:t>
      </w:r>
    </w:p>
    <w:p w:rsidR="00E875D8" w:rsidRDefault="00FC2679">
      <w:pPr>
        <w:pStyle w:val="FirstParagraph"/>
      </w:pPr>
      <w:r>
        <w:t>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rsidR="00E875D8" w:rsidRDefault="00FC2679">
      <w:pPr>
        <w:pStyle w:val="Heading2"/>
      </w:pPr>
      <w:bookmarkStart w:id="17" w:name="funding"/>
      <w:bookmarkEnd w:id="16"/>
      <w:r>
        <w:t>Funding</w:t>
      </w:r>
    </w:p>
    <w:p w:rsidR="00E875D8" w:rsidRDefault="00FC2679">
      <w:pPr>
        <w:pStyle w:val="FirstParagraph"/>
      </w:pPr>
      <w:r>
        <w:t xml:space="preserve">Software framework development was funded by </w:t>
      </w:r>
      <w:proofErr w:type="spellStart"/>
      <w:r>
        <w:t>Orygen</w:t>
      </w:r>
      <w:proofErr w:type="spellEnd"/>
      <w:r>
        <w:t xml:space="preserve">, VicHealth, Victoria University and an Australian Government Research Training Program (RTP) Scholarship. The utility mapping study used as a worked example was funded by the National Health and Medical Research Council (NHMRC, APP1076940), </w:t>
      </w:r>
      <w:proofErr w:type="spellStart"/>
      <w:r>
        <w:t>Orygen</w:t>
      </w:r>
      <w:proofErr w:type="spellEnd"/>
      <w:r>
        <w:t xml:space="preserve"> and headspace.</w:t>
      </w:r>
    </w:p>
    <w:p w:rsidR="00E875D8" w:rsidRDefault="00FC2679">
      <w:pPr>
        <w:pStyle w:val="Heading2"/>
      </w:pPr>
      <w:bookmarkStart w:id="18" w:name="conflict-of-interest"/>
      <w:bookmarkEnd w:id="17"/>
      <w:r>
        <w:lastRenderedPageBreak/>
        <w:t>Conflict of Interest</w:t>
      </w:r>
    </w:p>
    <w:p w:rsidR="00E875D8" w:rsidRDefault="00FC2679">
      <w:pPr>
        <w:pStyle w:val="FirstParagraph"/>
      </w:pPr>
      <w:r>
        <w:t>None declared.</w:t>
      </w:r>
    </w:p>
    <w:p w:rsidR="00E875D8" w:rsidRDefault="00FC2679">
      <w:r>
        <w:br w:type="page"/>
      </w:r>
    </w:p>
    <w:p w:rsidR="00E875D8" w:rsidRDefault="00FC2679">
      <w:pPr>
        <w:pStyle w:val="Heading1"/>
      </w:pPr>
      <w:bookmarkStart w:id="19" w:name="references"/>
      <w:bookmarkEnd w:id="13"/>
      <w:bookmarkEnd w:id="18"/>
      <w:r>
        <w:lastRenderedPageBreak/>
        <w:t>References</w:t>
      </w:r>
    </w:p>
    <w:p w:rsidR="00E875D8" w:rsidRDefault="00FC2679">
      <w:pPr>
        <w:pStyle w:val="Bibliography"/>
      </w:pPr>
      <w:bookmarkStart w:id="20" w:name="ref-wagstaff2012four"/>
      <w:bookmarkStart w:id="21"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rsidR="00E875D8" w:rsidRDefault="00FC2679">
      <w:pPr>
        <w:pStyle w:val="Bibliography"/>
      </w:pPr>
      <w:bookmarkStart w:id="22" w:name="ref-python2009"/>
      <w:bookmarkEnd w:id="20"/>
      <w:r>
        <w:t xml:space="preserve">2. </w:t>
      </w:r>
      <w:r>
        <w:tab/>
        <w:t xml:space="preserve">Van Rossum G, Drake FL. Python 3 reference manual. Scotts Valley, CA: CreateSpace; 2009. </w:t>
      </w:r>
    </w:p>
    <w:p w:rsidR="00E875D8" w:rsidRDefault="00FC2679">
      <w:pPr>
        <w:pStyle w:val="Bibliography"/>
      </w:pPr>
      <w:bookmarkStart w:id="23" w:name="ref-RCORE2022"/>
      <w:bookmarkEnd w:id="22"/>
      <w:r>
        <w:t xml:space="preserve">3. </w:t>
      </w:r>
      <w:r>
        <w:tab/>
        <w:t xml:space="preserve">R Core Team. R: A language and environment for statistical computing [Internet]. Vienna, Austria: R Foundation for Statistical Computing; 2022. Available: </w:t>
      </w:r>
      <w:hyperlink r:id="rId14">
        <w:r>
          <w:rPr>
            <w:rStyle w:val="Hyperlink"/>
          </w:rPr>
          <w:t>https://www.R-project.org/</w:t>
        </w:r>
      </w:hyperlink>
    </w:p>
    <w:p w:rsidR="00E875D8" w:rsidRDefault="00FC2679">
      <w:pPr>
        <w:pStyle w:val="Bibliography"/>
      </w:pPr>
      <w:bookmarkStart w:id="24" w:name="ref-incerti2019r"/>
      <w:bookmarkEnd w:id="23"/>
      <w:r>
        <w:t xml:space="preserve">4.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rsidR="00E875D8" w:rsidRDefault="00FC2679">
      <w:pPr>
        <w:pStyle w:val="Bibliography"/>
      </w:pPr>
      <w:bookmarkStart w:id="25" w:name="ref-Pouwels2022"/>
      <w:bookmarkEnd w:id="24"/>
      <w:r>
        <w:t xml:space="preserve">5. </w:t>
      </w:r>
      <w:r>
        <w:tab/>
      </w:r>
      <w:proofErr w:type="spellStart"/>
      <w:r>
        <w:t>Pouwels</w:t>
      </w:r>
      <w:proofErr w:type="spellEnd"/>
      <w:r>
        <w:t xml:space="preserve"> X, Sampson CJ, Arnold RJG. Opportunities and barriers to the development and use of open source health economic models: A survey. Value Health. 2022;25: 473–479. doi:</w:t>
      </w:r>
      <w:hyperlink r:id="rId15">
        <w:r>
          <w:rPr>
            <w:rStyle w:val="Hyperlink"/>
          </w:rPr>
          <w:t>10.1016/j.jval.2021.10.001</w:t>
        </w:r>
      </w:hyperlink>
    </w:p>
    <w:p w:rsidR="00E875D8" w:rsidRDefault="00FC2679">
      <w:pPr>
        <w:pStyle w:val="Bibliography"/>
      </w:pPr>
      <w:bookmarkStart w:id="26" w:name="ref-Feenstra2022"/>
      <w:bookmarkEnd w:id="25"/>
      <w:r>
        <w:t xml:space="preserve">6.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6">
        <w:r>
          <w:rPr>
            <w:rStyle w:val="Hyperlink"/>
          </w:rPr>
          <w:t>10.1007/s40273-021-01110-w</w:t>
        </w:r>
      </w:hyperlink>
    </w:p>
    <w:p w:rsidR="00E875D8" w:rsidRDefault="00FC2679">
      <w:pPr>
        <w:pStyle w:val="Bibliography"/>
      </w:pPr>
      <w:bookmarkStart w:id="27" w:name="ref-Emerson2019"/>
      <w:bookmarkEnd w:id="26"/>
      <w:r>
        <w:t xml:space="preserve">7.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17">
        <w:r>
          <w:rPr>
            <w:rStyle w:val="Hyperlink"/>
          </w:rPr>
          <w:t>10.1007/s40273-019-00796-3</w:t>
        </w:r>
      </w:hyperlink>
    </w:p>
    <w:p w:rsidR="00E875D8" w:rsidRDefault="00FC2679">
      <w:pPr>
        <w:pStyle w:val="Bibliography"/>
      </w:pPr>
      <w:bookmarkStart w:id="28" w:name="ref-myllarniemi2018development"/>
      <w:bookmarkEnd w:id="27"/>
      <w:r>
        <w:t xml:space="preserve">8.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rsidR="00E875D8" w:rsidRDefault="00FC2679">
      <w:pPr>
        <w:pStyle w:val="Bibliography"/>
      </w:pPr>
      <w:bookmarkStart w:id="29" w:name="ref-edwin2014software"/>
      <w:bookmarkEnd w:id="28"/>
      <w:r>
        <w:t xml:space="preserve">9. </w:t>
      </w:r>
      <w:r>
        <w:tab/>
        <w:t xml:space="preserve">Edwin NM. Software frameworks, architectural and design patterns. Journal of Software Engineering and Applications. Scientific Research Publishing; 2014;2014. </w:t>
      </w:r>
    </w:p>
    <w:p w:rsidR="00E875D8" w:rsidRDefault="00FC2679">
      <w:pPr>
        <w:pStyle w:val="Bibliography"/>
      </w:pPr>
      <w:bookmarkStart w:id="30" w:name="ref-PyTorch2019"/>
      <w:bookmarkEnd w:id="29"/>
      <w:r>
        <w:t xml:space="preserve">10.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xml:space="preserve">: An imperative style, high-performance deep learning library. Proceedings of the 33rd international conference on neural information processing systems. Red Hook, NY, USA: Curran Associates Inc.; 2019. </w:t>
      </w:r>
    </w:p>
    <w:p w:rsidR="00E875D8" w:rsidRDefault="00FC2679">
      <w:pPr>
        <w:pStyle w:val="Bibliography"/>
      </w:pPr>
      <w:bookmarkStart w:id="31" w:name="ref-alarid2019need"/>
      <w:bookmarkEnd w:id="30"/>
      <w:r>
        <w:t xml:space="preserve">11.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Pharmacoeconomics. Springer; 2019;37: 1329–1339. </w:t>
      </w:r>
    </w:p>
    <w:p w:rsidR="00E875D8" w:rsidRDefault="00FC2679">
      <w:pPr>
        <w:pStyle w:val="Bibliography"/>
      </w:pPr>
      <w:bookmarkStart w:id="32" w:name="ref-10.3389/fpubh.2017.00068"/>
      <w:bookmarkEnd w:id="31"/>
      <w:r>
        <w:t xml:space="preserve">12. </w:t>
      </w:r>
      <w:r>
        <w:tab/>
        <w:t>Boden LA, McKendrick IJ. Model-based policymaking: A framework to promote ethical “good practice” in mathematical modeling for public health policymaking. Frontiers in Public Health. 2017;5. doi:</w:t>
      </w:r>
      <w:hyperlink r:id="rId18">
        <w:r>
          <w:rPr>
            <w:rStyle w:val="Hyperlink"/>
          </w:rPr>
          <w:t>10.3389/fpubh.2017.00068</w:t>
        </w:r>
      </w:hyperlink>
    </w:p>
    <w:p w:rsidR="00E875D8" w:rsidRDefault="00FC2679">
      <w:pPr>
        <w:pStyle w:val="Bibliography"/>
      </w:pPr>
      <w:bookmarkStart w:id="33" w:name="ref-calder2018computational"/>
      <w:bookmarkEnd w:id="32"/>
      <w:r>
        <w:lastRenderedPageBreak/>
        <w:t xml:space="preserve">13.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rsidR="00E875D8" w:rsidRDefault="00FC2679">
      <w:pPr>
        <w:pStyle w:val="Bibliography"/>
      </w:pPr>
      <w:bookmarkStart w:id="34" w:name="ref-ruparelia2010software"/>
      <w:bookmarkEnd w:id="33"/>
      <w:r>
        <w:t xml:space="preserve">14. </w:t>
      </w:r>
      <w:r>
        <w:tab/>
      </w:r>
      <w:proofErr w:type="spellStart"/>
      <w:r>
        <w:t>Ruparelia</w:t>
      </w:r>
      <w:proofErr w:type="spellEnd"/>
      <w:r>
        <w:t xml:space="preserve"> NB. Software development lifecycle models. ACM SIGSOFT Software Engineering Notes. ACM New York, NY, USA; 2010;35: 8–13. </w:t>
      </w:r>
    </w:p>
    <w:p w:rsidR="00E875D8" w:rsidRDefault="00FC2679">
      <w:pPr>
        <w:pStyle w:val="Bibliography"/>
      </w:pPr>
      <w:bookmarkStart w:id="35" w:name="ref-thompson2022escape"/>
      <w:bookmarkEnd w:id="34"/>
      <w:r>
        <w:t xml:space="preserve">15. </w:t>
      </w:r>
      <w:r>
        <w:tab/>
        <w:t xml:space="preserve">Thompson E. Escape from model land: How mathematical models can lead us astray and what we can do about it. New </w:t>
      </w:r>
      <w:proofErr w:type="spellStart"/>
      <w:r>
        <w:t>Yourk</w:t>
      </w:r>
      <w:proofErr w:type="spellEnd"/>
      <w:r>
        <w:t xml:space="preserve">: Basic Books; 2022. </w:t>
      </w:r>
    </w:p>
    <w:p w:rsidR="00E875D8" w:rsidRDefault="00FC2679">
      <w:pPr>
        <w:pStyle w:val="Bibliography"/>
      </w:pPr>
      <w:bookmarkStart w:id="36" w:name="ref-duckett2022journey"/>
      <w:bookmarkEnd w:id="35"/>
      <w:r>
        <w:t xml:space="preserve">16. </w:t>
      </w:r>
      <w:r>
        <w:tab/>
        <w:t xml:space="preserve">Duckett S. A journey towards a theology of health economics and healthcare funding. Theology. SAGE Publications Sage UK: London, England; 2022;125: 326–334. </w:t>
      </w:r>
    </w:p>
    <w:p w:rsidR="00E875D8" w:rsidRDefault="00FC2679">
      <w:pPr>
        <w:pStyle w:val="Bibliography"/>
      </w:pPr>
      <w:bookmarkStart w:id="37" w:name="ref-HARVARD2020112975"/>
      <w:bookmarkEnd w:id="36"/>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19">
        <w:r>
          <w:rPr>
            <w:rStyle w:val="Hyperlink"/>
          </w:rPr>
          <w:t>https</w:t>
        </w:r>
        <w:proofErr w:type="spellEnd"/>
        <w:r>
          <w:rPr>
            <w:rStyle w:val="Hyperlink"/>
          </w:rPr>
          <w:t>://doi.org/10.1016/j.socscimed.2020.112975</w:t>
        </w:r>
      </w:hyperlink>
    </w:p>
    <w:p w:rsidR="00E875D8" w:rsidRDefault="00FC2679">
      <w:pPr>
        <w:pStyle w:val="Bibliography"/>
      </w:pPr>
      <w:bookmarkStart w:id="38" w:name="ref-Erdemir2020"/>
      <w:bookmarkEnd w:id="37"/>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20">
        <w:r>
          <w:rPr>
            <w:rStyle w:val="Hyperlink"/>
          </w:rPr>
          <w:t>10.1186/s12967-020-02540-4</w:t>
        </w:r>
      </w:hyperlink>
    </w:p>
    <w:p w:rsidR="00E875D8" w:rsidRDefault="00FC2679">
      <w:pPr>
        <w:pStyle w:val="Bibliography"/>
      </w:pPr>
      <w:bookmarkStart w:id="39" w:name="ref-thompson2019escape"/>
      <w:bookmarkEnd w:id="38"/>
      <w:r>
        <w:t xml:space="preserve">19. </w:t>
      </w:r>
      <w:r>
        <w:tab/>
        <w:t xml:space="preserve">Thompson EL, Smith LA. Escape from model-land. Economics. De Gruyter Open Access; 2019;13. </w:t>
      </w:r>
    </w:p>
    <w:p w:rsidR="00E875D8" w:rsidRDefault="00FC2679">
      <w:pPr>
        <w:pStyle w:val="Bibliography"/>
      </w:pPr>
      <w:bookmarkStart w:id="40" w:name="ref-carletto_zanuzzi_sammarco_russo_2020"/>
      <w:bookmarkEnd w:id="39"/>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1">
        <w:r>
          <w:rPr>
            <w:rStyle w:val="Hyperlink"/>
          </w:rPr>
          <w:t>10.1017/S0266462320000641</w:t>
        </w:r>
      </w:hyperlink>
    </w:p>
    <w:p w:rsidR="00E875D8" w:rsidRDefault="00FC2679">
      <w:pPr>
        <w:pStyle w:val="Bibliography"/>
      </w:pPr>
      <w:bookmarkStart w:id="41" w:name="ref-WONDER2015467"/>
      <w:bookmarkEnd w:id="40"/>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2">
        <w:r>
          <w:rPr>
            <w:rStyle w:val="Hyperlink"/>
          </w:rPr>
          <w:t>https</w:t>
        </w:r>
        <w:proofErr w:type="spellEnd"/>
        <w:r>
          <w:rPr>
            <w:rStyle w:val="Hyperlink"/>
          </w:rPr>
          <w:t>://doi.org/10.1016/j.jval.2015.02.011</w:t>
        </w:r>
      </w:hyperlink>
    </w:p>
    <w:p w:rsidR="00E875D8" w:rsidRDefault="00FC2679">
      <w:pPr>
        <w:pStyle w:val="Bibliography"/>
      </w:pPr>
      <w:bookmarkStart w:id="42" w:name="ref-Ghabri2019"/>
      <w:bookmarkEnd w:id="41"/>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3">
        <w:r>
          <w:rPr>
            <w:rStyle w:val="Hyperlink"/>
          </w:rPr>
          <w:t>10.1007/s40273-018-0711-9</w:t>
        </w:r>
      </w:hyperlink>
    </w:p>
    <w:p w:rsidR="00E875D8" w:rsidRDefault="00FC2679">
      <w:pPr>
        <w:pStyle w:val="Bibliography"/>
      </w:pPr>
      <w:bookmarkStart w:id="43" w:name="ref-kolovos2017model"/>
      <w:bookmarkEnd w:id="42"/>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rsidR="00E875D8" w:rsidRDefault="00FC2679">
      <w:pPr>
        <w:pStyle w:val="Bibliography"/>
      </w:pPr>
      <w:bookmarkStart w:id="44" w:name="ref-haji2013model"/>
      <w:bookmarkEnd w:id="43"/>
      <w:r>
        <w:t xml:space="preserve">24. </w:t>
      </w:r>
      <w:r>
        <w:tab/>
        <w:t xml:space="preserve">Haji Ali </w:t>
      </w:r>
      <w:proofErr w:type="spellStart"/>
      <w:r>
        <w:t>Afzali</w:t>
      </w:r>
      <w:proofErr w:type="spellEnd"/>
      <w:r>
        <w:t xml:space="preserve"> H, Gray J, Karnon J. Model performance evaluation (validation and calibration) in model-based studies of therapeutic interventions for cardiovascular diseases: A review and suggested reporting framework. Applied health economics and health policy. Springer; 2013;11: 85–93. </w:t>
      </w:r>
    </w:p>
    <w:p w:rsidR="00E875D8" w:rsidRDefault="00FC2679">
      <w:pPr>
        <w:pStyle w:val="Bibliography"/>
      </w:pPr>
      <w:bookmarkStart w:id="45" w:name="ref-Jalali2021"/>
      <w:bookmarkEnd w:id="44"/>
      <w:r>
        <w:lastRenderedPageBreak/>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4">
        <w:r>
          <w:rPr>
            <w:rStyle w:val="Hyperlink"/>
          </w:rPr>
          <w:t>10.1093/</w:t>
        </w:r>
        <w:proofErr w:type="spellStart"/>
        <w:r>
          <w:rPr>
            <w:rStyle w:val="Hyperlink"/>
          </w:rPr>
          <w:t>epirev</w:t>
        </w:r>
        <w:proofErr w:type="spellEnd"/>
        <w:r>
          <w:rPr>
            <w:rStyle w:val="Hyperlink"/>
          </w:rPr>
          <w:t>/mxab006</w:t>
        </w:r>
      </w:hyperlink>
    </w:p>
    <w:p w:rsidR="00E875D8" w:rsidRDefault="00FC2679">
      <w:pPr>
        <w:pStyle w:val="Bibliography"/>
      </w:pPr>
      <w:bookmarkStart w:id="46" w:name="ref-McManus2019"/>
      <w:bookmarkEnd w:id="45"/>
      <w:r>
        <w:t xml:space="preserve">26.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5">
        <w:r>
          <w:rPr>
            <w:rStyle w:val="Hyperlink"/>
          </w:rPr>
          <w:t>10.1007/s40273-019-00836-y</w:t>
        </w:r>
      </w:hyperlink>
    </w:p>
    <w:p w:rsidR="00E875D8" w:rsidRDefault="00FC2679">
      <w:pPr>
        <w:pStyle w:val="Bibliography"/>
      </w:pPr>
      <w:bookmarkStart w:id="47" w:name="ref-Bermejo2017"/>
      <w:bookmarkEnd w:id="46"/>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6">
        <w:r>
          <w:rPr>
            <w:rStyle w:val="Hyperlink"/>
          </w:rPr>
          <w:t>10.1007/s40273-017-0553-x</w:t>
        </w:r>
      </w:hyperlink>
    </w:p>
    <w:p w:rsidR="00E875D8" w:rsidRDefault="00FC2679">
      <w:pPr>
        <w:pStyle w:val="Bibliography"/>
      </w:pPr>
      <w:bookmarkStart w:id="48" w:name="ref-Radeva2020"/>
      <w:bookmarkEnd w:id="47"/>
      <w:r>
        <w:t xml:space="preserve">28.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7">
        <w:r>
          <w:rPr>
            <w:rStyle w:val="Hyperlink"/>
          </w:rPr>
          <w:t>10.1017/S0266462320000422</w:t>
        </w:r>
      </w:hyperlink>
    </w:p>
    <w:p w:rsidR="00E875D8" w:rsidRDefault="00FC2679">
      <w:pPr>
        <w:pStyle w:val="Bibliography"/>
      </w:pPr>
      <w:bookmarkStart w:id="49" w:name="ref-Arnold2010"/>
      <w:bookmarkEnd w:id="48"/>
      <w:r>
        <w:t xml:space="preserve">29.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rsidR="00E875D8" w:rsidRDefault="00FC2679">
      <w:pPr>
        <w:pStyle w:val="Bibliography"/>
      </w:pPr>
      <w:bookmarkStart w:id="50" w:name="ref-garcia2021cost"/>
      <w:bookmarkEnd w:id="49"/>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rsidR="00E875D8" w:rsidRDefault="00FC2679">
      <w:pPr>
        <w:pStyle w:val="Bibliography"/>
      </w:pPr>
      <w:bookmarkStart w:id="51" w:name="ref-Sampson2017"/>
      <w:bookmarkEnd w:id="50"/>
      <w:r>
        <w:t xml:space="preserve">31. </w:t>
      </w:r>
      <w:r>
        <w:tab/>
        <w:t xml:space="preserve">Sampson CJ, Wrightson T. Model registration: A call to action. </w:t>
      </w:r>
      <w:proofErr w:type="spellStart"/>
      <w:r>
        <w:t>PharmacoEconomics</w:t>
      </w:r>
      <w:proofErr w:type="spellEnd"/>
      <w:r>
        <w:t xml:space="preserve"> - Open. 2017;1: 73–77. doi:</w:t>
      </w:r>
      <w:hyperlink r:id="rId29">
        <w:r>
          <w:rPr>
            <w:rStyle w:val="Hyperlink"/>
          </w:rPr>
          <w:t>10.1007/s41669-017-0019-2</w:t>
        </w:r>
      </w:hyperlink>
    </w:p>
    <w:p w:rsidR="00E875D8" w:rsidRDefault="00FC2679">
      <w:pPr>
        <w:pStyle w:val="Bibliography"/>
      </w:pPr>
      <w:bookmarkStart w:id="52" w:name="ref-Eddy2012"/>
      <w:bookmarkEnd w:id="51"/>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0">
        <w:r>
          <w:rPr>
            <w:rStyle w:val="Hyperlink"/>
          </w:rPr>
          <w:t>10.1177/0272989x12454579</w:t>
        </w:r>
      </w:hyperlink>
    </w:p>
    <w:p w:rsidR="00E875D8" w:rsidRDefault="00FC2679">
      <w:pPr>
        <w:pStyle w:val="Bibliography"/>
      </w:pPr>
      <w:bookmarkStart w:id="53" w:name="ref-Zenodo2013"/>
      <w:bookmarkEnd w:id="52"/>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1">
        <w:r>
          <w:rPr>
            <w:rStyle w:val="Hyperlink"/>
          </w:rPr>
          <w:t>10.25495/7GXK-RD71</w:t>
        </w:r>
      </w:hyperlink>
    </w:p>
    <w:p w:rsidR="00E875D8" w:rsidRDefault="00FC2679">
      <w:pPr>
        <w:pStyle w:val="Bibliography"/>
      </w:pPr>
      <w:bookmarkStart w:id="54" w:name="ref-Dataverse2007"/>
      <w:bookmarkEnd w:id="53"/>
      <w:r>
        <w:t xml:space="preserve">34. </w:t>
      </w:r>
      <w:r>
        <w:tab/>
        <w:t xml:space="preserve">Quantitative Social Science I for. </w:t>
      </w:r>
      <w:proofErr w:type="spellStart"/>
      <w:r>
        <w:t>Dataverse</w:t>
      </w:r>
      <w:proofErr w:type="spellEnd"/>
      <w:r>
        <w:t xml:space="preserve"> [Internet]. Harvard University; 2007. Available: </w:t>
      </w:r>
      <w:hyperlink r:id="rId32">
        <w:r>
          <w:rPr>
            <w:rStyle w:val="Hyperlink"/>
          </w:rPr>
          <w:t>https://dataverse.org</w:t>
        </w:r>
      </w:hyperlink>
    </w:p>
    <w:p w:rsidR="00E875D8" w:rsidRDefault="00FC2679">
      <w:pPr>
        <w:pStyle w:val="Bibliography"/>
      </w:pPr>
      <w:bookmarkStart w:id="55" w:name="ref-techver2019"/>
      <w:bookmarkEnd w:id="54"/>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3">
        <w:r>
          <w:rPr>
            <w:rStyle w:val="Hyperlink"/>
          </w:rPr>
          <w:t>10.1007/s40273-019-00844-y</w:t>
        </w:r>
      </w:hyperlink>
    </w:p>
    <w:p w:rsidR="00E875D8" w:rsidRDefault="00FC2679">
      <w:pPr>
        <w:pStyle w:val="Bibliography"/>
      </w:pPr>
      <w:bookmarkStart w:id="56" w:name="ref-ERICWONG2010188"/>
      <w:bookmarkEnd w:id="55"/>
      <w:r>
        <w:t xml:space="preserve">36. </w:t>
      </w:r>
      <w:r>
        <w:tab/>
        <w:t xml:space="preserve">Eric Wong W, </w:t>
      </w:r>
      <w:proofErr w:type="spellStart"/>
      <w:r>
        <w:t>Debroy</w:t>
      </w:r>
      <w:proofErr w:type="spellEnd"/>
      <w:r>
        <w:t xml:space="preserve"> V, Choi B. A family of code coverage-based heuristics for effective fault localization. Journal of Systems and Software. 2010;83: 188–208. </w:t>
      </w:r>
      <w:proofErr w:type="spellStart"/>
      <w:r>
        <w:t>doi:</w:t>
      </w:r>
      <w:hyperlink r:id="rId34">
        <w:r>
          <w:rPr>
            <w:rStyle w:val="Hyperlink"/>
          </w:rPr>
          <w:t>https</w:t>
        </w:r>
        <w:proofErr w:type="spellEnd"/>
        <w:r>
          <w:rPr>
            <w:rStyle w:val="Hyperlink"/>
          </w:rPr>
          <w:t>://doi.org/10.1016/j.jss.2009.09.037</w:t>
        </w:r>
      </w:hyperlink>
    </w:p>
    <w:p w:rsidR="00E875D8" w:rsidRDefault="00FC2679">
      <w:pPr>
        <w:pStyle w:val="Bibliography"/>
      </w:pPr>
      <w:bookmarkStart w:id="57" w:name="ref-martin2003agile"/>
      <w:bookmarkEnd w:id="56"/>
      <w:r>
        <w:t xml:space="preserve">37. </w:t>
      </w:r>
      <w:r>
        <w:tab/>
        <w:t xml:space="preserve">Martin RC. Agile software development: Principles, patterns, and practices. Prentice Hall PTR; 2003. </w:t>
      </w:r>
    </w:p>
    <w:p w:rsidR="00E875D8" w:rsidRDefault="00FC2679">
      <w:pPr>
        <w:pStyle w:val="Bibliography"/>
      </w:pPr>
      <w:bookmarkStart w:id="58" w:name="ref-github2007"/>
      <w:bookmarkEnd w:id="57"/>
      <w:r>
        <w:lastRenderedPageBreak/>
        <w:t xml:space="preserve">38. </w:t>
      </w:r>
      <w:r>
        <w:tab/>
      </w:r>
      <w:proofErr w:type="spellStart"/>
      <w:r>
        <w:t>github</w:t>
      </w:r>
      <w:proofErr w:type="spellEnd"/>
      <w:r>
        <w:t xml:space="preserve">. GitHub [Internet]. 2007. Available: </w:t>
      </w:r>
      <w:hyperlink r:id="rId35">
        <w:r>
          <w:rPr>
            <w:rStyle w:val="Hyperlink"/>
          </w:rPr>
          <w:t>https://github.com/</w:t>
        </w:r>
      </w:hyperlink>
    </w:p>
    <w:p w:rsidR="00E875D8" w:rsidRDefault="00FC2679">
      <w:pPr>
        <w:pStyle w:val="Bibliography"/>
      </w:pPr>
      <w:bookmarkStart w:id="59" w:name="ref-RN39"/>
      <w:bookmarkEnd w:id="58"/>
      <w:r>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6">
        <w:r>
          <w:rPr>
            <w:rStyle w:val="Hyperlink"/>
          </w:rPr>
          <w:t>10.2165/11313670-000000000-00000</w:t>
        </w:r>
      </w:hyperlink>
    </w:p>
    <w:p w:rsidR="00E875D8" w:rsidRDefault="00FC2679">
      <w:pPr>
        <w:pStyle w:val="Bibliography"/>
      </w:pPr>
      <w:bookmarkStart w:id="60" w:name="ref-Wilson_2017"/>
      <w:bookmarkEnd w:id="59"/>
      <w:r>
        <w:t xml:space="preserve">40. </w:t>
      </w:r>
      <w:r>
        <w:tab/>
        <w:t>Wilson JAC Greg AND Bryan. Good enough practices in scientific computing. PLOS Computational Biology. Public Library of Science; 2017;13: 1–20. doi:</w:t>
      </w:r>
      <w:hyperlink r:id="rId37">
        <w:r>
          <w:rPr>
            <w:rStyle w:val="Hyperlink"/>
          </w:rPr>
          <w:t>10.1371/journal.pcbi.1005510</w:t>
        </w:r>
      </w:hyperlink>
    </w:p>
    <w:p w:rsidR="00E875D8" w:rsidRDefault="00FC2679">
      <w:pPr>
        <w:pStyle w:val="Bibliography"/>
      </w:pPr>
      <w:bookmarkStart w:id="61" w:name="ref-pan2021modular"/>
      <w:bookmarkEnd w:id="60"/>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rsidR="00E875D8" w:rsidRDefault="00FC2679">
      <w:pPr>
        <w:pStyle w:val="Bibliography"/>
      </w:pPr>
      <w:bookmarkStart w:id="62" w:name="ref-8717448"/>
      <w:bookmarkEnd w:id="61"/>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38">
        <w:r>
          <w:rPr>
            <w:rStyle w:val="Hyperlink"/>
          </w:rPr>
          <w:t>10.1109/JEEIT.2019.8717448</w:t>
        </w:r>
      </w:hyperlink>
    </w:p>
    <w:p w:rsidR="00E875D8" w:rsidRDefault="00FC2679">
      <w:pPr>
        <w:pStyle w:val="Bibliography"/>
      </w:pPr>
      <w:bookmarkStart w:id="63" w:name="ref-copyleft2022"/>
      <w:bookmarkEnd w:id="62"/>
      <w:r>
        <w:t xml:space="preserve">43. </w:t>
      </w:r>
      <w:r>
        <w:tab/>
        <w:t xml:space="preserve">Foundation TFS. What is copyleft? [Internet]. Available: </w:t>
      </w:r>
      <w:hyperlink r:id="rId39">
        <w:r>
          <w:rPr>
            <w:rStyle w:val="Hyperlink"/>
          </w:rPr>
          <w:t>https://www.gnu.org/copyleft/</w:t>
        </w:r>
      </w:hyperlink>
    </w:p>
    <w:p w:rsidR="00E875D8" w:rsidRDefault="00FC2679">
      <w:pPr>
        <w:pStyle w:val="Bibliography"/>
      </w:pPr>
      <w:bookmarkStart w:id="64" w:name="ref-Jenkins2021"/>
      <w:bookmarkEnd w:id="63"/>
      <w:r>
        <w:t xml:space="preserve">44.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0">
        <w:r>
          <w:rPr>
            <w:rStyle w:val="Hyperlink"/>
          </w:rPr>
          <w:t>10.1186/s41512-020-00090-3</w:t>
        </w:r>
      </w:hyperlink>
    </w:p>
    <w:p w:rsidR="00E875D8" w:rsidRDefault="00FC2679">
      <w:pPr>
        <w:pStyle w:val="Bibliography"/>
      </w:pPr>
      <w:bookmarkStart w:id="65" w:name="ref-info:doi/10.2196/20028"/>
      <w:bookmarkEnd w:id="64"/>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1">
        <w:r>
          <w:rPr>
            <w:rStyle w:val="Hyperlink"/>
          </w:rPr>
          <w:t>10.2196/20028</w:t>
        </w:r>
      </w:hyperlink>
    </w:p>
    <w:p w:rsidR="00E875D8" w:rsidRDefault="00FC2679">
      <w:pPr>
        <w:pStyle w:val="Bibliography"/>
      </w:pPr>
      <w:bookmarkStart w:id="66" w:name="ref-MERGEL2015464"/>
      <w:bookmarkEnd w:id="65"/>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2">
        <w:r>
          <w:rPr>
            <w:rStyle w:val="Hyperlink"/>
          </w:rPr>
          <w:t>https</w:t>
        </w:r>
        <w:proofErr w:type="spellEnd"/>
        <w:r>
          <w:rPr>
            <w:rStyle w:val="Hyperlink"/>
          </w:rPr>
          <w:t>://doi.org/10.1016/j.giq.2015.09.004</w:t>
        </w:r>
      </w:hyperlink>
    </w:p>
    <w:p w:rsidR="00E875D8" w:rsidRDefault="00FC2679">
      <w:pPr>
        <w:pStyle w:val="Bibliography"/>
      </w:pPr>
      <w:bookmarkStart w:id="67" w:name="ref-CI2017"/>
      <w:bookmarkEnd w:id="66"/>
      <w:r>
        <w:t xml:space="preserve">47. </w:t>
      </w:r>
      <w:r>
        <w:tab/>
        <w:t>Shahin M, Ali Babar M, Zhu L. Continuous integration, delivery and deployment: A systematic review on approaches, tools, challenges and practices. IEEE Access. 2017;5: 3909–3943. doi:</w:t>
      </w:r>
      <w:hyperlink r:id="rId43">
        <w:r>
          <w:rPr>
            <w:rStyle w:val="Hyperlink"/>
          </w:rPr>
          <w:t>10.1109/ACCESS.2017.2685629</w:t>
        </w:r>
      </w:hyperlink>
    </w:p>
    <w:p w:rsidR="00E875D8" w:rsidRDefault="00FC2679">
      <w:pPr>
        <w:pStyle w:val="Bibliography"/>
      </w:pPr>
      <w:bookmarkStart w:id="68" w:name="ref-zhou2016api"/>
      <w:bookmarkEnd w:id="67"/>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rsidR="00E875D8" w:rsidRDefault="00FC2679">
      <w:pPr>
        <w:pStyle w:val="Bibliography"/>
      </w:pPr>
      <w:bookmarkStart w:id="69" w:name="ref-barros2023empowering"/>
      <w:bookmarkEnd w:id="68"/>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E875D8" w:rsidRDefault="00FC2679">
      <w:pPr>
        <w:pStyle w:val="Bibliography"/>
      </w:pPr>
      <w:bookmarkStart w:id="70" w:name="ref-10.1214/13-STS452"/>
      <w:bookmarkEnd w:id="69"/>
      <w:r>
        <w:lastRenderedPageBreak/>
        <w:t xml:space="preserve">50. </w:t>
      </w:r>
      <w:r>
        <w:tab/>
        <w:t>Chambers JM. Object-Oriented Programming, Functional Programming and R. Statistical Science. Institute of Mathematical Statistics; 2014;29: 167–180. doi:</w:t>
      </w:r>
      <w:hyperlink r:id="rId44">
        <w:r>
          <w:rPr>
            <w:rStyle w:val="Hyperlink"/>
          </w:rPr>
          <w:t>10.1214/13-STS452</w:t>
        </w:r>
      </w:hyperlink>
    </w:p>
    <w:p w:rsidR="00E875D8" w:rsidRDefault="00FC2679">
      <w:pPr>
        <w:pStyle w:val="Bibliography"/>
      </w:pPr>
      <w:bookmarkStart w:id="71" w:name="ref-CRAN2022"/>
      <w:bookmarkEnd w:id="70"/>
      <w:r>
        <w:t xml:space="preserve">51. </w:t>
      </w:r>
      <w:r>
        <w:tab/>
        <w:t xml:space="preserve">Statistical Computing RF for. The comprehensive r archive network [Internet]. 2022. Available: </w:t>
      </w:r>
      <w:hyperlink r:id="rId45">
        <w:r>
          <w:rPr>
            <w:rStyle w:val="Hyperlink"/>
          </w:rPr>
          <w:t>https://cran.r-project.org</w:t>
        </w:r>
      </w:hyperlink>
    </w:p>
    <w:p w:rsidR="00E875D8" w:rsidRDefault="00FC2679">
      <w:pPr>
        <w:pStyle w:val="Bibliography"/>
      </w:pPr>
      <w:bookmarkStart w:id="72" w:name="ref-codecov_2022"/>
      <w:bookmarkEnd w:id="71"/>
      <w:r>
        <w:t xml:space="preserve">52. </w:t>
      </w:r>
      <w:r>
        <w:tab/>
      </w:r>
      <w:proofErr w:type="spellStart"/>
      <w:r>
        <w:t>Codecov</w:t>
      </w:r>
      <w:proofErr w:type="spellEnd"/>
      <w:r>
        <w:t xml:space="preserve"> [Internet]. Available: </w:t>
      </w:r>
      <w:hyperlink r:id="rId46">
        <w:r>
          <w:rPr>
            <w:rStyle w:val="Hyperlink"/>
          </w:rPr>
          <w:t>https://about.codecov.io/</w:t>
        </w:r>
      </w:hyperlink>
    </w:p>
    <w:p w:rsidR="00E875D8" w:rsidRDefault="00FC2679">
      <w:pPr>
        <w:pStyle w:val="Bibliography"/>
      </w:pPr>
      <w:bookmarkStart w:id="73" w:name="ref-hugo_2023"/>
      <w:bookmarkEnd w:id="72"/>
      <w:r>
        <w:t xml:space="preserve">53. </w:t>
      </w:r>
      <w:r>
        <w:tab/>
        <w:t xml:space="preserve">Hugo: The world’s fastest framework for building websites [Internet]. Available: </w:t>
      </w:r>
      <w:hyperlink r:id="rId47">
        <w:r>
          <w:rPr>
            <w:rStyle w:val="Hyperlink"/>
          </w:rPr>
          <w:t>https://gohugo.io</w:t>
        </w:r>
      </w:hyperlink>
    </w:p>
    <w:p w:rsidR="00E875D8" w:rsidRDefault="00FC2679">
      <w:pPr>
        <w:pStyle w:val="Bibliography"/>
      </w:pPr>
      <w:bookmarkStart w:id="74" w:name="ref-docsy_2023"/>
      <w:bookmarkEnd w:id="73"/>
      <w:r>
        <w:t xml:space="preserve">54. </w:t>
      </w:r>
      <w:r>
        <w:tab/>
      </w:r>
      <w:proofErr w:type="spellStart"/>
      <w:r>
        <w:t>Docsy</w:t>
      </w:r>
      <w:proofErr w:type="spellEnd"/>
      <w:r>
        <w:t xml:space="preserve"> [Internet]. Available: </w:t>
      </w:r>
      <w:hyperlink r:id="rId48">
        <w:r>
          <w:rPr>
            <w:rStyle w:val="Hyperlink"/>
          </w:rPr>
          <w:t>https://www.docsy.dev</w:t>
        </w:r>
      </w:hyperlink>
    </w:p>
    <w:p w:rsidR="00E875D8" w:rsidRDefault="00FC2679">
      <w:pPr>
        <w:pStyle w:val="Bibliography"/>
      </w:pPr>
      <w:bookmarkStart w:id="75" w:name="ref-algoliadocsearch_2023"/>
      <w:bookmarkEnd w:id="74"/>
      <w:r>
        <w:t xml:space="preserve">55. </w:t>
      </w:r>
      <w:r>
        <w:tab/>
      </w:r>
      <w:proofErr w:type="spellStart"/>
      <w:r>
        <w:t>Docsearch</w:t>
      </w:r>
      <w:proofErr w:type="spellEnd"/>
      <w:r>
        <w:t xml:space="preserve"> [Internet]. Available: </w:t>
      </w:r>
      <w:hyperlink r:id="rId49">
        <w:r>
          <w:rPr>
            <w:rStyle w:val="Hyperlink"/>
          </w:rPr>
          <w:t>https://docsearch.algolia.com</w:t>
        </w:r>
      </w:hyperlink>
    </w:p>
    <w:p w:rsidR="00E875D8" w:rsidRDefault="00FC2679">
      <w:pPr>
        <w:pStyle w:val="Bibliography"/>
      </w:pPr>
      <w:bookmarkStart w:id="76" w:name="ref-netlify_2023"/>
      <w:bookmarkEnd w:id="75"/>
      <w:r>
        <w:t xml:space="preserve">56. </w:t>
      </w:r>
      <w:r>
        <w:tab/>
      </w:r>
      <w:proofErr w:type="spellStart"/>
      <w:r>
        <w:t>Netlify</w:t>
      </w:r>
      <w:proofErr w:type="spellEnd"/>
      <w:r>
        <w:t xml:space="preserve"> [Internet]. Available: </w:t>
      </w:r>
      <w:hyperlink r:id="rId50">
        <w:r>
          <w:rPr>
            <w:rStyle w:val="Hyperlink"/>
          </w:rPr>
          <w:t>https://www.netlify.com</w:t>
        </w:r>
      </w:hyperlink>
    </w:p>
    <w:p w:rsidR="00E875D8" w:rsidRDefault="00FC2679">
      <w:pPr>
        <w:pStyle w:val="Bibliography"/>
      </w:pPr>
      <w:bookmarkStart w:id="77" w:name="ref-Hamilton2021.07.07.21260129"/>
      <w:bookmarkEnd w:id="76"/>
      <w:r>
        <w:t xml:space="preserve">57. </w:t>
      </w:r>
      <w:r>
        <w:tab/>
        <w:t xml:space="preserve">Hamilton MP, Gao CX, </w:t>
      </w:r>
      <w:proofErr w:type="spellStart"/>
      <w:r>
        <w:t>Filia</w:t>
      </w:r>
      <w:proofErr w:type="spellEnd"/>
      <w:r>
        <w:t xml:space="preserve"> KM, Menssink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51">
        <w:r>
          <w:rPr>
            <w:rStyle w:val="Hyperlink"/>
          </w:rPr>
          <w:t>10.1101/2021.07.07.21260129</w:t>
        </w:r>
      </w:hyperlink>
    </w:p>
    <w:p w:rsidR="00E875D8" w:rsidRDefault="00FC2679">
      <w:pPr>
        <w:pStyle w:val="Bibliography"/>
      </w:pPr>
      <w:bookmarkStart w:id="78" w:name="ref-hamilton_matthew_2022_6084467"/>
      <w:bookmarkEnd w:id="77"/>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2">
        <w:r>
          <w:rPr>
            <w:rStyle w:val="Hyperlink"/>
          </w:rPr>
          <w:t>10.5281/zenodo.6084467</w:t>
        </w:r>
      </w:hyperlink>
    </w:p>
    <w:p w:rsidR="00E875D8" w:rsidRDefault="00FC2679">
      <w:pPr>
        <w:pStyle w:val="Bibliography"/>
      </w:pPr>
      <w:bookmarkStart w:id="79" w:name="ref-hamilton_matthew_2022_6084824"/>
      <w:bookmarkEnd w:id="78"/>
      <w:r>
        <w:t xml:space="preserve">59.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3">
        <w:r>
          <w:rPr>
            <w:rStyle w:val="Hyperlink"/>
          </w:rPr>
          <w:t>10.5281/zenodo.6084824</w:t>
        </w:r>
      </w:hyperlink>
    </w:p>
    <w:p w:rsidR="00E875D8" w:rsidRDefault="00FC2679">
      <w:pPr>
        <w:pStyle w:val="Bibliography"/>
      </w:pPr>
      <w:bookmarkStart w:id="80" w:name="ref-hamilton_matthew_2022_6116701"/>
      <w:bookmarkEnd w:id="79"/>
      <w:r>
        <w:t xml:space="preserve">60. </w:t>
      </w:r>
      <w:r>
        <w:tab/>
        <w:t xml:space="preserve">Hamilton M, Gao C. specific: Specify Candidate Models for Representing Mental Health Systems [Internet]. </w:t>
      </w:r>
      <w:proofErr w:type="spellStart"/>
      <w:r>
        <w:t>Zenodo</w:t>
      </w:r>
      <w:proofErr w:type="spellEnd"/>
      <w:r>
        <w:t>; 2022. doi:</w:t>
      </w:r>
      <w:hyperlink r:id="rId54">
        <w:r>
          <w:rPr>
            <w:rStyle w:val="Hyperlink"/>
          </w:rPr>
          <w:t>10.5281/zenodo.6116701</w:t>
        </w:r>
      </w:hyperlink>
    </w:p>
    <w:p w:rsidR="00E875D8" w:rsidRDefault="00FC2679">
      <w:pPr>
        <w:pStyle w:val="Bibliography"/>
      </w:pPr>
      <w:bookmarkStart w:id="81" w:name="ref-gao_caroline_2022_6130155"/>
      <w:bookmarkEnd w:id="80"/>
      <w:r>
        <w:t xml:space="preserve">61. </w:t>
      </w:r>
      <w:r>
        <w:tab/>
        <w:t xml:space="preserve">Gao C, Hamilton M. TTU: Implement Transfer to Utility Mapping Algorithms [Internet]. </w:t>
      </w:r>
      <w:proofErr w:type="spellStart"/>
      <w:r>
        <w:t>Zenodo</w:t>
      </w:r>
      <w:proofErr w:type="spellEnd"/>
      <w:r>
        <w:t>; 2022. doi:</w:t>
      </w:r>
      <w:hyperlink r:id="rId55">
        <w:r>
          <w:rPr>
            <w:rStyle w:val="Hyperlink"/>
          </w:rPr>
          <w:t>10.5281/zenodo.6130155</w:t>
        </w:r>
      </w:hyperlink>
    </w:p>
    <w:p w:rsidR="00E875D8" w:rsidRDefault="00FC2679">
      <w:pPr>
        <w:pStyle w:val="Bibliography"/>
      </w:pPr>
      <w:bookmarkStart w:id="82" w:name="ref-matthew_p_hamilton_2021_5646669"/>
      <w:bookmarkEnd w:id="81"/>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6">
        <w:r>
          <w:rPr>
            <w:rStyle w:val="Hyperlink"/>
          </w:rPr>
          <w:t>10.5281/zenodo.6210978</w:t>
        </w:r>
      </w:hyperlink>
    </w:p>
    <w:p w:rsidR="00E875D8" w:rsidRDefault="00FC2679">
      <w:pPr>
        <w:pStyle w:val="Bibliography"/>
      </w:pPr>
      <w:bookmarkStart w:id="83" w:name="ref-DVN/DKDIB0_2021"/>
      <w:bookmarkEnd w:id="82"/>
      <w:r>
        <w:t xml:space="preserve">63. </w:t>
      </w:r>
      <w:r>
        <w:tab/>
        <w:t xml:space="preserve">Hamilton MP, Gao CX, </w:t>
      </w:r>
      <w:proofErr w:type="spellStart"/>
      <w:r>
        <w:t>Filia</w:t>
      </w:r>
      <w:proofErr w:type="spellEnd"/>
      <w:r>
        <w:t xml:space="preserve"> KM, Menssink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7">
        <w:r>
          <w:rPr>
            <w:rStyle w:val="Hyperlink"/>
          </w:rPr>
          <w:t>10.7910/DVN/DKDIB0</w:t>
        </w:r>
      </w:hyperlink>
    </w:p>
    <w:p w:rsidR="00E875D8" w:rsidRDefault="00FC2679">
      <w:pPr>
        <w:pStyle w:val="Bibliography"/>
      </w:pPr>
      <w:bookmarkStart w:id="84" w:name="ref-DVN/HJXYKQ_2021"/>
      <w:bookmarkEnd w:id="83"/>
      <w:r>
        <w:t xml:space="preserve">64. </w:t>
      </w:r>
      <w:r>
        <w:tab/>
        <w:t xml:space="preserve">Hamilton MP. Synthetic (fake) youth mental health datasets and data dictionaries [Internet]. Harvard </w:t>
      </w:r>
      <w:proofErr w:type="spellStart"/>
      <w:r>
        <w:t>Dataverse</w:t>
      </w:r>
      <w:proofErr w:type="spellEnd"/>
      <w:r>
        <w:t>; 2021. doi:</w:t>
      </w:r>
      <w:hyperlink r:id="rId58">
        <w:r>
          <w:rPr>
            <w:rStyle w:val="Hyperlink"/>
          </w:rPr>
          <w:t>10.7910/DVN/HJXYKQ</w:t>
        </w:r>
      </w:hyperlink>
    </w:p>
    <w:p w:rsidR="00E875D8" w:rsidRDefault="00FC2679">
      <w:pPr>
        <w:pStyle w:val="Bibliography"/>
      </w:pPr>
      <w:bookmarkStart w:id="85" w:name="ref-hamilton_matthew_2022_6129906"/>
      <w:bookmarkEnd w:id="84"/>
      <w:r>
        <w:t xml:space="preserve">65.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59">
        <w:r>
          <w:rPr>
            <w:rStyle w:val="Hyperlink"/>
          </w:rPr>
          <w:t>10.5281/zenodo.6212704</w:t>
        </w:r>
      </w:hyperlink>
    </w:p>
    <w:p w:rsidR="00E875D8" w:rsidRDefault="00FC2679">
      <w:pPr>
        <w:pStyle w:val="Bibliography"/>
      </w:pPr>
      <w:bookmarkStart w:id="86" w:name="ref-hamilton_matthew_2022_6416330"/>
      <w:bookmarkEnd w:id="85"/>
      <w:r>
        <w:lastRenderedPageBreak/>
        <w:t xml:space="preserve">66.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0">
        <w:r>
          <w:rPr>
            <w:rStyle w:val="Hyperlink"/>
          </w:rPr>
          <w:t>10.5281/zenodo.6416330</w:t>
        </w:r>
      </w:hyperlink>
    </w:p>
    <w:p w:rsidR="00E875D8" w:rsidRDefault="00FC2679">
      <w:pPr>
        <w:pStyle w:val="Bibliography"/>
      </w:pPr>
      <w:bookmarkStart w:id="87" w:name="ref-hamilton_matthew_p_2022_6321821"/>
      <w:bookmarkEnd w:id="86"/>
      <w:r>
        <w:t xml:space="preserve">67. </w:t>
      </w:r>
      <w:r>
        <w:tab/>
        <w:t xml:space="preserve">Hamilton MP. aqol6dmap_fakes: Generate fake input data for an AQoL-6D mapping study [Internet]. </w:t>
      </w:r>
      <w:proofErr w:type="spellStart"/>
      <w:r>
        <w:t>Zenodo</w:t>
      </w:r>
      <w:proofErr w:type="spellEnd"/>
      <w:r>
        <w:t>; 2022. doi:</w:t>
      </w:r>
      <w:hyperlink r:id="rId61">
        <w:r>
          <w:rPr>
            <w:rStyle w:val="Hyperlink"/>
          </w:rPr>
          <w:t>10.5281/zenodo.6321821</w:t>
        </w:r>
      </w:hyperlink>
    </w:p>
    <w:p w:rsidR="00E875D8" w:rsidRDefault="00FC2679">
      <w:pPr>
        <w:pStyle w:val="Bibliography"/>
      </w:pPr>
      <w:bookmarkStart w:id="88" w:name="ref-hamilton_matthew_2022_6116385"/>
      <w:bookmarkEnd w:id="87"/>
      <w:r>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62">
        <w:r>
          <w:rPr>
            <w:rStyle w:val="Hyperlink"/>
          </w:rPr>
          <w:t>10.5281/zenodo.6116385</w:t>
        </w:r>
      </w:hyperlink>
    </w:p>
    <w:p w:rsidR="00E875D8" w:rsidRDefault="00FC2679">
      <w:pPr>
        <w:pStyle w:val="Bibliography"/>
      </w:pPr>
      <w:bookmarkStart w:id="89" w:name="ref-matthew_p_hamilton_2022_5976988"/>
      <w:bookmarkEnd w:id="88"/>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3">
        <w:r>
          <w:rPr>
            <w:rStyle w:val="Hyperlink"/>
          </w:rPr>
          <w:t>10.5281/zenodo.5976988</w:t>
        </w:r>
      </w:hyperlink>
    </w:p>
    <w:p w:rsidR="00E875D8" w:rsidRDefault="00FC2679">
      <w:pPr>
        <w:pStyle w:val="Bibliography"/>
      </w:pPr>
      <w:bookmarkStart w:id="90" w:name="ref-10.3389/fpubh.2022.899874"/>
      <w:bookmarkEnd w:id="89"/>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4">
        <w:r>
          <w:rPr>
            <w:rStyle w:val="Hyperlink"/>
          </w:rPr>
          <w:t>10.3389/fpubh.2022.899874</w:t>
        </w:r>
      </w:hyperlink>
    </w:p>
    <w:p w:rsidR="00E875D8" w:rsidRDefault="00FC2679">
      <w:pPr>
        <w:pStyle w:val="Bibliography"/>
      </w:pPr>
      <w:bookmarkStart w:id="91" w:name="ref-beck2001manifesto"/>
      <w:bookmarkEnd w:id="90"/>
      <w:r>
        <w:t xml:space="preserve">71. </w:t>
      </w:r>
      <w:r>
        <w:tab/>
        <w:t xml:space="preserve">Beck K, Beedle M, Van </w:t>
      </w:r>
      <w:proofErr w:type="spellStart"/>
      <w:r>
        <w:t>Bennekum</w:t>
      </w:r>
      <w:proofErr w:type="spellEnd"/>
      <w:r>
        <w:t xml:space="preserve"> A, Cockburn A, Cunningham W, Fowler M, et al. Manifesto for agile software development. Snowbird, UT; 2001; </w:t>
      </w:r>
    </w:p>
    <w:p w:rsidR="00E875D8" w:rsidRDefault="00FC2679">
      <w:pPr>
        <w:pStyle w:val="Bibliography"/>
      </w:pPr>
      <w:bookmarkStart w:id="92" w:name="ref-chalmers2014increase"/>
      <w:bookmarkEnd w:id="91"/>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E875D8" w:rsidRDefault="00FC2679">
      <w:pPr>
        <w:pStyle w:val="Bibliography"/>
      </w:pPr>
      <w:bookmarkStart w:id="93" w:name="ref-anzt2020environment"/>
      <w:bookmarkEnd w:id="92"/>
      <w:r>
        <w:t xml:space="preserve">73.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rsidR="00E875D8" w:rsidRDefault="00FC2679">
      <w:pPr>
        <w:pStyle w:val="Bibliography"/>
      </w:pPr>
      <w:bookmarkStart w:id="94" w:name="ref-craig2018taking"/>
      <w:bookmarkEnd w:id="93"/>
      <w:r>
        <w:t xml:space="preserve">74.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rsidR="00E875D8" w:rsidRDefault="00FC2679">
      <w:pPr>
        <w:pStyle w:val="Bibliography"/>
      </w:pPr>
      <w:bookmarkStart w:id="95" w:name="ref-Sampson2019"/>
      <w:bookmarkEnd w:id="94"/>
      <w:r>
        <w:t xml:space="preserve">75.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5">
        <w:r>
          <w:rPr>
            <w:rStyle w:val="Hyperlink"/>
          </w:rPr>
          <w:t>10.1007/s40273-019-00819-z</w:t>
        </w:r>
      </w:hyperlink>
    </w:p>
    <w:bookmarkEnd w:id="21"/>
    <w:bookmarkEnd w:id="95"/>
    <w:p w:rsidR="00182EE7" w:rsidRDefault="00FC2679">
      <w:pPr>
        <w:sectPr w:rsidR="00182EE7" w:rsidSect="00FC2679">
          <w:footerReference w:type="even" r:id="rId66"/>
          <w:footerReference w:type="default" r:id="rId67"/>
          <w:type w:val="continuous"/>
          <w:pgSz w:w="12240" w:h="15840"/>
          <w:pgMar w:top="1417" w:right="1417" w:bottom="1417" w:left="1417" w:header="720" w:footer="720" w:gutter="0"/>
          <w:cols w:space="720"/>
        </w:sectPr>
      </w:pPr>
      <w:r>
        <w:br w:type="page"/>
      </w:r>
    </w:p>
    <w:bookmarkEnd w:id="19"/>
    <w:p w:rsidR="00182EE7" w:rsidRDefault="00182EE7" w:rsidP="00182EE7">
      <w:pPr>
        <w:pStyle w:val="Heading2"/>
        <w:numPr>
          <w:ilvl w:val="0"/>
          <w:numId w:val="0"/>
        </w:numPr>
        <w:ind w:left="792"/>
      </w:pPr>
      <w:r>
        <w:lastRenderedPageBreak/>
        <w:t>Tables and figures</w:t>
      </w:r>
    </w:p>
    <w:p w:rsidR="00182EE7" w:rsidRDefault="00182EE7" w:rsidP="00182EE7">
      <w:pPr>
        <w:pStyle w:val="BodyText"/>
      </w:pPr>
      <w:r>
        <w:br w:type="page"/>
      </w:r>
    </w:p>
    <w:p w:rsidR="00182EE7" w:rsidRDefault="00182EE7" w:rsidP="00182EE7">
      <w:pPr>
        <w:pStyle w:val="TableCaption"/>
        <w:keepNext/>
        <w:rPr>
          <w:rFonts w:ascii="Arial" w:eastAsia="Arial" w:hAnsi="Arial" w:cs="Arial"/>
          <w:i w:val="0"/>
          <w:color w:val="000000"/>
          <w:sz w:val="22"/>
          <w:szCs w:val="22"/>
        </w:rPr>
      </w:pPr>
      <w:r>
        <w:rPr>
          <w:b/>
        </w:rPr>
        <w:lastRenderedPageBreak/>
        <w:t xml:space="preserve">Table  </w:t>
      </w:r>
      <w:bookmarkStart w:id="96" w:name="proscons"/>
      <w:r>
        <w:fldChar w:fldCharType="begin"/>
      </w:r>
      <w:r>
        <w:rPr>
          <w:b/>
        </w:rPr>
        <w:instrText>SEQ tab \* Arabic</w:instrText>
      </w:r>
      <w:r>
        <w:fldChar w:fldCharType="separate"/>
      </w:r>
      <w:r>
        <w:rPr>
          <w:b/>
          <w:noProof/>
        </w:rPr>
        <w:t>1</w:t>
      </w:r>
      <w:r>
        <w:fldChar w:fldCharType="end"/>
      </w:r>
      <w:bookmarkEnd w:id="96"/>
      <w:r>
        <w:rPr>
          <w:b/>
        </w:rPr>
        <w:t xml:space="preserve">:  </w:t>
      </w:r>
      <w:r>
        <w:t>Considerations when choosing between implementing computational models using commercial modelling software or as software projects using an open-source programming language</w:t>
      </w:r>
    </w:p>
    <w:tbl>
      <w:tblPr>
        <w:tblW w:w="15360" w:type="dxa"/>
        <w:tblInd w:w="-1187" w:type="dxa"/>
        <w:tblCellMar>
          <w:left w:w="0" w:type="dxa"/>
          <w:right w:w="0" w:type="dxa"/>
        </w:tblCellMar>
        <w:tblLook w:val="04A0" w:firstRow="1" w:lastRow="0" w:firstColumn="1" w:lastColumn="0" w:noHBand="0" w:noVBand="1"/>
      </w:tblPr>
      <w:tblGrid>
        <w:gridCol w:w="1513"/>
        <w:gridCol w:w="5664"/>
        <w:gridCol w:w="8183"/>
      </w:tblGrid>
      <w:tr w:rsidR="00AB25E1" w:rsidRPr="00AB25E1" w:rsidTr="00AB25E1">
        <w:trPr>
          <w:trHeight w:val="704"/>
        </w:trPr>
        <w:tc>
          <w:tcPr>
            <w:tcW w:w="1279"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rsidR="00AB25E1" w:rsidRPr="00AB25E1" w:rsidRDefault="00AB25E1" w:rsidP="00AB25E1">
            <w:pPr>
              <w:pStyle w:val="TableCaption"/>
              <w:keepNext/>
              <w:rPr>
                <w:lang w:val="en-AU"/>
              </w:rPr>
            </w:pPr>
          </w:p>
        </w:tc>
        <w:tc>
          <w:tcPr>
            <w:tcW w:w="5753"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rsidR="00AB25E1" w:rsidRPr="00AB25E1" w:rsidRDefault="00AB25E1" w:rsidP="00AB25E1">
            <w:pPr>
              <w:pStyle w:val="TableCaption"/>
              <w:keepNext/>
              <w:rPr>
                <w:lang w:val="en-AU"/>
              </w:rPr>
            </w:pPr>
            <w:r w:rsidRPr="00AB25E1">
              <w:rPr>
                <w:b/>
                <w:bCs/>
              </w:rPr>
              <w:t>Commercial modelling software</w:t>
            </w:r>
          </w:p>
        </w:tc>
        <w:tc>
          <w:tcPr>
            <w:tcW w:w="8328"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rsidR="00AB25E1" w:rsidRPr="00AB25E1" w:rsidRDefault="00AB25E1" w:rsidP="00AB25E1">
            <w:pPr>
              <w:pStyle w:val="TableCaption"/>
              <w:keepNext/>
              <w:rPr>
                <w:lang w:val="en-AU"/>
              </w:rPr>
            </w:pPr>
            <w:r w:rsidRPr="00AB25E1">
              <w:rPr>
                <w:b/>
                <w:bCs/>
              </w:rPr>
              <w:t>Open source programming language</w:t>
            </w:r>
          </w:p>
        </w:tc>
      </w:tr>
      <w:tr w:rsidR="00AB25E1" w:rsidRPr="00AB25E1" w:rsidTr="00AB25E1">
        <w:trPr>
          <w:trHeight w:val="2356"/>
        </w:trPr>
        <w:tc>
          <w:tcPr>
            <w:tcW w:w="1279" w:type="dxa"/>
            <w:tcBorders>
              <w:top w:val="single" w:sz="24" w:space="0" w:color="FFFFFF"/>
              <w:left w:val="single" w:sz="8" w:space="0" w:color="FFFFFF"/>
              <w:bottom w:val="single" w:sz="8" w:space="0" w:color="FFFFFF"/>
              <w:right w:val="single" w:sz="8" w:space="0" w:color="FFFFFF"/>
            </w:tcBorders>
            <w:shd w:val="clear" w:color="auto" w:fill="006DAE"/>
            <w:tcMar>
              <w:top w:w="43" w:type="dxa"/>
              <w:left w:w="85" w:type="dxa"/>
              <w:bottom w:w="43" w:type="dxa"/>
              <w:right w:w="85" w:type="dxa"/>
            </w:tcMar>
            <w:vAlign w:val="center"/>
            <w:hideMark/>
          </w:tcPr>
          <w:p w:rsidR="00AB25E1" w:rsidRPr="00AB25E1" w:rsidRDefault="00AB25E1" w:rsidP="00AB25E1">
            <w:pPr>
              <w:pStyle w:val="TableCaption"/>
              <w:keepNext/>
              <w:rPr>
                <w:lang w:val="en-AU"/>
              </w:rPr>
            </w:pPr>
            <w:r w:rsidRPr="00AB25E1">
              <w:rPr>
                <w:b/>
                <w:bCs/>
              </w:rPr>
              <w:t>Project cost</w:t>
            </w:r>
            <w:r>
              <w:rPr>
                <w:b/>
                <w:bCs/>
              </w:rPr>
              <w:t xml:space="preserve"> implications</w:t>
            </w:r>
          </w:p>
        </w:tc>
        <w:tc>
          <w:tcPr>
            <w:tcW w:w="5753" w:type="dxa"/>
            <w:tcBorders>
              <w:top w:val="single" w:sz="24" w:space="0" w:color="FFFFFF"/>
              <w:left w:val="single" w:sz="8" w:space="0" w:color="FFFFFF"/>
              <w:bottom w:val="single" w:sz="8" w:space="0" w:color="FFFFFF"/>
              <w:right w:val="single" w:sz="8" w:space="0" w:color="FFFFFF"/>
            </w:tcBorders>
            <w:shd w:val="clear" w:color="auto" w:fill="CBD4E3"/>
            <w:tcMar>
              <w:top w:w="43" w:type="dxa"/>
              <w:left w:w="85" w:type="dxa"/>
              <w:bottom w:w="43" w:type="dxa"/>
              <w:right w:w="85" w:type="dxa"/>
            </w:tcMar>
            <w:vAlign w:val="center"/>
            <w:hideMark/>
          </w:tcPr>
          <w:p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Will include tools to accomplish most common modelling tasks swiftly and reliably.</w:t>
            </w:r>
          </w:p>
          <w:p w:rsidR="00AB25E1" w:rsidRDefault="00AB25E1" w:rsidP="00AB25E1">
            <w:pPr>
              <w:pStyle w:val="TableCaption"/>
              <w:keepNext/>
              <w:jc w:val="left"/>
              <w:rPr>
                <w:i w:val="0"/>
              </w:rPr>
            </w:pPr>
            <w:r w:rsidRPr="00AB25E1">
              <w:rPr>
                <w:i w:val="0"/>
                <w:lang w:val="en-AU"/>
              </w:rPr>
              <w:t xml:space="preserve">(+) </w:t>
            </w:r>
            <w:r w:rsidRPr="00AB25E1">
              <w:rPr>
                <w:i w:val="0"/>
              </w:rPr>
              <w:t>Requires less extensive range of (potentially hard to find) programming skills.</w:t>
            </w:r>
          </w:p>
          <w:p w:rsidR="00AB25E1" w:rsidRPr="00AB25E1" w:rsidRDefault="00AB25E1" w:rsidP="00AB25E1">
            <w:pPr>
              <w:pStyle w:val="TableCaption"/>
              <w:keepNext/>
              <w:jc w:val="left"/>
              <w:rPr>
                <w:i w:val="0"/>
                <w:lang w:val="en-AU"/>
              </w:rPr>
            </w:pPr>
            <w:r>
              <w:rPr>
                <w:i w:val="0"/>
                <w:lang w:val="en-AU"/>
              </w:rPr>
              <w:t xml:space="preserve">(-) Requires model developers and users to purchase software licenses </w:t>
            </w:r>
          </w:p>
        </w:tc>
        <w:tc>
          <w:tcPr>
            <w:tcW w:w="8328" w:type="dxa"/>
            <w:tcBorders>
              <w:top w:val="single" w:sz="24" w:space="0" w:color="FFFFFF"/>
              <w:left w:val="single" w:sz="8" w:space="0" w:color="FFFFFF"/>
              <w:bottom w:val="single" w:sz="8" w:space="0" w:color="FFFFFF"/>
              <w:right w:val="single" w:sz="8" w:space="0" w:color="FFFFFF"/>
            </w:tcBorders>
            <w:shd w:val="clear" w:color="auto" w:fill="CBD4E3"/>
            <w:tcMar>
              <w:top w:w="43" w:type="dxa"/>
              <w:left w:w="85" w:type="dxa"/>
              <w:bottom w:w="43" w:type="dxa"/>
              <w:right w:w="85" w:type="dxa"/>
            </w:tcMar>
            <w:vAlign w:val="center"/>
            <w:hideMark/>
          </w:tcPr>
          <w:p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Initial development is likely to be time and resource intensive.</w:t>
            </w:r>
          </w:p>
          <w:p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Over medium to long term there is the potential for efficiency savings if:</w:t>
            </w:r>
          </w:p>
          <w:p w:rsidR="00000000" w:rsidRPr="00AB25E1" w:rsidRDefault="0024696A" w:rsidP="00AB25E1">
            <w:pPr>
              <w:pStyle w:val="TableCaption"/>
              <w:keepNext/>
              <w:numPr>
                <w:ilvl w:val="0"/>
                <w:numId w:val="38"/>
              </w:numPr>
              <w:jc w:val="left"/>
              <w:rPr>
                <w:i w:val="0"/>
                <w:lang w:val="en-AU"/>
              </w:rPr>
            </w:pPr>
            <w:r w:rsidRPr="00AB25E1">
              <w:rPr>
                <w:i w:val="0"/>
              </w:rPr>
              <w:t>mo</w:t>
            </w:r>
            <w:r w:rsidRPr="00AB25E1">
              <w:rPr>
                <w:i w:val="0"/>
              </w:rPr>
              <w:t>del development can leverage artefacts (code and data) from pre-existing models; and / or</w:t>
            </w:r>
          </w:p>
          <w:p w:rsidR="00000000" w:rsidRPr="00AB25E1" w:rsidRDefault="0024696A" w:rsidP="00AB25E1">
            <w:pPr>
              <w:pStyle w:val="TableCaption"/>
              <w:keepNext/>
              <w:numPr>
                <w:ilvl w:val="0"/>
                <w:numId w:val="38"/>
              </w:numPr>
              <w:jc w:val="left"/>
              <w:rPr>
                <w:i w:val="0"/>
                <w:lang w:val="en-AU"/>
              </w:rPr>
            </w:pPr>
            <w:r w:rsidRPr="00AB25E1">
              <w:rPr>
                <w:i w:val="0"/>
              </w:rPr>
              <w:t xml:space="preserve">project requirements include model maintenance and transfer. </w:t>
            </w:r>
          </w:p>
        </w:tc>
      </w:tr>
      <w:tr w:rsidR="00AB25E1" w:rsidRPr="00AB25E1" w:rsidTr="00AB25E1">
        <w:trPr>
          <w:trHeight w:val="4482"/>
        </w:trPr>
        <w:tc>
          <w:tcPr>
            <w:tcW w:w="1279" w:type="dxa"/>
            <w:tcBorders>
              <w:top w:val="single" w:sz="8" w:space="0" w:color="FFFFFF"/>
              <w:left w:val="single" w:sz="8" w:space="0" w:color="FFFFFF"/>
              <w:bottom w:val="single" w:sz="8" w:space="0" w:color="FFFFFF"/>
              <w:right w:val="single" w:sz="8" w:space="0" w:color="FFFFFF"/>
            </w:tcBorders>
            <w:shd w:val="clear" w:color="auto" w:fill="006DAE"/>
            <w:tcMar>
              <w:top w:w="43" w:type="dxa"/>
              <w:left w:w="85" w:type="dxa"/>
              <w:bottom w:w="43" w:type="dxa"/>
              <w:right w:w="85" w:type="dxa"/>
            </w:tcMar>
            <w:vAlign w:val="center"/>
            <w:hideMark/>
          </w:tcPr>
          <w:p w:rsidR="00AB25E1" w:rsidRPr="00AB25E1" w:rsidRDefault="00AB25E1" w:rsidP="00AB25E1">
            <w:pPr>
              <w:pStyle w:val="TableCaption"/>
              <w:keepNext/>
              <w:rPr>
                <w:lang w:val="en-AU"/>
              </w:rPr>
            </w:pPr>
            <w:r>
              <w:rPr>
                <w:b/>
                <w:bCs/>
              </w:rPr>
              <w:t>Ethical implications</w:t>
            </w:r>
          </w:p>
        </w:tc>
        <w:tc>
          <w:tcPr>
            <w:tcW w:w="5753" w:type="dxa"/>
            <w:tcBorders>
              <w:top w:val="single" w:sz="8" w:space="0" w:color="FFFFFF"/>
              <w:left w:val="single" w:sz="8" w:space="0" w:color="FFFFFF"/>
              <w:bottom w:val="single" w:sz="8" w:space="0" w:color="FFFFFF"/>
              <w:right w:val="single" w:sz="8" w:space="0" w:color="FFFFFF"/>
            </w:tcBorders>
            <w:shd w:val="clear" w:color="auto" w:fill="E7EBF2"/>
            <w:tcMar>
              <w:top w:w="43" w:type="dxa"/>
              <w:left w:w="85" w:type="dxa"/>
              <w:bottom w:w="43" w:type="dxa"/>
              <w:right w:w="85" w:type="dxa"/>
            </w:tcMar>
            <w:vAlign w:val="center"/>
            <w:hideMark/>
          </w:tcPr>
          <w:p w:rsidR="00AB25E1" w:rsidRPr="00AB25E1" w:rsidRDefault="00AB25E1" w:rsidP="00AB25E1">
            <w:pPr>
              <w:pStyle w:val="TableCaption"/>
              <w:keepNext/>
              <w:jc w:val="left"/>
              <w:rPr>
                <w:lang w:val="en-AU"/>
              </w:rPr>
            </w:pPr>
            <w:r w:rsidRPr="00AB25E1">
              <w:rPr>
                <w:b/>
                <w:bCs/>
                <w:lang w:val="en-AU"/>
              </w:rPr>
              <w:t>Transparency</w:t>
            </w:r>
          </w:p>
          <w:p w:rsidR="00000000" w:rsidRPr="00AB25E1" w:rsidRDefault="0024696A" w:rsidP="00AB25E1">
            <w:pPr>
              <w:pStyle w:val="TableCaption"/>
              <w:keepNext/>
              <w:numPr>
                <w:ilvl w:val="0"/>
                <w:numId w:val="39"/>
              </w:numPr>
              <w:jc w:val="left"/>
              <w:rPr>
                <w:i w:val="0"/>
                <w:lang w:val="en-AU"/>
              </w:rPr>
            </w:pPr>
            <w:r w:rsidRPr="00AB25E1">
              <w:rPr>
                <w:i w:val="0"/>
                <w:lang w:val="en-AU"/>
              </w:rPr>
              <w:t xml:space="preserve">(+) </w:t>
            </w:r>
            <w:r w:rsidRPr="00AB25E1">
              <w:rPr>
                <w:i w:val="0"/>
                <w:lang w:val="en-AU"/>
              </w:rPr>
              <w:t>Tools with mass market adoption (e.g. Excel) are readily understood by many.</w:t>
            </w:r>
          </w:p>
          <w:p w:rsidR="00000000" w:rsidRPr="00AB25E1" w:rsidRDefault="0024696A" w:rsidP="00AB25E1">
            <w:pPr>
              <w:pStyle w:val="TableCaption"/>
              <w:keepNext/>
              <w:numPr>
                <w:ilvl w:val="0"/>
                <w:numId w:val="39"/>
              </w:numPr>
              <w:jc w:val="left"/>
              <w:rPr>
                <w:i w:val="0"/>
                <w:lang w:val="en-AU"/>
              </w:rPr>
            </w:pPr>
            <w:r w:rsidRPr="00AB25E1">
              <w:rPr>
                <w:i w:val="0"/>
                <w:lang w:val="en-AU"/>
              </w:rPr>
              <w:t>(-)</w:t>
            </w:r>
            <w:r w:rsidRPr="00AB25E1">
              <w:rPr>
                <w:i w:val="0"/>
                <w:lang w:val="en-AU"/>
              </w:rPr>
              <w:t xml:space="preserve"> Lack of integr</w:t>
            </w:r>
            <w:r w:rsidRPr="00AB25E1">
              <w:rPr>
                <w:i w:val="0"/>
                <w:lang w:val="en-AU"/>
              </w:rPr>
              <w:t>ation with tools used for scientific manuscript authoring may result in (undetected) transcription errors when reporting results.</w:t>
            </w:r>
          </w:p>
          <w:p w:rsidR="00AB25E1" w:rsidRPr="00AB25E1" w:rsidRDefault="00AB25E1" w:rsidP="00AB25E1">
            <w:pPr>
              <w:pStyle w:val="TableCaption"/>
              <w:keepNext/>
              <w:jc w:val="left"/>
              <w:rPr>
                <w:i w:val="0"/>
                <w:lang w:val="en-AU"/>
              </w:rPr>
            </w:pPr>
            <w:r w:rsidRPr="00AB25E1">
              <w:rPr>
                <w:b/>
                <w:bCs/>
                <w:i w:val="0"/>
              </w:rPr>
              <w:t>Reusability</w:t>
            </w:r>
          </w:p>
          <w:p w:rsidR="00000000" w:rsidRPr="00AB25E1" w:rsidRDefault="0024696A" w:rsidP="00AB25E1">
            <w:pPr>
              <w:pStyle w:val="TableCaption"/>
              <w:keepNext/>
              <w:numPr>
                <w:ilvl w:val="0"/>
                <w:numId w:val="40"/>
              </w:numPr>
              <w:jc w:val="left"/>
              <w:rPr>
                <w:i w:val="0"/>
                <w:lang w:val="en-AU"/>
              </w:rPr>
            </w:pPr>
            <w:r w:rsidRPr="00AB25E1">
              <w:rPr>
                <w:i w:val="0"/>
                <w:lang w:val="en-AU"/>
              </w:rPr>
              <w:t xml:space="preserve">(+) </w:t>
            </w:r>
            <w:r w:rsidRPr="00AB25E1">
              <w:rPr>
                <w:i w:val="0"/>
              </w:rPr>
              <w:t>Files will open and execute correctly for years after project is completed.</w:t>
            </w:r>
          </w:p>
          <w:p w:rsidR="00AB25E1" w:rsidRPr="00AB25E1" w:rsidRDefault="00AB25E1" w:rsidP="00AB25E1">
            <w:pPr>
              <w:pStyle w:val="TableCaption"/>
              <w:keepNext/>
              <w:jc w:val="left"/>
              <w:rPr>
                <w:i w:val="0"/>
                <w:lang w:val="en-AU"/>
              </w:rPr>
            </w:pPr>
            <w:r w:rsidRPr="00AB25E1">
              <w:rPr>
                <w:i w:val="0"/>
              </w:rPr>
              <w:t> </w:t>
            </w:r>
            <w:r w:rsidRPr="00AB25E1">
              <w:rPr>
                <w:b/>
                <w:bCs/>
                <w:i w:val="0"/>
              </w:rPr>
              <w:t>Updatability</w:t>
            </w:r>
          </w:p>
          <w:p w:rsidR="00000000" w:rsidRPr="00AB25E1" w:rsidRDefault="0024696A" w:rsidP="00AB25E1">
            <w:pPr>
              <w:pStyle w:val="TableCaption"/>
              <w:keepNext/>
              <w:numPr>
                <w:ilvl w:val="0"/>
                <w:numId w:val="41"/>
              </w:numPr>
              <w:jc w:val="left"/>
              <w:rPr>
                <w:lang w:val="en-AU"/>
              </w:rPr>
            </w:pPr>
            <w:r w:rsidRPr="00AB25E1">
              <w:rPr>
                <w:i w:val="0"/>
                <w:lang w:val="en-AU"/>
              </w:rPr>
              <w:t>(-)</w:t>
            </w:r>
            <w:r w:rsidRPr="00AB25E1">
              <w:rPr>
                <w:i w:val="0"/>
                <w:lang w:val="en-AU"/>
              </w:rPr>
              <w:t xml:space="preserve"> Some barriers to selective modification with appropriate attribution.</w:t>
            </w:r>
          </w:p>
        </w:tc>
        <w:tc>
          <w:tcPr>
            <w:tcW w:w="8328" w:type="dxa"/>
            <w:tcBorders>
              <w:top w:val="single" w:sz="8" w:space="0" w:color="FFFFFF"/>
              <w:left w:val="single" w:sz="8" w:space="0" w:color="FFFFFF"/>
              <w:bottom w:val="single" w:sz="8" w:space="0" w:color="FFFFFF"/>
              <w:right w:val="single" w:sz="8" w:space="0" w:color="FFFFFF"/>
            </w:tcBorders>
            <w:shd w:val="clear" w:color="auto" w:fill="E7EBF2"/>
            <w:tcMar>
              <w:top w:w="43" w:type="dxa"/>
              <w:left w:w="85" w:type="dxa"/>
              <w:bottom w:w="43" w:type="dxa"/>
              <w:right w:w="85" w:type="dxa"/>
            </w:tcMar>
            <w:vAlign w:val="center"/>
            <w:hideMark/>
          </w:tcPr>
          <w:p w:rsidR="00AB25E1" w:rsidRPr="00AB25E1" w:rsidRDefault="00AB25E1" w:rsidP="00AB25E1">
            <w:pPr>
              <w:pStyle w:val="TableCaption"/>
              <w:keepNext/>
              <w:jc w:val="left"/>
              <w:rPr>
                <w:i w:val="0"/>
                <w:lang w:val="en-AU"/>
              </w:rPr>
            </w:pPr>
            <w:r w:rsidRPr="00AB25E1">
              <w:rPr>
                <w:b/>
                <w:bCs/>
                <w:i w:val="0"/>
                <w:lang w:val="en-AU"/>
              </w:rPr>
              <w:t>Transparency</w:t>
            </w:r>
          </w:p>
          <w:p w:rsidR="00000000" w:rsidRPr="00AB25E1" w:rsidRDefault="0024696A" w:rsidP="00AB25E1">
            <w:pPr>
              <w:pStyle w:val="TableCaption"/>
              <w:keepNext/>
              <w:numPr>
                <w:ilvl w:val="0"/>
                <w:numId w:val="42"/>
              </w:numPr>
              <w:jc w:val="left"/>
              <w:rPr>
                <w:i w:val="0"/>
                <w:lang w:val="en-AU"/>
              </w:rPr>
            </w:pPr>
            <w:r w:rsidRPr="00AB25E1">
              <w:rPr>
                <w:i w:val="0"/>
                <w:lang w:val="en-AU"/>
              </w:rPr>
              <w:t xml:space="preserve">(+) </w:t>
            </w:r>
            <w:r w:rsidRPr="00AB25E1">
              <w:rPr>
                <w:i w:val="0"/>
                <w:lang w:val="en-AU"/>
              </w:rPr>
              <w:t xml:space="preserve">Easy to publicly share </w:t>
            </w:r>
            <w:r w:rsidRPr="00AB25E1">
              <w:rPr>
                <w:i w:val="0"/>
              </w:rPr>
              <w:t xml:space="preserve">testable </w:t>
            </w:r>
            <w:r w:rsidRPr="00AB25E1">
              <w:rPr>
                <w:i w:val="0"/>
              </w:rPr>
              <w:t>source code while selectively restricting access to confidential data.</w:t>
            </w:r>
          </w:p>
          <w:p w:rsidR="00000000" w:rsidRPr="00AB25E1" w:rsidRDefault="0024696A" w:rsidP="00AB25E1">
            <w:pPr>
              <w:pStyle w:val="TableCaption"/>
              <w:keepNext/>
              <w:numPr>
                <w:ilvl w:val="0"/>
                <w:numId w:val="42"/>
              </w:numPr>
              <w:jc w:val="left"/>
              <w:rPr>
                <w:i w:val="0"/>
                <w:lang w:val="en-AU"/>
              </w:rPr>
            </w:pPr>
            <w:r w:rsidRPr="00AB25E1">
              <w:rPr>
                <w:i w:val="0"/>
                <w:lang w:val="en-AU"/>
              </w:rPr>
              <w:t xml:space="preserve">(+) </w:t>
            </w:r>
            <w:r w:rsidRPr="00AB25E1">
              <w:rPr>
                <w:i w:val="0"/>
                <w:lang w:val="en-AU"/>
              </w:rPr>
              <w:t>Easy to make clear wh</w:t>
            </w:r>
            <w:r w:rsidRPr="00AB25E1">
              <w:rPr>
                <w:i w:val="0"/>
                <w:lang w:val="en-AU"/>
              </w:rPr>
              <w:t>o developed and tested each part.</w:t>
            </w:r>
          </w:p>
          <w:p w:rsidR="00000000" w:rsidRPr="00AB25E1" w:rsidRDefault="0024696A" w:rsidP="00AB25E1">
            <w:pPr>
              <w:pStyle w:val="TableCaption"/>
              <w:keepNext/>
              <w:numPr>
                <w:ilvl w:val="0"/>
                <w:numId w:val="42"/>
              </w:numPr>
              <w:jc w:val="left"/>
              <w:rPr>
                <w:i w:val="0"/>
                <w:lang w:val="en-AU"/>
              </w:rPr>
            </w:pPr>
            <w:r w:rsidRPr="00AB25E1">
              <w:rPr>
                <w:i w:val="0"/>
                <w:lang w:val="en-AU"/>
              </w:rPr>
              <w:t>(-)</w:t>
            </w:r>
            <w:r w:rsidRPr="00AB25E1">
              <w:rPr>
                <w:i w:val="0"/>
                <w:lang w:val="en-AU"/>
              </w:rPr>
              <w:t xml:space="preserve"> </w:t>
            </w:r>
            <w:r w:rsidRPr="00AB25E1">
              <w:rPr>
                <w:i w:val="0"/>
              </w:rPr>
              <w:t>Novel code means more (undetected)</w:t>
            </w:r>
            <w:r w:rsidRPr="00AB25E1">
              <w:rPr>
                <w:i w:val="0"/>
              </w:rPr>
              <w:t xml:space="preserve"> errors.</w:t>
            </w:r>
          </w:p>
          <w:p w:rsidR="00AB25E1" w:rsidRPr="00AB25E1" w:rsidRDefault="00AB25E1" w:rsidP="00AB25E1">
            <w:pPr>
              <w:pStyle w:val="TableCaption"/>
              <w:keepNext/>
              <w:jc w:val="left"/>
              <w:rPr>
                <w:i w:val="0"/>
                <w:lang w:val="en-AU"/>
              </w:rPr>
            </w:pPr>
            <w:r w:rsidRPr="00AB25E1">
              <w:rPr>
                <w:b/>
                <w:bCs/>
                <w:i w:val="0"/>
              </w:rPr>
              <w:t>Reusability</w:t>
            </w:r>
          </w:p>
          <w:p w:rsidR="00000000"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Facilitates modular implementations to make complex model representations more tractable.</w:t>
            </w:r>
          </w:p>
          <w:p w:rsidR="00000000"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Can be readily integrated with existing data / decision systems.</w:t>
            </w:r>
          </w:p>
          <w:p w:rsidR="00000000"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Potentially fragile – if not maintained or bundled with all required and correctly versioned dependencies.</w:t>
            </w:r>
          </w:p>
          <w:p w:rsidR="00AB25E1" w:rsidRPr="00AB25E1" w:rsidRDefault="00AB25E1" w:rsidP="00AB25E1">
            <w:pPr>
              <w:pStyle w:val="TableCaption"/>
              <w:keepNext/>
              <w:jc w:val="left"/>
              <w:rPr>
                <w:i w:val="0"/>
                <w:lang w:val="en-AU"/>
              </w:rPr>
            </w:pPr>
            <w:r w:rsidRPr="00AB25E1">
              <w:rPr>
                <w:b/>
                <w:bCs/>
                <w:i w:val="0"/>
              </w:rPr>
              <w:t>Updatability</w:t>
            </w:r>
          </w:p>
          <w:p w:rsidR="00000000" w:rsidRPr="00AB25E1" w:rsidRDefault="0024696A" w:rsidP="00AB25E1">
            <w:pPr>
              <w:pStyle w:val="TableCaption"/>
              <w:keepNext/>
              <w:numPr>
                <w:ilvl w:val="0"/>
                <w:numId w:val="44"/>
              </w:numPr>
              <w:jc w:val="left"/>
              <w:rPr>
                <w:i w:val="0"/>
                <w:lang w:val="en-AU"/>
              </w:rPr>
            </w:pPr>
            <w:r w:rsidRPr="00AB25E1">
              <w:rPr>
                <w:i w:val="0"/>
                <w:lang w:val="en-AU"/>
              </w:rPr>
              <w:t xml:space="preserve">(+) </w:t>
            </w:r>
            <w:r w:rsidRPr="00AB25E1">
              <w:rPr>
                <w:i w:val="0"/>
              </w:rPr>
              <w:t>Enables collaborative development and maintenance.</w:t>
            </w:r>
          </w:p>
        </w:tc>
      </w:tr>
    </w:tbl>
    <w:p w:rsidR="00182EE7" w:rsidRDefault="00AB25E1" w:rsidP="00182EE7">
      <w:pPr>
        <w:pStyle w:val="TableCaption"/>
        <w:keepNext/>
      </w:pPr>
      <w:r w:rsidRPr="00AB25E1">
        <w:t xml:space="preserve"> </w:t>
      </w:r>
      <w:r w:rsidR="00182EE7">
        <w:rPr>
          <w:i w:val="0"/>
        </w:rPr>
        <w:br w:type="page"/>
      </w:r>
    </w:p>
    <w:p w:rsidR="00182EE7" w:rsidRDefault="00182EE7" w:rsidP="00182EE7">
      <w:pPr>
        <w:pStyle w:val="TableCaption"/>
        <w:keepNext/>
      </w:pPr>
      <w:r>
        <w:rPr>
          <w:b/>
        </w:rPr>
        <w:lastRenderedPageBreak/>
        <w:t xml:space="preserve">Table  </w:t>
      </w:r>
      <w:bookmarkStart w:id="97" w:name="timelygls"/>
      <w:r>
        <w:fldChar w:fldCharType="begin"/>
      </w:r>
      <w:r>
        <w:rPr>
          <w:b/>
        </w:rPr>
        <w:instrText>SEQ tab \* Arabic</w:instrText>
      </w:r>
      <w:r>
        <w:fldChar w:fldCharType="separate"/>
      </w:r>
      <w:r>
        <w:rPr>
          <w:b/>
          <w:noProof/>
        </w:rPr>
        <w:t>2</w:t>
      </w:r>
      <w:r>
        <w:fldChar w:fldCharType="end"/>
      </w:r>
      <w:bookmarkEnd w:id="97"/>
      <w:r>
        <w:rPr>
          <w:b/>
        </w:rPr>
        <w:t xml:space="preserve">:  </w:t>
      </w:r>
      <w:r>
        <w:t>How transparent, reusable and updatable (TRU) computational health economic models (CHEMs) suggest ethical modelling practice</w:t>
      </w:r>
    </w:p>
    <w:tbl>
      <w:tblPr>
        <w:tblpPr w:leftFromText="180" w:rightFromText="180" w:vertAnchor="page" w:horzAnchor="margin" w:tblpY="2206"/>
        <w:tblW w:w="13614" w:type="dxa"/>
        <w:tblCellMar>
          <w:left w:w="0" w:type="dxa"/>
          <w:right w:w="0" w:type="dxa"/>
        </w:tblCellMar>
        <w:tblLook w:val="04A0" w:firstRow="1" w:lastRow="0" w:firstColumn="1" w:lastColumn="0" w:noHBand="0" w:noVBand="1"/>
      </w:tblPr>
      <w:tblGrid>
        <w:gridCol w:w="1370"/>
        <w:gridCol w:w="2098"/>
        <w:gridCol w:w="3874"/>
        <w:gridCol w:w="2797"/>
        <w:gridCol w:w="3475"/>
      </w:tblGrid>
      <w:tr w:rsidR="00182EE7" w:rsidRPr="00182EE7" w:rsidTr="00AB25E1">
        <w:trPr>
          <w:trHeight w:val="954"/>
        </w:trPr>
        <w:tc>
          <w:tcPr>
            <w:tcW w:w="3468" w:type="dxa"/>
            <w:gridSpan w:val="2"/>
            <w:vMerge w:val="restart"/>
            <w:tcBorders>
              <w:top w:val="single" w:sz="8" w:space="0" w:color="FFFFFF"/>
              <w:left w:val="single" w:sz="8" w:space="0" w:color="FFFFFF"/>
              <w:bottom w:val="single" w:sz="24" w:space="0" w:color="FFFFFF"/>
              <w:right w:val="single" w:sz="8" w:space="0" w:color="FFFFFF"/>
            </w:tcBorders>
            <w:shd w:val="clear" w:color="auto" w:fill="006DAE"/>
            <w:tcMar>
              <w:top w:w="12" w:type="dxa"/>
              <w:left w:w="63" w:type="dxa"/>
              <w:bottom w:w="0" w:type="dxa"/>
              <w:right w:w="63" w:type="dxa"/>
            </w:tcMar>
            <w:vAlign w:val="center"/>
            <w:hideMark/>
          </w:tcPr>
          <w:p w:rsidR="00182EE7" w:rsidRPr="00182EE7" w:rsidRDefault="00182EE7" w:rsidP="00AB25E1">
            <w:pPr>
              <w:pStyle w:val="TableCaption"/>
              <w:keepNext/>
              <w:rPr>
                <w:lang w:val="en-AU"/>
              </w:rPr>
            </w:pPr>
            <w:r w:rsidRPr="00182EE7">
              <w:rPr>
                <w:b/>
                <w:bCs/>
              </w:rPr>
              <w:t> </w:t>
            </w:r>
          </w:p>
        </w:tc>
        <w:tc>
          <w:tcPr>
            <w:tcW w:w="10146" w:type="dxa"/>
            <w:gridSpan w:val="3"/>
            <w:tcBorders>
              <w:top w:val="single" w:sz="8" w:space="0" w:color="FFFFFF"/>
              <w:left w:val="single" w:sz="8" w:space="0" w:color="FFFFFF"/>
              <w:bottom w:val="single" w:sz="24" w:space="0" w:color="FFFFFF"/>
              <w:right w:val="single" w:sz="8" w:space="0" w:color="FFFFFF"/>
            </w:tcBorders>
            <w:shd w:val="clear" w:color="auto" w:fill="006DAE"/>
            <w:tcMar>
              <w:top w:w="12" w:type="dxa"/>
              <w:left w:w="63" w:type="dxa"/>
              <w:bottom w:w="0" w:type="dxa"/>
              <w:right w:w="63" w:type="dxa"/>
            </w:tcMar>
            <w:vAlign w:val="center"/>
            <w:hideMark/>
          </w:tcPr>
          <w:p w:rsidR="00182EE7" w:rsidRPr="00182EE7" w:rsidRDefault="00AB25E1" w:rsidP="00AB25E1">
            <w:pPr>
              <w:pStyle w:val="TableCaption"/>
              <w:keepNext/>
              <w:rPr>
                <w:lang w:val="en-AU"/>
              </w:rPr>
            </w:pPr>
            <w:r>
              <w:rPr>
                <w:b/>
                <w:bCs/>
                <w:u w:val="single"/>
                <w:lang w:val="en-AU"/>
              </w:rPr>
              <w:t>Project team responsibility</w:t>
            </w:r>
          </w:p>
        </w:tc>
      </w:tr>
      <w:tr w:rsidR="00182EE7" w:rsidRPr="00182EE7" w:rsidTr="00AB25E1">
        <w:trPr>
          <w:trHeight w:val="954"/>
        </w:trPr>
        <w:tc>
          <w:tcPr>
            <w:tcW w:w="3468" w:type="dxa"/>
            <w:gridSpan w:val="2"/>
            <w:vMerge/>
            <w:tcBorders>
              <w:top w:val="single" w:sz="8" w:space="0" w:color="FFFFFF"/>
              <w:left w:val="single" w:sz="8" w:space="0" w:color="FFFFFF"/>
              <w:bottom w:val="single" w:sz="24" w:space="0" w:color="FFFFFF"/>
              <w:right w:val="single" w:sz="8" w:space="0" w:color="FFFFFF"/>
            </w:tcBorders>
            <w:vAlign w:val="center"/>
            <w:hideMark/>
          </w:tcPr>
          <w:p w:rsidR="00182EE7" w:rsidRPr="00182EE7" w:rsidRDefault="00182EE7" w:rsidP="00AB25E1">
            <w:pPr>
              <w:pStyle w:val="TableCaption"/>
              <w:keepNext/>
              <w:rPr>
                <w:lang w:val="en-AU"/>
              </w:rPr>
            </w:pPr>
          </w:p>
        </w:tc>
        <w:tc>
          <w:tcPr>
            <w:tcW w:w="3874" w:type="dxa"/>
            <w:tcBorders>
              <w:top w:val="single" w:sz="24" w:space="0" w:color="FFFFFF"/>
              <w:left w:val="single" w:sz="24"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rsidR="00182EE7" w:rsidRPr="00AB25E1" w:rsidRDefault="00182EE7" w:rsidP="00AB25E1">
            <w:pPr>
              <w:pStyle w:val="TableCaption"/>
              <w:keepNext/>
              <w:rPr>
                <w:b/>
                <w:lang w:val="en-AU"/>
              </w:rPr>
            </w:pPr>
            <w:r w:rsidRPr="00AB25E1">
              <w:rPr>
                <w:b/>
              </w:rPr>
              <w:t xml:space="preserve">Socially acceptable </w:t>
            </w:r>
            <w:r w:rsidR="00AB25E1" w:rsidRPr="00AB25E1">
              <w:rPr>
                <w:b/>
              </w:rPr>
              <w:t>user-requirements and design</w:t>
            </w:r>
          </w:p>
        </w:tc>
        <w:tc>
          <w:tcPr>
            <w:tcW w:w="2797"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rsidR="00182EE7" w:rsidRPr="00AB25E1" w:rsidRDefault="00182EE7" w:rsidP="00AB25E1">
            <w:pPr>
              <w:pStyle w:val="TableCaption"/>
              <w:keepNext/>
              <w:rPr>
                <w:b/>
                <w:lang w:val="en-AU"/>
              </w:rPr>
            </w:pPr>
            <w:r w:rsidRPr="00AB25E1">
              <w:rPr>
                <w:b/>
              </w:rPr>
              <w:t xml:space="preserve">Fit for purpose </w:t>
            </w:r>
            <w:r w:rsidRPr="00AB25E1">
              <w:rPr>
                <w:b/>
                <w:bCs/>
              </w:rPr>
              <w:t>implementation</w:t>
            </w:r>
          </w:p>
        </w:tc>
        <w:tc>
          <w:tcPr>
            <w:tcW w:w="3475"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rsidR="00182EE7" w:rsidRPr="00AB25E1" w:rsidRDefault="00182EE7" w:rsidP="00AB25E1">
            <w:pPr>
              <w:pStyle w:val="TableCaption"/>
              <w:keepNext/>
              <w:rPr>
                <w:b/>
                <w:lang w:val="en-AU"/>
              </w:rPr>
            </w:pPr>
            <w:r w:rsidRPr="00AB25E1">
              <w:rPr>
                <w:b/>
              </w:rPr>
              <w:t xml:space="preserve">Socially beneficial model </w:t>
            </w:r>
            <w:r w:rsidRPr="00AB25E1">
              <w:rPr>
                <w:b/>
                <w:bCs/>
              </w:rPr>
              <w:t>use</w:t>
            </w:r>
          </w:p>
        </w:tc>
      </w:tr>
      <w:tr w:rsidR="00182EE7" w:rsidRPr="00182EE7" w:rsidTr="00AB25E1">
        <w:trPr>
          <w:trHeight w:val="2178"/>
        </w:trPr>
        <w:tc>
          <w:tcPr>
            <w:tcW w:w="1370" w:type="dxa"/>
            <w:vMerge w:val="restart"/>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rsidR="00182EE7" w:rsidRPr="00182EE7" w:rsidRDefault="00AB25E1" w:rsidP="00AB25E1">
            <w:pPr>
              <w:pStyle w:val="TableCaption"/>
              <w:keepNext/>
              <w:rPr>
                <w:lang w:val="en-AU"/>
              </w:rPr>
            </w:pPr>
            <w:r>
              <w:rPr>
                <w:b/>
                <w:bCs/>
                <w:lang w:val="en-AU"/>
              </w:rPr>
              <w:t>CHEM attribute</w:t>
            </w:r>
          </w:p>
        </w:tc>
        <w:tc>
          <w:tcPr>
            <w:tcW w:w="2098"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rsidR="00182EE7" w:rsidRPr="00182EE7" w:rsidRDefault="00182EE7" w:rsidP="00AB25E1">
            <w:pPr>
              <w:pStyle w:val="TableCaption"/>
              <w:keepNext/>
              <w:rPr>
                <w:lang w:val="en-AU"/>
              </w:rPr>
            </w:pPr>
            <w:r w:rsidRPr="00182EE7">
              <w:rPr>
                <w:b/>
                <w:bCs/>
              </w:rPr>
              <w:t>Transparent</w:t>
            </w:r>
          </w:p>
        </w:tc>
        <w:tc>
          <w:tcPr>
            <w:tcW w:w="6671" w:type="dxa"/>
            <w:gridSpan w:val="2"/>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rsidR="00182EE7" w:rsidRPr="00AB25E1" w:rsidRDefault="00182EE7" w:rsidP="00AB25E1">
            <w:pPr>
              <w:pStyle w:val="TableCaption"/>
              <w:keepNext/>
              <w:rPr>
                <w:sz w:val="32"/>
                <w:lang w:val="en-AU"/>
              </w:rPr>
            </w:pPr>
            <w:proofErr w:type="spellStart"/>
            <w:r w:rsidRPr="00AB25E1">
              <w:rPr>
                <w:sz w:val="32"/>
              </w:rPr>
              <w:t>Modeller</w:t>
            </w:r>
            <w:proofErr w:type="spellEnd"/>
            <w:r w:rsidRPr="00AB25E1">
              <w:rPr>
                <w:sz w:val="32"/>
              </w:rPr>
              <w:t xml:space="preserve"> decisions and assumptions can be reviewed by third parties.</w:t>
            </w:r>
          </w:p>
        </w:tc>
        <w:tc>
          <w:tcPr>
            <w:tcW w:w="3475" w:type="dxa"/>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rsidR="00182EE7" w:rsidRPr="00AB25E1" w:rsidRDefault="00182EE7" w:rsidP="00AB25E1">
            <w:pPr>
              <w:pStyle w:val="TableCaption"/>
              <w:keepNext/>
              <w:rPr>
                <w:sz w:val="32"/>
                <w:lang w:val="en-AU"/>
              </w:rPr>
            </w:pPr>
            <w:r w:rsidRPr="00AB25E1">
              <w:rPr>
                <w:sz w:val="32"/>
              </w:rPr>
              <w:t>Clarity about model features and performance reduces risk of inappropriate use in decision-making.</w:t>
            </w:r>
          </w:p>
        </w:tc>
      </w:tr>
      <w:tr w:rsidR="00182EE7" w:rsidRPr="00182EE7" w:rsidTr="00AB25E1">
        <w:trPr>
          <w:trHeight w:val="1789"/>
        </w:trPr>
        <w:tc>
          <w:tcPr>
            <w:tcW w:w="1370" w:type="dxa"/>
            <w:vMerge/>
            <w:tcBorders>
              <w:top w:val="single" w:sz="24" w:space="0" w:color="FFFFFF"/>
              <w:left w:val="single" w:sz="8" w:space="0" w:color="FFFFFF"/>
              <w:bottom w:val="single" w:sz="8" w:space="0" w:color="FFFFFF"/>
              <w:right w:val="single" w:sz="8" w:space="0" w:color="FFFFFF"/>
            </w:tcBorders>
            <w:vAlign w:val="center"/>
            <w:hideMark/>
          </w:tcPr>
          <w:p w:rsidR="00182EE7" w:rsidRPr="00182EE7" w:rsidRDefault="00182EE7" w:rsidP="00AB25E1">
            <w:pPr>
              <w:pStyle w:val="TableCaption"/>
              <w:keepNext/>
              <w:rPr>
                <w:lang w:val="en-AU"/>
              </w:rPr>
            </w:pPr>
          </w:p>
        </w:tc>
        <w:tc>
          <w:tcPr>
            <w:tcW w:w="2098" w:type="dxa"/>
            <w:tcBorders>
              <w:top w:val="single" w:sz="8"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rsidR="00182EE7" w:rsidRPr="00182EE7" w:rsidRDefault="00182EE7" w:rsidP="00AB25E1">
            <w:pPr>
              <w:pStyle w:val="TableCaption"/>
              <w:keepNext/>
              <w:rPr>
                <w:lang w:val="en-AU"/>
              </w:rPr>
            </w:pPr>
            <w:r w:rsidRPr="00182EE7">
              <w:rPr>
                <w:b/>
                <w:bCs/>
              </w:rPr>
              <w:t>Reusable</w:t>
            </w:r>
          </w:p>
        </w:tc>
        <w:tc>
          <w:tcPr>
            <w:tcW w:w="3874" w:type="dxa"/>
            <w:vMerge w:val="restart"/>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rsidR="00182EE7" w:rsidRPr="00AB25E1" w:rsidRDefault="00182EE7" w:rsidP="00AB25E1">
            <w:pPr>
              <w:pStyle w:val="TableCaption"/>
              <w:keepNext/>
              <w:rPr>
                <w:sz w:val="32"/>
                <w:lang w:val="en-AU"/>
              </w:rPr>
            </w:pPr>
            <w:r w:rsidRPr="00AB25E1">
              <w:rPr>
                <w:sz w:val="32"/>
              </w:rPr>
              <w:t>Use and modification of models by third-parties allows alternative value judgments to be explored.</w:t>
            </w:r>
          </w:p>
        </w:tc>
        <w:tc>
          <w:tcPr>
            <w:tcW w:w="2797" w:type="dxa"/>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rsidR="00182EE7" w:rsidRPr="00AB25E1" w:rsidRDefault="00182EE7" w:rsidP="00AB25E1">
            <w:pPr>
              <w:pStyle w:val="TableCaption"/>
              <w:keepNext/>
              <w:rPr>
                <w:sz w:val="32"/>
                <w:lang w:val="en-AU"/>
              </w:rPr>
            </w:pPr>
            <w:r w:rsidRPr="00AB25E1">
              <w:rPr>
                <w:sz w:val="32"/>
              </w:rPr>
              <w:t>Use by third parties increases likelihood of uncovering errors.</w:t>
            </w:r>
          </w:p>
        </w:tc>
        <w:tc>
          <w:tcPr>
            <w:tcW w:w="3475" w:type="dxa"/>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rsidR="00182EE7" w:rsidRPr="00AB25E1" w:rsidRDefault="00182EE7" w:rsidP="00AB25E1">
            <w:pPr>
              <w:pStyle w:val="TableCaption"/>
              <w:keepNext/>
              <w:rPr>
                <w:sz w:val="32"/>
                <w:lang w:val="en-AU"/>
              </w:rPr>
            </w:pPr>
            <w:r w:rsidRPr="00AB25E1">
              <w:rPr>
                <w:sz w:val="32"/>
              </w:rPr>
              <w:t xml:space="preserve">More potential model beneficiaries and less duplicative </w:t>
            </w:r>
            <w:proofErr w:type="spellStart"/>
            <w:r w:rsidRPr="00AB25E1">
              <w:rPr>
                <w:sz w:val="32"/>
              </w:rPr>
              <w:t>modeller</w:t>
            </w:r>
            <w:proofErr w:type="spellEnd"/>
            <w:r w:rsidRPr="00AB25E1">
              <w:rPr>
                <w:sz w:val="32"/>
              </w:rPr>
              <w:t xml:space="preserve"> effort.</w:t>
            </w:r>
          </w:p>
        </w:tc>
      </w:tr>
      <w:tr w:rsidR="00182EE7" w:rsidRPr="00182EE7" w:rsidTr="00AB25E1">
        <w:trPr>
          <w:trHeight w:val="1957"/>
        </w:trPr>
        <w:tc>
          <w:tcPr>
            <w:tcW w:w="1370" w:type="dxa"/>
            <w:vMerge/>
            <w:tcBorders>
              <w:top w:val="single" w:sz="24" w:space="0" w:color="FFFFFF"/>
              <w:left w:val="single" w:sz="8" w:space="0" w:color="FFFFFF"/>
              <w:bottom w:val="single" w:sz="8" w:space="0" w:color="FFFFFF"/>
              <w:right w:val="single" w:sz="8" w:space="0" w:color="FFFFFF"/>
            </w:tcBorders>
            <w:vAlign w:val="center"/>
            <w:hideMark/>
          </w:tcPr>
          <w:p w:rsidR="00182EE7" w:rsidRPr="00182EE7" w:rsidRDefault="00182EE7" w:rsidP="00AB25E1">
            <w:pPr>
              <w:pStyle w:val="TableCaption"/>
              <w:keepNext/>
              <w:rPr>
                <w:lang w:val="en-AU"/>
              </w:rPr>
            </w:pPr>
          </w:p>
        </w:tc>
        <w:tc>
          <w:tcPr>
            <w:tcW w:w="2098" w:type="dxa"/>
            <w:tcBorders>
              <w:top w:val="single" w:sz="8"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rsidR="00182EE7" w:rsidRPr="00182EE7" w:rsidRDefault="00182EE7" w:rsidP="00AB25E1">
            <w:pPr>
              <w:pStyle w:val="TableCaption"/>
              <w:keepNext/>
              <w:rPr>
                <w:lang w:val="en-AU"/>
              </w:rPr>
            </w:pPr>
            <w:r w:rsidRPr="00182EE7">
              <w:rPr>
                <w:b/>
                <w:bCs/>
              </w:rPr>
              <w:t>Updatable</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2EE7" w:rsidRPr="00AB25E1" w:rsidRDefault="00182EE7" w:rsidP="00AB25E1">
            <w:pPr>
              <w:pStyle w:val="TableCaption"/>
              <w:keepNext/>
              <w:rPr>
                <w:sz w:val="32"/>
                <w:lang w:val="en-AU"/>
              </w:rPr>
            </w:pPr>
          </w:p>
        </w:tc>
        <w:tc>
          <w:tcPr>
            <w:tcW w:w="6272" w:type="dxa"/>
            <w:gridSpan w:val="2"/>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rsidR="00182EE7" w:rsidRPr="00AB25E1" w:rsidRDefault="00182EE7" w:rsidP="00AB25E1">
            <w:pPr>
              <w:pStyle w:val="TableCaption"/>
              <w:keepNext/>
              <w:rPr>
                <w:sz w:val="32"/>
                <w:lang w:val="en-AU"/>
              </w:rPr>
            </w:pPr>
            <w:r w:rsidRPr="00AB25E1">
              <w:rPr>
                <w:sz w:val="32"/>
              </w:rPr>
              <w:t>Well maintained models can be validly used for longer.</w:t>
            </w:r>
          </w:p>
        </w:tc>
      </w:tr>
    </w:tbl>
    <w:p w:rsidR="00182EE7" w:rsidRDefault="00182EE7" w:rsidP="00182EE7">
      <w:pPr>
        <w:pStyle w:val="TableCaption"/>
        <w:keepNext/>
      </w:pPr>
    </w:p>
    <w:p w:rsidR="00182EE7" w:rsidRDefault="00182EE7" w:rsidP="00182EE7">
      <w:pPr>
        <w:pStyle w:val="TableCaption"/>
        <w:keepNext/>
      </w:pPr>
      <w:r>
        <w:rPr>
          <w:b/>
        </w:rPr>
        <w:t xml:space="preserve">Table  </w:t>
      </w:r>
      <w:bookmarkStart w:id="98" w:name="cpkgs"/>
      <w:r>
        <w:fldChar w:fldCharType="begin"/>
      </w:r>
      <w:r>
        <w:rPr>
          <w:b/>
        </w:rPr>
        <w:instrText>SEQ tab \* Arabic</w:instrText>
      </w:r>
      <w:r>
        <w:fldChar w:fldCharType="separate"/>
      </w:r>
      <w:r>
        <w:rPr>
          <w:b/>
          <w:noProof/>
        </w:rPr>
        <w:t>3</w:t>
      </w:r>
      <w:r>
        <w:fldChar w:fldCharType="end"/>
      </w:r>
      <w:bookmarkEnd w:id="98"/>
      <w:r>
        <w:rPr>
          <w:b/>
        </w:rPr>
        <w:t xml:space="preserve">:  </w:t>
      </w:r>
      <w:r>
        <w:t>Software framework R libraries</w:t>
      </w:r>
    </w:p>
    <w:tbl>
      <w:tblPr>
        <w:tblStyle w:val="GridTable5Dark-Accent1"/>
        <w:tblW w:w="14323" w:type="dxa"/>
        <w:tblInd w:w="-147" w:type="dxa"/>
        <w:tblLook w:val="0420" w:firstRow="1" w:lastRow="0" w:firstColumn="0" w:lastColumn="0" w:noHBand="0" w:noVBand="1"/>
      </w:tblPr>
      <w:tblGrid>
        <w:gridCol w:w="1383"/>
        <w:gridCol w:w="5910"/>
        <w:gridCol w:w="7030"/>
      </w:tblGrid>
      <w:tr w:rsidR="00182EE7" w:rsidTr="00AB25E1">
        <w:trPr>
          <w:cnfStyle w:val="100000000000" w:firstRow="1" w:lastRow="0" w:firstColumn="0" w:lastColumn="0" w:oddVBand="0" w:evenVBand="0" w:oddHBand="0" w:evenHBand="0" w:firstRowFirstColumn="0" w:firstRowLastColumn="0" w:lastRowFirstColumn="0" w:lastRowLastColumn="0"/>
          <w:trHeight w:val="713"/>
        </w:trPr>
        <w:tc>
          <w:tcPr>
            <w:tcW w:w="1383" w:type="dxa"/>
            <w:hideMark/>
          </w:tcPr>
          <w:p w:rsidR="00182EE7" w:rsidRPr="00AB25E1" w:rsidRDefault="00182EE7">
            <w:pPr>
              <w:spacing w:before="100" w:after="100"/>
              <w:ind w:right="101"/>
              <w:rPr>
                <w:rFonts w:ascii="Arial" w:eastAsia="Times New Roman" w:hAnsi="Arial" w:cs="Arial"/>
                <w:color w:val="000000" w:themeColor="text1"/>
                <w:sz w:val="36"/>
                <w:szCs w:val="36"/>
                <w:lang w:val="en-AU" w:eastAsia="en-AU"/>
              </w:rPr>
            </w:pPr>
            <w:r w:rsidRPr="00AB25E1">
              <w:rPr>
                <w:rFonts w:ascii="Arial" w:eastAsia="Times New Roman" w:hAnsi="Arial" w:cs="Arial"/>
                <w:color w:val="000000" w:themeColor="text1"/>
                <w:lang w:eastAsia="en-AU"/>
              </w:rPr>
              <w:t xml:space="preserve">  </w:t>
            </w:r>
            <w:r w:rsidR="00AB25E1">
              <w:rPr>
                <w:rFonts w:ascii="Arial" w:eastAsia="Times New Roman" w:hAnsi="Arial" w:cs="Arial"/>
                <w:color w:val="000000" w:themeColor="text1"/>
                <w:lang w:eastAsia="en-AU"/>
              </w:rPr>
              <w:t>L</w:t>
            </w:r>
            <w:r w:rsidRPr="00AB25E1">
              <w:rPr>
                <w:rFonts w:ascii="Arial" w:eastAsia="Times New Roman" w:hAnsi="Arial" w:cs="Arial"/>
                <w:color w:val="000000" w:themeColor="text1"/>
                <w:lang w:eastAsia="en-AU"/>
              </w:rPr>
              <w:t>ibrary</w:t>
            </w:r>
          </w:p>
        </w:tc>
        <w:tc>
          <w:tcPr>
            <w:tcW w:w="5910" w:type="dxa"/>
            <w:hideMark/>
          </w:tcPr>
          <w:p w:rsidR="00182EE7" w:rsidRPr="00AB25E1" w:rsidRDefault="00182EE7">
            <w:pPr>
              <w:spacing w:before="100" w:after="100"/>
              <w:ind w:left="101" w:right="101"/>
              <w:rPr>
                <w:rFonts w:ascii="Arial" w:eastAsia="Times New Roman" w:hAnsi="Arial" w:cs="Arial"/>
                <w:color w:val="000000" w:themeColor="text1"/>
                <w:sz w:val="36"/>
                <w:szCs w:val="36"/>
                <w:lang w:val="en-AU" w:eastAsia="en-AU"/>
              </w:rPr>
            </w:pPr>
            <w:r w:rsidRPr="00AB25E1">
              <w:rPr>
                <w:rFonts w:ascii="Arial" w:eastAsia="Cambria" w:hAnsi="Arial" w:cs="Arial"/>
                <w:bCs w:val="0"/>
                <w:color w:val="000000" w:themeColor="text1"/>
                <w:kern w:val="24"/>
                <w:lang w:val="en-AU" w:eastAsia="en-AU"/>
              </w:rPr>
              <w:t>Purpose</w:t>
            </w:r>
          </w:p>
        </w:tc>
        <w:tc>
          <w:tcPr>
            <w:tcW w:w="7030" w:type="dxa"/>
            <w:hideMark/>
          </w:tcPr>
          <w:p w:rsidR="00182EE7" w:rsidRPr="00AB25E1" w:rsidRDefault="00182EE7">
            <w:pPr>
              <w:spacing w:before="100" w:after="100"/>
              <w:ind w:right="101"/>
              <w:rPr>
                <w:rFonts w:ascii="Arial" w:eastAsia="Times New Roman" w:hAnsi="Arial" w:cs="Arial"/>
                <w:color w:val="000000" w:themeColor="text1"/>
                <w:sz w:val="36"/>
                <w:szCs w:val="36"/>
                <w:lang w:val="en-AU" w:eastAsia="en-AU"/>
              </w:rPr>
            </w:pPr>
            <w:r w:rsidRPr="00AB25E1">
              <w:rPr>
                <w:rFonts w:ascii="Arial" w:eastAsia="Times New Roman" w:hAnsi="Arial" w:cs="Arial"/>
                <w:color w:val="000000" w:themeColor="text1"/>
                <w:lang w:eastAsia="en-AU"/>
              </w:rPr>
              <w:t xml:space="preserve"> Dependency R libraries</w:t>
            </w:r>
          </w:p>
        </w:tc>
      </w:tr>
      <w:tr w:rsidR="00182EE7" w:rsidTr="00AB25E1">
        <w:trPr>
          <w:cnfStyle w:val="000000100000" w:firstRow="0" w:lastRow="0" w:firstColumn="0" w:lastColumn="0" w:oddVBand="0" w:evenVBand="0" w:oddHBand="1" w:evenHBand="0" w:firstRowFirstColumn="0" w:firstRowLastColumn="0" w:lastRowFirstColumn="0" w:lastRowLastColumn="0"/>
          <w:trHeight w:val="1028"/>
        </w:trPr>
        <w:tc>
          <w:tcPr>
            <w:tcW w:w="1383" w:type="dxa"/>
            <w:hideMark/>
          </w:tcPr>
          <w:p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extent cx="63817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8175" cy="628650"/>
                          </a:xfrm>
                          <a:prstGeom prst="rect">
                            <a:avLst/>
                          </a:prstGeom>
                          <a:noFill/>
                          <a:ln>
                            <a:noFill/>
                          </a:ln>
                        </pic:spPr>
                      </pic:pic>
                    </a:graphicData>
                  </a:graphic>
                </wp:inline>
              </w:drawing>
            </w:r>
          </w:p>
        </w:tc>
        <w:tc>
          <w:tcPr>
            <w:tcW w:w="5910" w:type="dxa"/>
            <w:hideMark/>
          </w:tcPr>
          <w:p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Provide a template and novel syntax for modular CHEM implementations and tools for finding interoperable CHEM modules, datasets and reproducible analysis programs.</w:t>
            </w:r>
          </w:p>
        </w:tc>
        <w:tc>
          <w:tcPr>
            <w:tcW w:w="7030" w:type="dxa"/>
            <w:hideMark/>
          </w:tcPr>
          <w:p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assertthat</w:t>
            </w:r>
            <w:proofErr w:type="spellEnd"/>
            <w:r>
              <w:rPr>
                <w:rFonts w:ascii="Arial" w:eastAsia="Helvetica" w:hAnsi="Arial" w:cs="Arial"/>
                <w:color w:val="000000"/>
                <w:sz w:val="22"/>
                <w:szCs w:val="22"/>
              </w:rPr>
              <w:t xml:space="preserve"> bib2df </w:t>
            </w: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kableExtra</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natmanager</w:t>
            </w:r>
            <w:proofErr w:type="spellEnd"/>
            <w:r>
              <w:rPr>
                <w:rFonts w:ascii="Arial" w:eastAsia="Helvetica" w:hAnsi="Arial" w:cs="Arial"/>
                <w:color w:val="000000"/>
                <w:sz w:val="22"/>
                <w:szCs w:val="22"/>
              </w:rPr>
              <w:t xml:space="preserve"> piggyback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rmarkdown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rvest</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tidyRSS</w:t>
            </w:r>
            <w:proofErr w:type="spellEnd"/>
            <w:r>
              <w:rPr>
                <w:rFonts w:ascii="Arial" w:eastAsia="Helvetica" w:hAnsi="Arial" w:cs="Arial"/>
                <w:color w:val="000000"/>
                <w:sz w:val="22"/>
                <w:szCs w:val="22"/>
              </w:rPr>
              <w:t xml:space="preserve"> tools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zen4R</w:t>
            </w:r>
          </w:p>
        </w:tc>
      </w:tr>
      <w:tr w:rsidR="00182EE7" w:rsidTr="00AB25E1">
        <w:trPr>
          <w:trHeight w:val="1021"/>
        </w:trPr>
        <w:tc>
          <w:tcPr>
            <w:tcW w:w="1383" w:type="dxa"/>
            <w:hideMark/>
          </w:tcPr>
          <w:p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extent cx="6191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5910" w:type="dxa"/>
            <w:hideMark/>
          </w:tcPr>
          <w:p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 xml:space="preserve">Streamline and standardise the authoring and documenting of functions that support transferable and generalisable model algorithms. </w:t>
            </w:r>
          </w:p>
        </w:tc>
        <w:tc>
          <w:tcPr>
            <w:tcW w:w="7030" w:type="dxa"/>
            <w:hideMark/>
          </w:tcPr>
          <w:p w:rsidR="00182EE7" w:rsidRDefault="00182EE7">
            <w:pPr>
              <w:spacing w:before="100" w:after="100"/>
              <w:ind w:left="100" w:right="100"/>
              <w:rPr>
                <w:rFonts w:ascii="Arial" w:hAnsi="Arial" w:cs="Arial"/>
              </w:rPr>
            </w:pPr>
            <w:r>
              <w:rPr>
                <w:rFonts w:ascii="Arial" w:eastAsia="Helvetica" w:hAnsi="Arial" w:cs="Arial"/>
                <w:color w:val="000000"/>
                <w:sz w:val="22"/>
                <w:szCs w:val="22"/>
              </w:rPr>
              <w:t xml:space="preserve">desc </w:t>
            </w:r>
            <w:proofErr w:type="spellStart"/>
            <w:r>
              <w:rPr>
                <w:rFonts w:ascii="Arial" w:eastAsia="Helvetica" w:hAnsi="Arial" w:cs="Arial"/>
                <w:color w:val="000000"/>
                <w:sz w:val="22"/>
                <w:szCs w:val="22"/>
              </w:rPr>
              <w:t>devtools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generics </w:t>
            </w:r>
            <w:proofErr w:type="spellStart"/>
            <w:r>
              <w:rPr>
                <w:rFonts w:ascii="Arial" w:eastAsia="Helvetica" w:hAnsi="Arial" w:cs="Arial"/>
                <w:color w:val="000000"/>
                <w:sz w:val="22"/>
                <w:szCs w:val="22"/>
              </w:rPr>
              <w:t>gert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lubridate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piggyback </w:t>
            </w:r>
            <w:proofErr w:type="spellStart"/>
            <w:r>
              <w:rPr>
                <w:rFonts w:ascii="Arial" w:eastAsia="Helvetica" w:hAnsi="Arial" w:cs="Arial"/>
                <w:color w:val="000000"/>
                <w:sz w:val="22"/>
                <w:szCs w:val="22"/>
              </w:rPr>
              <w:t>pkgdown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ready4 ready4show ready4use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sinew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tools </w:t>
            </w:r>
            <w:proofErr w:type="spellStart"/>
            <w:r>
              <w:rPr>
                <w:rFonts w:ascii="Arial" w:eastAsia="Helvetica" w:hAnsi="Arial" w:cs="Arial"/>
                <w:color w:val="000000"/>
                <w:sz w:val="22"/>
                <w:szCs w:val="22"/>
              </w:rPr>
              <w:t>usethis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xfun</w:t>
            </w:r>
            <w:proofErr w:type="spellEnd"/>
          </w:p>
        </w:tc>
      </w:tr>
      <w:tr w:rsidR="00182EE7" w:rsidTr="00AB25E1">
        <w:trPr>
          <w:cnfStyle w:val="000000100000" w:firstRow="0" w:lastRow="0" w:firstColumn="0" w:lastColumn="0" w:oddVBand="0" w:evenVBand="0" w:oddHBand="1" w:evenHBand="0" w:firstRowFirstColumn="0" w:firstRowLastColumn="0" w:lastRowFirstColumn="0" w:lastRowLastColumn="0"/>
          <w:trHeight w:val="1098"/>
        </w:trPr>
        <w:tc>
          <w:tcPr>
            <w:tcW w:w="1383" w:type="dxa"/>
            <w:hideMark/>
          </w:tcPr>
          <w:p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extent cx="61912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9125" cy="628650"/>
                          </a:xfrm>
                          <a:prstGeom prst="rect">
                            <a:avLst/>
                          </a:prstGeom>
                          <a:noFill/>
                          <a:ln>
                            <a:noFill/>
                          </a:ln>
                        </pic:spPr>
                      </pic:pic>
                    </a:graphicData>
                  </a:graphic>
                </wp:inline>
              </w:drawing>
            </w:r>
          </w:p>
        </w:tc>
        <w:tc>
          <w:tcPr>
            <w:tcW w:w="5910" w:type="dxa"/>
            <w:hideMark/>
          </w:tcPr>
          <w:p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Streamline and standardise the authoring and documenting of new interoperable CHEM modules.</w:t>
            </w:r>
          </w:p>
        </w:tc>
        <w:tc>
          <w:tcPr>
            <w:tcW w:w="7030" w:type="dxa"/>
            <w:hideMark/>
          </w:tcPr>
          <w:p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devtools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gtools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ready4fun ready4show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usethis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p>
        </w:tc>
      </w:tr>
      <w:tr w:rsidR="00182EE7" w:rsidTr="00AB25E1">
        <w:trPr>
          <w:trHeight w:val="1044"/>
        </w:trPr>
        <w:tc>
          <w:tcPr>
            <w:tcW w:w="1383" w:type="dxa"/>
            <w:hideMark/>
          </w:tcPr>
          <w:p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extent cx="6191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5910" w:type="dxa"/>
            <w:hideMark/>
          </w:tcPr>
          <w:p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Help bundle and disseminate newly created CHEM modules as R libraries that are documented, licensed and quality assured.</w:t>
            </w:r>
          </w:p>
        </w:tc>
        <w:tc>
          <w:tcPr>
            <w:tcW w:w="7030" w:type="dxa"/>
            <w:hideMark/>
          </w:tcPr>
          <w:p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ready4class ready4fun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p>
        </w:tc>
      </w:tr>
      <w:tr w:rsidR="00182EE7" w:rsidTr="00AB25E1">
        <w:trPr>
          <w:cnfStyle w:val="000000100000" w:firstRow="0" w:lastRow="0" w:firstColumn="0" w:lastColumn="0" w:oddVBand="0" w:evenVBand="0" w:oddHBand="1" w:evenHBand="0" w:firstRowFirstColumn="0" w:firstRowLastColumn="0" w:lastRowFirstColumn="0" w:lastRowLastColumn="0"/>
          <w:trHeight w:val="1158"/>
        </w:trPr>
        <w:tc>
          <w:tcPr>
            <w:tcW w:w="1383" w:type="dxa"/>
            <w:hideMark/>
          </w:tcPr>
          <w:p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extent cx="6286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5910" w:type="dxa"/>
            <w:hideMark/>
          </w:tcPr>
          <w:p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Help manage the labelling and transfer of data between CHEM modules and local and remote data repositories.</w:t>
            </w:r>
          </w:p>
        </w:tc>
        <w:tc>
          <w:tcPr>
            <w:tcW w:w="7030" w:type="dxa"/>
            <w:hideMark/>
          </w:tcPr>
          <w:p w:rsidR="00182EE7" w:rsidRDefault="00182EE7">
            <w:pPr>
              <w:spacing w:before="100" w:after="100"/>
              <w:ind w:left="100" w:right="100"/>
              <w:rPr>
                <w:rFonts w:ascii="Arial" w:hAnsi="Arial" w:cs="Arial"/>
              </w:rPr>
            </w:pPr>
            <w:proofErr w:type="spellStart"/>
            <w:proofErr w:type="gramStart"/>
            <w:r>
              <w:rPr>
                <w:rFonts w:ascii="Arial" w:eastAsia="Helvetica" w:hAnsi="Arial" w:cs="Arial"/>
                <w:color w:val="000000"/>
                <w:sz w:val="22"/>
                <w:szCs w:val="22"/>
              </w:rPr>
              <w:t>data.table</w:t>
            </w:r>
            <w:proofErr w:type="spellEnd"/>
            <w:proofErr w:type="gram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piggyback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ready4 ready4show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p>
        </w:tc>
      </w:tr>
      <w:tr w:rsidR="00182EE7" w:rsidTr="00AB25E1">
        <w:trPr>
          <w:trHeight w:val="1026"/>
        </w:trPr>
        <w:tc>
          <w:tcPr>
            <w:tcW w:w="1383" w:type="dxa"/>
            <w:hideMark/>
          </w:tcPr>
          <w:p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extent cx="62865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5910" w:type="dxa"/>
            <w:hideMark/>
          </w:tcPr>
          <w:p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 xml:space="preserve">Facilitate the use of CHEM modules in programs that make the entire data ingest, analysis and reporting pipeline reproducible </w:t>
            </w:r>
          </w:p>
        </w:tc>
        <w:tc>
          <w:tcPr>
            <w:tcW w:w="7030" w:type="dxa"/>
            <w:hideMark/>
          </w:tcPr>
          <w:p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DescTools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flextable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grDevices</w:t>
            </w:r>
            <w:proofErr w:type="spellEnd"/>
            <w:r>
              <w:rPr>
                <w:rFonts w:ascii="Arial" w:eastAsia="Helvetica" w:hAnsi="Arial" w:cs="Arial"/>
                <w:color w:val="000000"/>
                <w:sz w:val="22"/>
                <w:szCs w:val="22"/>
              </w:rPr>
              <w:t xml:space="preserve"> here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kableExtra</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knitrBootstrap</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officer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rmarkdown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xtable</w:t>
            </w:r>
            <w:proofErr w:type="spellEnd"/>
          </w:p>
        </w:tc>
      </w:tr>
    </w:tbl>
    <w:p w:rsidR="00182EE7" w:rsidRDefault="00182EE7" w:rsidP="00182EE7">
      <w:pPr>
        <w:pStyle w:val="TableCaption"/>
        <w:keepNext/>
        <w:rPr>
          <w:b/>
        </w:rPr>
      </w:pPr>
    </w:p>
    <w:p w:rsidR="00182EE7" w:rsidRDefault="00182EE7" w:rsidP="00182EE7">
      <w:pPr>
        <w:pStyle w:val="TableCaption"/>
        <w:keepNext/>
      </w:pPr>
      <w:r>
        <w:rPr>
          <w:b/>
        </w:rPr>
        <w:t xml:space="preserve">Table  </w:t>
      </w:r>
      <w:bookmarkStart w:id="99" w:name="checktb"/>
      <w:r>
        <w:fldChar w:fldCharType="begin"/>
      </w:r>
      <w:r>
        <w:rPr>
          <w:b/>
        </w:rPr>
        <w:instrText>SEQ tab \* Arabic</w:instrText>
      </w:r>
      <w:r>
        <w:fldChar w:fldCharType="separate"/>
      </w:r>
      <w:r>
        <w:rPr>
          <w:b/>
          <w:noProof/>
        </w:rPr>
        <w:t>4</w:t>
      </w:r>
      <w:r>
        <w:fldChar w:fldCharType="end"/>
      </w:r>
      <w:bookmarkEnd w:id="99"/>
      <w:r>
        <w:rPr>
          <w:b/>
        </w:rPr>
        <w:t xml:space="preserve">:  </w:t>
      </w:r>
      <w:r>
        <w:t>Transparent, reusable and updatable (TRU) assessment criteria applied to outcome valuation computational health economic model (CHEM)</w:t>
      </w:r>
    </w:p>
    <w:tbl>
      <w:tblPr>
        <w:tblStyle w:val="GridTable4-Accent1"/>
        <w:tblW w:w="13360" w:type="dxa"/>
        <w:tblLook w:val="04A0" w:firstRow="1" w:lastRow="0" w:firstColumn="1" w:lastColumn="0" w:noHBand="0" w:noVBand="1"/>
      </w:tblPr>
      <w:tblGrid>
        <w:gridCol w:w="2174"/>
        <w:gridCol w:w="840"/>
        <w:gridCol w:w="10346"/>
      </w:tblGrid>
      <w:tr w:rsidR="00182EE7" w:rsidTr="00AB25E1">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178" w:type="dxa"/>
            <w:hideMark/>
          </w:tcPr>
          <w:p w:rsidR="00182EE7" w:rsidRDefault="00182EE7">
            <w:pPr>
              <w:pStyle w:val="TableCaption"/>
              <w:rPr>
                <w:rFonts w:ascii="Arial" w:hAnsi="Arial" w:cs="Arial"/>
                <w:i w:val="0"/>
                <w:lang w:val="en-AU"/>
              </w:rPr>
            </w:pPr>
            <w:r>
              <w:rPr>
                <w:rFonts w:ascii="Arial" w:hAnsi="Arial" w:cs="Arial"/>
                <w:b w:val="0"/>
                <w:bCs w:val="0"/>
                <w:i w:val="0"/>
              </w:rPr>
              <w:t>Criteria</w:t>
            </w:r>
          </w:p>
        </w:tc>
        <w:tc>
          <w:tcPr>
            <w:tcW w:w="765" w:type="dxa"/>
            <w:hideMark/>
          </w:tcPr>
          <w:p w:rsidR="00182EE7" w:rsidRDefault="00182EE7">
            <w:pPr>
              <w:pStyle w:val="TableCaption"/>
              <w:cnfStyle w:val="100000000000" w:firstRow="1" w:lastRow="0" w:firstColumn="0" w:lastColumn="0" w:oddVBand="0" w:evenVBand="0" w:oddHBand="0" w:evenHBand="0" w:firstRowFirstColumn="0" w:firstRowLastColumn="0" w:lastRowFirstColumn="0" w:lastRowLastColumn="0"/>
              <w:rPr>
                <w:rFonts w:ascii="Arial" w:hAnsi="Arial" w:cs="Arial"/>
                <w:i w:val="0"/>
                <w:lang w:val="en-AU"/>
              </w:rPr>
            </w:pPr>
            <w:r>
              <w:rPr>
                <w:rFonts w:ascii="Arial" w:hAnsi="Arial" w:cs="Arial"/>
                <w:b w:val="0"/>
                <w:bCs w:val="0"/>
                <w:i w:val="0"/>
              </w:rPr>
              <w:t>Met?</w:t>
            </w:r>
          </w:p>
        </w:tc>
        <w:tc>
          <w:tcPr>
            <w:tcW w:w="10417" w:type="dxa"/>
            <w:hideMark/>
          </w:tcPr>
          <w:p w:rsidR="00182EE7" w:rsidRDefault="00182EE7">
            <w:pPr>
              <w:pStyle w:val="TableCaption"/>
              <w:cnfStyle w:val="100000000000" w:firstRow="1" w:lastRow="0" w:firstColumn="0" w:lastColumn="0" w:oddVBand="0" w:evenVBand="0" w:oddHBand="0" w:evenHBand="0" w:firstRowFirstColumn="0" w:firstRowLastColumn="0" w:lastRowFirstColumn="0" w:lastRowLastColumn="0"/>
              <w:rPr>
                <w:rFonts w:ascii="Arial" w:hAnsi="Arial" w:cs="Arial"/>
                <w:i w:val="0"/>
                <w:lang w:val="en-AU"/>
              </w:rPr>
            </w:pPr>
            <w:r>
              <w:rPr>
                <w:rFonts w:ascii="Arial" w:hAnsi="Arial" w:cs="Arial"/>
                <w:b w:val="0"/>
                <w:bCs w:val="0"/>
                <w:i w:val="0"/>
              </w:rPr>
              <w:t>Detail</w:t>
            </w:r>
          </w:p>
        </w:tc>
      </w:tr>
      <w:tr w:rsidR="00182EE7" w:rsidTr="00AB25E1">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178" w:type="dxa"/>
            <w:hideMark/>
          </w:tcPr>
          <w:p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T1 </w:t>
            </w:r>
            <w:r w:rsidRPr="00E443A2">
              <w:rPr>
                <w:rFonts w:ascii="Arial" w:hAnsi="Arial" w:cs="Arial"/>
                <w:b w:val="0"/>
                <w:bCs w:val="0"/>
                <w:i w:val="0"/>
                <w:sz w:val="22"/>
              </w:rPr>
              <w:t>S</w:t>
            </w:r>
            <w:r w:rsidRPr="00E443A2">
              <w:rPr>
                <w:rFonts w:ascii="Arial" w:hAnsi="Arial" w:cs="Arial"/>
                <w:b w:val="0"/>
                <w:i w:val="0"/>
                <w:sz w:val="22"/>
              </w:rPr>
              <w:t>oftware files are open access</w:t>
            </w:r>
          </w:p>
        </w:tc>
        <w:tc>
          <w:tcPr>
            <w:tcW w:w="765" w:type="dxa"/>
            <w:hideMark/>
          </w:tcPr>
          <w:p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All source code and testing procedures are available in public GitHub repositories, with each code release persistently available in a </w:t>
            </w:r>
            <w:proofErr w:type="spellStart"/>
            <w:r>
              <w:rPr>
                <w:rFonts w:ascii="Arial" w:hAnsi="Arial" w:cs="Arial"/>
                <w:i w:val="0"/>
                <w:sz w:val="22"/>
                <w:szCs w:val="22"/>
              </w:rPr>
              <w:t>Zenodo</w:t>
            </w:r>
            <w:proofErr w:type="spellEnd"/>
            <w:r>
              <w:rPr>
                <w:rFonts w:ascii="Arial" w:hAnsi="Arial" w:cs="Arial"/>
                <w:i w:val="0"/>
                <w:sz w:val="22"/>
                <w:szCs w:val="22"/>
              </w:rPr>
              <w:t xml:space="preserve"> repository. Study dataset contains confidential patient records and was not published. Instead, a synthetic representation of the study dataset is persistently available in a repository in the Harvard </w:t>
            </w:r>
            <w:proofErr w:type="spellStart"/>
            <w:r>
              <w:rPr>
                <w:rFonts w:ascii="Arial" w:hAnsi="Arial" w:cs="Arial"/>
                <w:i w:val="0"/>
                <w:sz w:val="22"/>
                <w:szCs w:val="22"/>
              </w:rPr>
              <w:t>Dataverse</w:t>
            </w:r>
            <w:proofErr w:type="spellEnd"/>
            <w:r>
              <w:rPr>
                <w:rFonts w:ascii="Arial" w:hAnsi="Arial" w:cs="Arial"/>
                <w:i w:val="0"/>
                <w:sz w:val="22"/>
                <w:szCs w:val="22"/>
              </w:rPr>
              <w:t>. Data files to support out of sample application of models are published at the same location.</w:t>
            </w:r>
          </w:p>
        </w:tc>
      </w:tr>
      <w:tr w:rsidR="00182EE7" w:rsidTr="00AB25E1">
        <w:trPr>
          <w:trHeight w:val="1252"/>
        </w:trPr>
        <w:tc>
          <w:tcPr>
            <w:cnfStyle w:val="001000000000" w:firstRow="0" w:lastRow="0" w:firstColumn="1" w:lastColumn="0" w:oddVBand="0" w:evenVBand="0" w:oddHBand="0" w:evenHBand="0" w:firstRowFirstColumn="0" w:firstRowLastColumn="0" w:lastRowFirstColumn="0" w:lastRowLastColumn="0"/>
            <w:tcW w:w="2178" w:type="dxa"/>
            <w:hideMark/>
          </w:tcPr>
          <w:p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T2 </w:t>
            </w:r>
            <w:r w:rsidRPr="00E443A2">
              <w:rPr>
                <w:rFonts w:ascii="Arial" w:hAnsi="Arial" w:cs="Arial"/>
                <w:b w:val="0"/>
                <w:bCs w:val="0"/>
                <w:i w:val="0"/>
                <w:sz w:val="22"/>
              </w:rPr>
              <w:t>J</w:t>
            </w:r>
            <w:r w:rsidRPr="00E443A2">
              <w:rPr>
                <w:rFonts w:ascii="Arial" w:hAnsi="Arial" w:cs="Arial"/>
                <w:b w:val="0"/>
                <w:i w:val="0"/>
                <w:sz w:val="22"/>
              </w:rPr>
              <w:t>udgments and contributions are easily identified</w:t>
            </w:r>
          </w:p>
        </w:tc>
        <w:tc>
          <w:tcPr>
            <w:tcW w:w="765" w:type="dxa"/>
            <w:hideMark/>
          </w:tcPr>
          <w:p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module libraries, programs, and datasets are distributed with citation information. GitHub repositories detail author code contributions over project development history are publicly visible.</w:t>
            </w:r>
            <w:r>
              <w:rPr>
                <w:rFonts w:ascii="Arial" w:hAnsi="Arial" w:cs="Arial"/>
                <w:i w:val="0"/>
                <w:sz w:val="22"/>
                <w:szCs w:val="22"/>
                <w:lang w:val="en-AU"/>
              </w:rPr>
              <w:t xml:space="preserve"> </w:t>
            </w:r>
            <w:r>
              <w:rPr>
                <w:rFonts w:ascii="Arial" w:hAnsi="Arial" w:cs="Arial"/>
                <w:i w:val="0"/>
                <w:sz w:val="22"/>
                <w:szCs w:val="22"/>
              </w:rPr>
              <w:t xml:space="preserve">Model catalogues persistently available on the Harvard </w:t>
            </w:r>
            <w:proofErr w:type="spellStart"/>
            <w:r>
              <w:rPr>
                <w:rFonts w:ascii="Arial" w:hAnsi="Arial" w:cs="Arial"/>
                <w:i w:val="0"/>
                <w:sz w:val="22"/>
                <w:szCs w:val="22"/>
              </w:rPr>
              <w:t>Dataverse</w:t>
            </w:r>
            <w:proofErr w:type="spellEnd"/>
            <w:r>
              <w:rPr>
                <w:rFonts w:ascii="Arial" w:hAnsi="Arial" w:cs="Arial"/>
                <w:i w:val="0"/>
                <w:sz w:val="22"/>
                <w:szCs w:val="22"/>
              </w:rPr>
              <w:t xml:space="preserve"> describe the predictive performance of models under multiple usage regimes.</w:t>
            </w:r>
            <w:r>
              <w:rPr>
                <w:rFonts w:ascii="Arial" w:hAnsi="Arial" w:cs="Arial"/>
                <w:i w:val="0"/>
                <w:sz w:val="22"/>
                <w:szCs w:val="22"/>
                <w:lang w:val="en-AU"/>
              </w:rPr>
              <w:t xml:space="preserve"> </w:t>
            </w:r>
            <w:r>
              <w:rPr>
                <w:rFonts w:ascii="Arial" w:hAnsi="Arial" w:cs="Arial"/>
                <w:i w:val="0"/>
                <w:sz w:val="22"/>
                <w:szCs w:val="22"/>
              </w:rPr>
              <w:t xml:space="preserve">Each code library is documented with worked examples of how to apply modules.  Analysis and reporting programs are self-documenting. </w:t>
            </w:r>
            <w:r>
              <w:rPr>
                <w:rFonts w:ascii="Arial" w:hAnsi="Arial" w:cs="Arial"/>
                <w:i w:val="0"/>
                <w:sz w:val="22"/>
                <w:szCs w:val="22"/>
                <w:lang w:val="en-AU"/>
              </w:rPr>
              <w:t xml:space="preserve"> </w:t>
            </w:r>
            <w:r>
              <w:rPr>
                <w:rFonts w:ascii="Arial" w:hAnsi="Arial" w:cs="Arial"/>
                <w:i w:val="0"/>
                <w:sz w:val="22"/>
                <w:szCs w:val="22"/>
              </w:rPr>
              <w:t>Sub-routines for generating reports are documented with README files.</w:t>
            </w:r>
          </w:p>
        </w:tc>
      </w:tr>
      <w:tr w:rsidR="00182EE7" w:rsidTr="00AB25E1">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2178" w:type="dxa"/>
            <w:hideMark/>
          </w:tcPr>
          <w:p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R1 </w:t>
            </w:r>
            <w:r w:rsidRPr="00E443A2">
              <w:rPr>
                <w:rFonts w:ascii="Arial" w:hAnsi="Arial" w:cs="Arial"/>
                <w:b w:val="0"/>
                <w:bCs w:val="0"/>
                <w:i w:val="0"/>
                <w:sz w:val="22"/>
              </w:rPr>
              <w:t>P</w:t>
            </w:r>
            <w:r w:rsidRPr="00E443A2">
              <w:rPr>
                <w:rFonts w:ascii="Arial" w:hAnsi="Arial" w:cs="Arial"/>
                <w:b w:val="0"/>
                <w:i w:val="0"/>
                <w:sz w:val="22"/>
              </w:rPr>
              <w:t xml:space="preserve">rogramming practices promote </w:t>
            </w:r>
            <w:proofErr w:type="spellStart"/>
            <w:r w:rsidRPr="00E443A2">
              <w:rPr>
                <w:rFonts w:ascii="Arial" w:hAnsi="Arial" w:cs="Arial"/>
                <w:b w:val="0"/>
                <w:i w:val="0"/>
                <w:sz w:val="22"/>
              </w:rPr>
              <w:t>generalisability</w:t>
            </w:r>
            <w:proofErr w:type="spellEnd"/>
            <w:r w:rsidRPr="00E443A2">
              <w:rPr>
                <w:rFonts w:ascii="Arial" w:hAnsi="Arial" w:cs="Arial"/>
                <w:b w:val="0"/>
                <w:i w:val="0"/>
                <w:sz w:val="22"/>
              </w:rPr>
              <w:t xml:space="preserve"> and transferability</w:t>
            </w:r>
          </w:p>
        </w:tc>
        <w:tc>
          <w:tcPr>
            <w:tcW w:w="765" w:type="dxa"/>
            <w:hideMark/>
          </w:tcPr>
          <w:p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Model code is written using both functional and object-oriented paradigms.</w:t>
            </w:r>
            <w:r>
              <w:rPr>
                <w:rFonts w:ascii="Arial" w:hAnsi="Arial" w:cs="Arial"/>
                <w:i w:val="0"/>
                <w:sz w:val="22"/>
                <w:szCs w:val="22"/>
                <w:lang w:val="en-AU"/>
              </w:rPr>
              <w:t xml:space="preserve"> </w:t>
            </w:r>
            <w:r>
              <w:rPr>
                <w:rFonts w:ascii="Arial" w:hAnsi="Arial" w:cs="Arial"/>
                <w:i w:val="0"/>
                <w:sz w:val="22"/>
                <w:szCs w:val="22"/>
              </w:rPr>
              <w:t xml:space="preserve">Code library websites include hypothetical examples of </w:t>
            </w:r>
            <w:proofErr w:type="spellStart"/>
            <w:r>
              <w:rPr>
                <w:rFonts w:ascii="Arial" w:hAnsi="Arial" w:cs="Arial"/>
                <w:i w:val="0"/>
                <w:sz w:val="22"/>
                <w:szCs w:val="22"/>
              </w:rPr>
              <w:t>generalisability</w:t>
            </w:r>
            <w:proofErr w:type="spellEnd"/>
            <w:r>
              <w:rPr>
                <w:rFonts w:ascii="Arial" w:hAnsi="Arial" w:cs="Arial"/>
                <w:i w:val="0"/>
                <w:sz w:val="22"/>
                <w:szCs w:val="22"/>
              </w:rPr>
              <w:t xml:space="preserve"> (applying study algorithm to estimate mapping models from new data with the same predictor and outcome variables) and transferability (adapting study algorithm to develop mapping models from datasets with different predictor variables and outcomes measured with a different utility instrument). </w:t>
            </w:r>
          </w:p>
        </w:tc>
      </w:tr>
      <w:tr w:rsidR="00182EE7" w:rsidTr="00AB25E1">
        <w:trPr>
          <w:trHeight w:val="538"/>
        </w:trPr>
        <w:tc>
          <w:tcPr>
            <w:cnfStyle w:val="001000000000" w:firstRow="0" w:lastRow="0" w:firstColumn="1" w:lastColumn="0" w:oddVBand="0" w:evenVBand="0" w:oddHBand="0" w:evenHBand="0" w:firstRowFirstColumn="0" w:firstRowLastColumn="0" w:lastRowFirstColumn="0" w:lastRowLastColumn="0"/>
            <w:tcW w:w="2178" w:type="dxa"/>
            <w:hideMark/>
          </w:tcPr>
          <w:p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R2 </w:t>
            </w:r>
            <w:r w:rsidRPr="00E443A2">
              <w:rPr>
                <w:rFonts w:ascii="Arial" w:hAnsi="Arial" w:cs="Arial"/>
                <w:b w:val="0"/>
                <w:bCs w:val="0"/>
                <w:i w:val="0"/>
                <w:sz w:val="22"/>
              </w:rPr>
              <w:t>L</w:t>
            </w:r>
            <w:r w:rsidRPr="00E443A2">
              <w:rPr>
                <w:rFonts w:ascii="Arial" w:hAnsi="Arial" w:cs="Arial"/>
                <w:b w:val="0"/>
                <w:i w:val="0"/>
                <w:sz w:val="22"/>
              </w:rPr>
              <w:t>icenses restrict only unethical reuse</w:t>
            </w:r>
          </w:p>
        </w:tc>
        <w:tc>
          <w:tcPr>
            <w:tcW w:w="765" w:type="dxa"/>
            <w:hideMark/>
          </w:tcPr>
          <w:p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code is distributed using GPL-3 licenses.</w:t>
            </w:r>
            <w:r>
              <w:rPr>
                <w:rFonts w:ascii="Arial" w:hAnsi="Arial" w:cs="Arial"/>
                <w:i w:val="0"/>
                <w:sz w:val="22"/>
                <w:szCs w:val="22"/>
                <w:lang w:val="en-AU"/>
              </w:rPr>
              <w:t xml:space="preserve"> </w:t>
            </w:r>
            <w:r>
              <w:rPr>
                <w:rFonts w:ascii="Arial" w:hAnsi="Arial" w:cs="Arial"/>
                <w:i w:val="0"/>
                <w:sz w:val="22"/>
                <w:szCs w:val="22"/>
              </w:rPr>
              <w:t xml:space="preserve">Datasets use amended version of template provided by Harvard </w:t>
            </w:r>
            <w:proofErr w:type="spellStart"/>
            <w:r>
              <w:rPr>
                <w:rFonts w:ascii="Arial" w:hAnsi="Arial" w:cs="Arial"/>
                <w:i w:val="0"/>
                <w:sz w:val="22"/>
                <w:szCs w:val="22"/>
              </w:rPr>
              <w:t>Dataverse</w:t>
            </w:r>
            <w:proofErr w:type="spellEnd"/>
            <w:r>
              <w:rPr>
                <w:rFonts w:ascii="Arial" w:hAnsi="Arial" w:cs="Arial"/>
                <w:i w:val="0"/>
                <w:sz w:val="22"/>
                <w:szCs w:val="22"/>
              </w:rPr>
              <w:t>, allowing reuse of data subject to some ethical restrictions (e.g., use in efforts to reidentify study participants is prohibited).</w:t>
            </w:r>
          </w:p>
        </w:tc>
      </w:tr>
      <w:tr w:rsidR="00182EE7" w:rsidTr="00AB25E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178" w:type="dxa"/>
            <w:hideMark/>
          </w:tcPr>
          <w:p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U1 </w:t>
            </w:r>
            <w:r w:rsidRPr="00E443A2">
              <w:rPr>
                <w:rFonts w:ascii="Arial" w:hAnsi="Arial" w:cs="Arial"/>
                <w:b w:val="0"/>
                <w:bCs w:val="0"/>
                <w:i w:val="0"/>
                <w:sz w:val="22"/>
              </w:rPr>
              <w:t>M</w:t>
            </w:r>
            <w:r w:rsidRPr="00E443A2">
              <w:rPr>
                <w:rFonts w:ascii="Arial" w:hAnsi="Arial" w:cs="Arial"/>
                <w:b w:val="0"/>
                <w:i w:val="0"/>
                <w:sz w:val="22"/>
              </w:rPr>
              <w:t>aintenance infrastructure is in place</w:t>
            </w:r>
          </w:p>
        </w:tc>
        <w:tc>
          <w:tcPr>
            <w:tcW w:w="765" w:type="dxa"/>
            <w:hideMark/>
          </w:tcPr>
          <w:p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Yes </w:t>
            </w:r>
          </w:p>
        </w:tc>
        <w:tc>
          <w:tcPr>
            <w:tcW w:w="10417" w:type="dxa"/>
            <w:hideMark/>
          </w:tcPr>
          <w:p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code is version controlled using git and GitHub, with semantic versioning. Each code library has a specified maintainer and guidance for potential code contributors is available on the project website.</w:t>
            </w:r>
          </w:p>
        </w:tc>
      </w:tr>
      <w:tr w:rsidR="00182EE7" w:rsidTr="00AB25E1">
        <w:trPr>
          <w:trHeight w:val="1012"/>
        </w:trPr>
        <w:tc>
          <w:tcPr>
            <w:cnfStyle w:val="001000000000" w:firstRow="0" w:lastRow="0" w:firstColumn="1" w:lastColumn="0" w:oddVBand="0" w:evenVBand="0" w:oddHBand="0" w:evenHBand="0" w:firstRowFirstColumn="0" w:firstRowLastColumn="0" w:lastRowFirstColumn="0" w:lastRowLastColumn="0"/>
            <w:tcW w:w="2178" w:type="dxa"/>
            <w:hideMark/>
          </w:tcPr>
          <w:p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U2 </w:t>
            </w:r>
            <w:r w:rsidRPr="00E443A2">
              <w:rPr>
                <w:rFonts w:ascii="Arial" w:hAnsi="Arial" w:cs="Arial"/>
                <w:b w:val="0"/>
                <w:bCs w:val="0"/>
                <w:i w:val="0"/>
                <w:sz w:val="22"/>
              </w:rPr>
              <w:t>N</w:t>
            </w:r>
            <w:r w:rsidRPr="00E443A2">
              <w:rPr>
                <w:rFonts w:ascii="Arial" w:hAnsi="Arial" w:cs="Arial"/>
                <w:b w:val="0"/>
                <w:i w:val="0"/>
                <w:sz w:val="22"/>
              </w:rPr>
              <w:t>ew releases are systematically retested and deprecated</w:t>
            </w:r>
          </w:p>
        </w:tc>
        <w:tc>
          <w:tcPr>
            <w:tcW w:w="765" w:type="dxa"/>
            <w:hideMark/>
          </w:tcPr>
          <w:p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Partial </w:t>
            </w:r>
          </w:p>
        </w:tc>
        <w:tc>
          <w:tcPr>
            <w:tcW w:w="10417" w:type="dxa"/>
            <w:hideMark/>
          </w:tcPr>
          <w:p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Continuous integration used for all code libraries, primarily for acceptance testing. Only limited use is made of unit testing. Retired library code is deprecated using tools from the lifecycle R library. Library documentation articles and datasets are also deprecated.</w:t>
            </w:r>
          </w:p>
        </w:tc>
      </w:tr>
    </w:tbl>
    <w:p w:rsidR="00182EE7" w:rsidRDefault="00182EE7" w:rsidP="00182EE7">
      <w:pPr>
        <w:pStyle w:val="TableCaption"/>
        <w:keepNext/>
      </w:pPr>
    </w:p>
    <w:p w:rsidR="00182EE7" w:rsidRDefault="00182EE7" w:rsidP="00182EE7"/>
    <w:p w:rsidR="00182EE7" w:rsidRDefault="00182EE7" w:rsidP="00182EE7">
      <w:pPr>
        <w:pStyle w:val="Figure"/>
      </w:pPr>
      <w:r>
        <w:rPr>
          <w:rFonts w:ascii="Arial" w:hAnsi="Arial" w:cs="Arial"/>
          <w:b/>
          <w:noProof/>
        </w:rPr>
        <w:drawing>
          <wp:inline distT="0" distB="0" distL="0" distR="0" wp14:anchorId="054BA668" wp14:editId="423B983B">
            <wp:extent cx="8258810" cy="4645359"/>
            <wp:effectExtent l="0" t="0" r="889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e1.png"/>
                    <pic:cNvPicPr/>
                  </pic:nvPicPr>
                  <pic:blipFill>
                    <a:blip r:embed="rId74">
                      <a:extLst>
                        <a:ext uri="{28A0092B-C50C-407E-A947-70E740481C1C}">
                          <a14:useLocalDpi xmlns:a14="http://schemas.microsoft.com/office/drawing/2010/main" val="0"/>
                        </a:ext>
                      </a:extLst>
                    </a:blip>
                    <a:stretch>
                      <a:fillRect/>
                    </a:stretch>
                  </pic:blipFill>
                  <pic:spPr>
                    <a:xfrm>
                      <a:off x="0" y="0"/>
                      <a:ext cx="8258810" cy="4645359"/>
                    </a:xfrm>
                    <a:prstGeom prst="rect">
                      <a:avLst/>
                    </a:prstGeom>
                  </pic:spPr>
                </pic:pic>
              </a:graphicData>
            </a:graphic>
          </wp:inline>
        </w:drawing>
      </w:r>
    </w:p>
    <w:p w:rsidR="00182EE7" w:rsidRDefault="00182EE7" w:rsidP="00182EE7">
      <w:pPr>
        <w:pStyle w:val="ImageCaption"/>
      </w:pPr>
      <w:r>
        <w:rPr>
          <w:b/>
        </w:rPr>
        <w:t xml:space="preserve">Figure </w:t>
      </w:r>
      <w:bookmarkStart w:id="100" w:name="fig1"/>
      <w:r>
        <w:fldChar w:fldCharType="begin"/>
      </w:r>
      <w:r>
        <w:rPr>
          <w:b/>
        </w:rPr>
        <w:instrText>SEQ fig \* Arabic</w:instrText>
      </w:r>
      <w:r>
        <w:fldChar w:fldCharType="separate"/>
      </w:r>
      <w:r>
        <w:rPr>
          <w:b/>
          <w:noProof/>
        </w:rPr>
        <w:t>1</w:t>
      </w:r>
      <w:r>
        <w:fldChar w:fldCharType="end"/>
      </w:r>
      <w:bookmarkStart w:id="101" w:name="tables-and-figures"/>
      <w:bookmarkEnd w:id="100"/>
      <w:r>
        <w:rPr>
          <w:b/>
        </w:rPr>
        <w:t xml:space="preserve">: </w:t>
      </w:r>
      <w:r>
        <w:t xml:space="preserve">High level summary of planned implementation of youth mental health </w:t>
      </w:r>
      <w:bookmarkEnd w:id="101"/>
      <w:r w:rsidR="00E443A2">
        <w:t>CHEM project</w:t>
      </w:r>
      <w:bookmarkStart w:id="102" w:name="_GoBack"/>
      <w:bookmarkEnd w:id="102"/>
    </w:p>
    <w:p w:rsidR="00E875D8" w:rsidRDefault="00E875D8"/>
    <w:sectPr w:rsidR="00E875D8" w:rsidSect="00182EE7">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96A" w:rsidRDefault="0024696A">
      <w:pPr>
        <w:spacing w:after="0"/>
      </w:pPr>
      <w:r>
        <w:separator/>
      </w:r>
    </w:p>
  </w:endnote>
  <w:endnote w:type="continuationSeparator" w:id="0">
    <w:p w:rsidR="0024696A" w:rsidRDefault="002469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Content>
      <w:p w:rsidR="00FC2679" w:rsidRDefault="00FC2679" w:rsidP="00FC26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FC2679" w:rsidRDefault="00FC2679" w:rsidP="00FC26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Content>
      <w:p w:rsidR="00FC2679" w:rsidRDefault="00FC2679" w:rsidP="00FC26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C2679" w:rsidRDefault="00FC2679" w:rsidP="00FC26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96A" w:rsidRDefault="0024696A">
      <w:pPr>
        <w:spacing w:after="0"/>
      </w:pPr>
      <w:r>
        <w:separator/>
      </w:r>
    </w:p>
  </w:footnote>
  <w:footnote w:type="continuationSeparator" w:id="0">
    <w:p w:rsidR="0024696A" w:rsidRDefault="002469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01413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1A46D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5E0E9FC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090177"/>
    <w:multiLevelType w:val="hybridMultilevel"/>
    <w:tmpl w:val="A5C27590"/>
    <w:lvl w:ilvl="0" w:tplc="87CC2826">
      <w:start w:val="1"/>
      <w:numFmt w:val="lowerRoman"/>
      <w:lvlText w:val="(%1)"/>
      <w:lvlJc w:val="right"/>
      <w:pPr>
        <w:tabs>
          <w:tab w:val="num" w:pos="720"/>
        </w:tabs>
        <w:ind w:left="720" w:hanging="360"/>
      </w:pPr>
    </w:lvl>
    <w:lvl w:ilvl="1" w:tplc="BB6A55B8" w:tentative="1">
      <w:start w:val="1"/>
      <w:numFmt w:val="lowerRoman"/>
      <w:lvlText w:val="(%2)"/>
      <w:lvlJc w:val="right"/>
      <w:pPr>
        <w:tabs>
          <w:tab w:val="num" w:pos="1440"/>
        </w:tabs>
        <w:ind w:left="1440" w:hanging="360"/>
      </w:pPr>
    </w:lvl>
    <w:lvl w:ilvl="2" w:tplc="C5A27692" w:tentative="1">
      <w:start w:val="1"/>
      <w:numFmt w:val="lowerRoman"/>
      <w:lvlText w:val="(%3)"/>
      <w:lvlJc w:val="right"/>
      <w:pPr>
        <w:tabs>
          <w:tab w:val="num" w:pos="2160"/>
        </w:tabs>
        <w:ind w:left="2160" w:hanging="360"/>
      </w:pPr>
    </w:lvl>
    <w:lvl w:ilvl="3" w:tplc="5B52E608" w:tentative="1">
      <w:start w:val="1"/>
      <w:numFmt w:val="lowerRoman"/>
      <w:lvlText w:val="(%4)"/>
      <w:lvlJc w:val="right"/>
      <w:pPr>
        <w:tabs>
          <w:tab w:val="num" w:pos="2880"/>
        </w:tabs>
        <w:ind w:left="2880" w:hanging="360"/>
      </w:pPr>
    </w:lvl>
    <w:lvl w:ilvl="4" w:tplc="4C269C84" w:tentative="1">
      <w:start w:val="1"/>
      <w:numFmt w:val="lowerRoman"/>
      <w:lvlText w:val="(%5)"/>
      <w:lvlJc w:val="right"/>
      <w:pPr>
        <w:tabs>
          <w:tab w:val="num" w:pos="3600"/>
        </w:tabs>
        <w:ind w:left="3600" w:hanging="360"/>
      </w:pPr>
    </w:lvl>
    <w:lvl w:ilvl="5" w:tplc="DCE02D04" w:tentative="1">
      <w:start w:val="1"/>
      <w:numFmt w:val="lowerRoman"/>
      <w:lvlText w:val="(%6)"/>
      <w:lvlJc w:val="right"/>
      <w:pPr>
        <w:tabs>
          <w:tab w:val="num" w:pos="4320"/>
        </w:tabs>
        <w:ind w:left="4320" w:hanging="360"/>
      </w:pPr>
    </w:lvl>
    <w:lvl w:ilvl="6" w:tplc="6DEC52B2" w:tentative="1">
      <w:start w:val="1"/>
      <w:numFmt w:val="lowerRoman"/>
      <w:lvlText w:val="(%7)"/>
      <w:lvlJc w:val="right"/>
      <w:pPr>
        <w:tabs>
          <w:tab w:val="num" w:pos="5040"/>
        </w:tabs>
        <w:ind w:left="5040" w:hanging="360"/>
      </w:pPr>
    </w:lvl>
    <w:lvl w:ilvl="7" w:tplc="F1B443CC" w:tentative="1">
      <w:start w:val="1"/>
      <w:numFmt w:val="lowerRoman"/>
      <w:lvlText w:val="(%8)"/>
      <w:lvlJc w:val="right"/>
      <w:pPr>
        <w:tabs>
          <w:tab w:val="num" w:pos="5760"/>
        </w:tabs>
        <w:ind w:left="5760" w:hanging="360"/>
      </w:pPr>
    </w:lvl>
    <w:lvl w:ilvl="8" w:tplc="3CDAFE82" w:tentative="1">
      <w:start w:val="1"/>
      <w:numFmt w:val="lowerRoman"/>
      <w:lvlText w:val="(%9)"/>
      <w:lvlJc w:val="right"/>
      <w:pPr>
        <w:tabs>
          <w:tab w:val="num" w:pos="6480"/>
        </w:tabs>
        <w:ind w:left="6480" w:hanging="360"/>
      </w:pPr>
    </w:lvl>
  </w:abstractNum>
  <w:abstractNum w:abstractNumId="14" w15:restartNumberingAfterBreak="0">
    <w:nsid w:val="0BC657B3"/>
    <w:multiLevelType w:val="multilevel"/>
    <w:tmpl w:val="040C001D"/>
    <w:numStyleLink w:val="Defaultul"/>
  </w:abstractNum>
  <w:abstractNum w:abstractNumId="15"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04D628B"/>
    <w:multiLevelType w:val="hybridMultilevel"/>
    <w:tmpl w:val="6380AEA2"/>
    <w:lvl w:ilvl="0" w:tplc="29F4CCEE">
      <w:start w:val="1"/>
      <w:numFmt w:val="bullet"/>
      <w:lvlText w:val="•"/>
      <w:lvlJc w:val="left"/>
      <w:pPr>
        <w:tabs>
          <w:tab w:val="num" w:pos="720"/>
        </w:tabs>
        <w:ind w:left="720" w:hanging="360"/>
      </w:pPr>
      <w:rPr>
        <w:rFonts w:ascii="Arial" w:hAnsi="Arial" w:hint="default"/>
      </w:rPr>
    </w:lvl>
    <w:lvl w:ilvl="1" w:tplc="49B4FF3C" w:tentative="1">
      <w:start w:val="1"/>
      <w:numFmt w:val="bullet"/>
      <w:lvlText w:val="•"/>
      <w:lvlJc w:val="left"/>
      <w:pPr>
        <w:tabs>
          <w:tab w:val="num" w:pos="1440"/>
        </w:tabs>
        <w:ind w:left="1440" w:hanging="360"/>
      </w:pPr>
      <w:rPr>
        <w:rFonts w:ascii="Arial" w:hAnsi="Arial" w:hint="default"/>
      </w:rPr>
    </w:lvl>
    <w:lvl w:ilvl="2" w:tplc="59989B3E" w:tentative="1">
      <w:start w:val="1"/>
      <w:numFmt w:val="bullet"/>
      <w:lvlText w:val="•"/>
      <w:lvlJc w:val="left"/>
      <w:pPr>
        <w:tabs>
          <w:tab w:val="num" w:pos="2160"/>
        </w:tabs>
        <w:ind w:left="2160" w:hanging="360"/>
      </w:pPr>
      <w:rPr>
        <w:rFonts w:ascii="Arial" w:hAnsi="Arial" w:hint="default"/>
      </w:rPr>
    </w:lvl>
    <w:lvl w:ilvl="3" w:tplc="0CC654D0" w:tentative="1">
      <w:start w:val="1"/>
      <w:numFmt w:val="bullet"/>
      <w:lvlText w:val="•"/>
      <w:lvlJc w:val="left"/>
      <w:pPr>
        <w:tabs>
          <w:tab w:val="num" w:pos="2880"/>
        </w:tabs>
        <w:ind w:left="2880" w:hanging="360"/>
      </w:pPr>
      <w:rPr>
        <w:rFonts w:ascii="Arial" w:hAnsi="Arial" w:hint="default"/>
      </w:rPr>
    </w:lvl>
    <w:lvl w:ilvl="4" w:tplc="27A4118C" w:tentative="1">
      <w:start w:val="1"/>
      <w:numFmt w:val="bullet"/>
      <w:lvlText w:val="•"/>
      <w:lvlJc w:val="left"/>
      <w:pPr>
        <w:tabs>
          <w:tab w:val="num" w:pos="3600"/>
        </w:tabs>
        <w:ind w:left="3600" w:hanging="360"/>
      </w:pPr>
      <w:rPr>
        <w:rFonts w:ascii="Arial" w:hAnsi="Arial" w:hint="default"/>
      </w:rPr>
    </w:lvl>
    <w:lvl w:ilvl="5" w:tplc="9BF2FC16" w:tentative="1">
      <w:start w:val="1"/>
      <w:numFmt w:val="bullet"/>
      <w:lvlText w:val="•"/>
      <w:lvlJc w:val="left"/>
      <w:pPr>
        <w:tabs>
          <w:tab w:val="num" w:pos="4320"/>
        </w:tabs>
        <w:ind w:left="4320" w:hanging="360"/>
      </w:pPr>
      <w:rPr>
        <w:rFonts w:ascii="Arial" w:hAnsi="Arial" w:hint="default"/>
      </w:rPr>
    </w:lvl>
    <w:lvl w:ilvl="6" w:tplc="5E0A13F8" w:tentative="1">
      <w:start w:val="1"/>
      <w:numFmt w:val="bullet"/>
      <w:lvlText w:val="•"/>
      <w:lvlJc w:val="left"/>
      <w:pPr>
        <w:tabs>
          <w:tab w:val="num" w:pos="5040"/>
        </w:tabs>
        <w:ind w:left="5040" w:hanging="360"/>
      </w:pPr>
      <w:rPr>
        <w:rFonts w:ascii="Arial" w:hAnsi="Arial" w:hint="default"/>
      </w:rPr>
    </w:lvl>
    <w:lvl w:ilvl="7" w:tplc="7632F926" w:tentative="1">
      <w:start w:val="1"/>
      <w:numFmt w:val="bullet"/>
      <w:lvlText w:val="•"/>
      <w:lvlJc w:val="left"/>
      <w:pPr>
        <w:tabs>
          <w:tab w:val="num" w:pos="5760"/>
        </w:tabs>
        <w:ind w:left="5760" w:hanging="360"/>
      </w:pPr>
      <w:rPr>
        <w:rFonts w:ascii="Arial" w:hAnsi="Arial" w:hint="default"/>
      </w:rPr>
    </w:lvl>
    <w:lvl w:ilvl="8" w:tplc="E9B8BF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4DF29CC"/>
    <w:multiLevelType w:val="hybridMultilevel"/>
    <w:tmpl w:val="474A5C6A"/>
    <w:lvl w:ilvl="0" w:tplc="D2BCF824">
      <w:start w:val="1"/>
      <w:numFmt w:val="bullet"/>
      <w:lvlText w:val="•"/>
      <w:lvlJc w:val="left"/>
      <w:pPr>
        <w:tabs>
          <w:tab w:val="num" w:pos="720"/>
        </w:tabs>
        <w:ind w:left="720" w:hanging="360"/>
      </w:pPr>
      <w:rPr>
        <w:rFonts w:ascii="Arial" w:hAnsi="Arial" w:hint="default"/>
      </w:rPr>
    </w:lvl>
    <w:lvl w:ilvl="1" w:tplc="0FAE0002" w:tentative="1">
      <w:start w:val="1"/>
      <w:numFmt w:val="bullet"/>
      <w:lvlText w:val="•"/>
      <w:lvlJc w:val="left"/>
      <w:pPr>
        <w:tabs>
          <w:tab w:val="num" w:pos="1440"/>
        </w:tabs>
        <w:ind w:left="1440" w:hanging="360"/>
      </w:pPr>
      <w:rPr>
        <w:rFonts w:ascii="Arial" w:hAnsi="Arial" w:hint="default"/>
      </w:rPr>
    </w:lvl>
    <w:lvl w:ilvl="2" w:tplc="9A483260" w:tentative="1">
      <w:start w:val="1"/>
      <w:numFmt w:val="bullet"/>
      <w:lvlText w:val="•"/>
      <w:lvlJc w:val="left"/>
      <w:pPr>
        <w:tabs>
          <w:tab w:val="num" w:pos="2160"/>
        </w:tabs>
        <w:ind w:left="2160" w:hanging="360"/>
      </w:pPr>
      <w:rPr>
        <w:rFonts w:ascii="Arial" w:hAnsi="Arial" w:hint="default"/>
      </w:rPr>
    </w:lvl>
    <w:lvl w:ilvl="3" w:tplc="04C41826" w:tentative="1">
      <w:start w:val="1"/>
      <w:numFmt w:val="bullet"/>
      <w:lvlText w:val="•"/>
      <w:lvlJc w:val="left"/>
      <w:pPr>
        <w:tabs>
          <w:tab w:val="num" w:pos="2880"/>
        </w:tabs>
        <w:ind w:left="2880" w:hanging="360"/>
      </w:pPr>
      <w:rPr>
        <w:rFonts w:ascii="Arial" w:hAnsi="Arial" w:hint="default"/>
      </w:rPr>
    </w:lvl>
    <w:lvl w:ilvl="4" w:tplc="C04EE904" w:tentative="1">
      <w:start w:val="1"/>
      <w:numFmt w:val="bullet"/>
      <w:lvlText w:val="•"/>
      <w:lvlJc w:val="left"/>
      <w:pPr>
        <w:tabs>
          <w:tab w:val="num" w:pos="3600"/>
        </w:tabs>
        <w:ind w:left="3600" w:hanging="360"/>
      </w:pPr>
      <w:rPr>
        <w:rFonts w:ascii="Arial" w:hAnsi="Arial" w:hint="default"/>
      </w:rPr>
    </w:lvl>
    <w:lvl w:ilvl="5" w:tplc="C172CF6E" w:tentative="1">
      <w:start w:val="1"/>
      <w:numFmt w:val="bullet"/>
      <w:lvlText w:val="•"/>
      <w:lvlJc w:val="left"/>
      <w:pPr>
        <w:tabs>
          <w:tab w:val="num" w:pos="4320"/>
        </w:tabs>
        <w:ind w:left="4320" w:hanging="360"/>
      </w:pPr>
      <w:rPr>
        <w:rFonts w:ascii="Arial" w:hAnsi="Arial" w:hint="default"/>
      </w:rPr>
    </w:lvl>
    <w:lvl w:ilvl="6" w:tplc="2C2AA1F4" w:tentative="1">
      <w:start w:val="1"/>
      <w:numFmt w:val="bullet"/>
      <w:lvlText w:val="•"/>
      <w:lvlJc w:val="left"/>
      <w:pPr>
        <w:tabs>
          <w:tab w:val="num" w:pos="5040"/>
        </w:tabs>
        <w:ind w:left="5040" w:hanging="360"/>
      </w:pPr>
      <w:rPr>
        <w:rFonts w:ascii="Arial" w:hAnsi="Arial" w:hint="default"/>
      </w:rPr>
    </w:lvl>
    <w:lvl w:ilvl="7" w:tplc="9A867DE0" w:tentative="1">
      <w:start w:val="1"/>
      <w:numFmt w:val="bullet"/>
      <w:lvlText w:val="•"/>
      <w:lvlJc w:val="left"/>
      <w:pPr>
        <w:tabs>
          <w:tab w:val="num" w:pos="5760"/>
        </w:tabs>
        <w:ind w:left="5760" w:hanging="360"/>
      </w:pPr>
      <w:rPr>
        <w:rFonts w:ascii="Arial" w:hAnsi="Arial" w:hint="default"/>
      </w:rPr>
    </w:lvl>
    <w:lvl w:ilvl="8" w:tplc="8A0A2C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89B7C2A"/>
    <w:multiLevelType w:val="multilevel"/>
    <w:tmpl w:val="4B88F872"/>
    <w:numStyleLink w:val="Defaultol"/>
  </w:abstractNum>
  <w:abstractNum w:abstractNumId="23"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DF4293"/>
    <w:multiLevelType w:val="hybridMultilevel"/>
    <w:tmpl w:val="A538C386"/>
    <w:lvl w:ilvl="0" w:tplc="66FEB33A">
      <w:start w:val="1"/>
      <w:numFmt w:val="bullet"/>
      <w:lvlText w:val="•"/>
      <w:lvlJc w:val="left"/>
      <w:pPr>
        <w:tabs>
          <w:tab w:val="num" w:pos="720"/>
        </w:tabs>
        <w:ind w:left="720" w:hanging="360"/>
      </w:pPr>
      <w:rPr>
        <w:rFonts w:ascii="Arial" w:hAnsi="Arial" w:hint="default"/>
      </w:rPr>
    </w:lvl>
    <w:lvl w:ilvl="1" w:tplc="588A2BB4" w:tentative="1">
      <w:start w:val="1"/>
      <w:numFmt w:val="bullet"/>
      <w:lvlText w:val="•"/>
      <w:lvlJc w:val="left"/>
      <w:pPr>
        <w:tabs>
          <w:tab w:val="num" w:pos="1440"/>
        </w:tabs>
        <w:ind w:left="1440" w:hanging="360"/>
      </w:pPr>
      <w:rPr>
        <w:rFonts w:ascii="Arial" w:hAnsi="Arial" w:hint="default"/>
      </w:rPr>
    </w:lvl>
    <w:lvl w:ilvl="2" w:tplc="0046DD3A" w:tentative="1">
      <w:start w:val="1"/>
      <w:numFmt w:val="bullet"/>
      <w:lvlText w:val="•"/>
      <w:lvlJc w:val="left"/>
      <w:pPr>
        <w:tabs>
          <w:tab w:val="num" w:pos="2160"/>
        </w:tabs>
        <w:ind w:left="2160" w:hanging="360"/>
      </w:pPr>
      <w:rPr>
        <w:rFonts w:ascii="Arial" w:hAnsi="Arial" w:hint="default"/>
      </w:rPr>
    </w:lvl>
    <w:lvl w:ilvl="3" w:tplc="AD6C7A6C" w:tentative="1">
      <w:start w:val="1"/>
      <w:numFmt w:val="bullet"/>
      <w:lvlText w:val="•"/>
      <w:lvlJc w:val="left"/>
      <w:pPr>
        <w:tabs>
          <w:tab w:val="num" w:pos="2880"/>
        </w:tabs>
        <w:ind w:left="2880" w:hanging="360"/>
      </w:pPr>
      <w:rPr>
        <w:rFonts w:ascii="Arial" w:hAnsi="Arial" w:hint="default"/>
      </w:rPr>
    </w:lvl>
    <w:lvl w:ilvl="4" w:tplc="FD321CB6" w:tentative="1">
      <w:start w:val="1"/>
      <w:numFmt w:val="bullet"/>
      <w:lvlText w:val="•"/>
      <w:lvlJc w:val="left"/>
      <w:pPr>
        <w:tabs>
          <w:tab w:val="num" w:pos="3600"/>
        </w:tabs>
        <w:ind w:left="3600" w:hanging="360"/>
      </w:pPr>
      <w:rPr>
        <w:rFonts w:ascii="Arial" w:hAnsi="Arial" w:hint="default"/>
      </w:rPr>
    </w:lvl>
    <w:lvl w:ilvl="5" w:tplc="E358331A" w:tentative="1">
      <w:start w:val="1"/>
      <w:numFmt w:val="bullet"/>
      <w:lvlText w:val="•"/>
      <w:lvlJc w:val="left"/>
      <w:pPr>
        <w:tabs>
          <w:tab w:val="num" w:pos="4320"/>
        </w:tabs>
        <w:ind w:left="4320" w:hanging="360"/>
      </w:pPr>
      <w:rPr>
        <w:rFonts w:ascii="Arial" w:hAnsi="Arial" w:hint="default"/>
      </w:rPr>
    </w:lvl>
    <w:lvl w:ilvl="6" w:tplc="E35CF2CC" w:tentative="1">
      <w:start w:val="1"/>
      <w:numFmt w:val="bullet"/>
      <w:lvlText w:val="•"/>
      <w:lvlJc w:val="left"/>
      <w:pPr>
        <w:tabs>
          <w:tab w:val="num" w:pos="5040"/>
        </w:tabs>
        <w:ind w:left="5040" w:hanging="360"/>
      </w:pPr>
      <w:rPr>
        <w:rFonts w:ascii="Arial" w:hAnsi="Arial" w:hint="default"/>
      </w:rPr>
    </w:lvl>
    <w:lvl w:ilvl="7" w:tplc="FBDCB718" w:tentative="1">
      <w:start w:val="1"/>
      <w:numFmt w:val="bullet"/>
      <w:lvlText w:val="•"/>
      <w:lvlJc w:val="left"/>
      <w:pPr>
        <w:tabs>
          <w:tab w:val="num" w:pos="5760"/>
        </w:tabs>
        <w:ind w:left="5760" w:hanging="360"/>
      </w:pPr>
      <w:rPr>
        <w:rFonts w:ascii="Arial" w:hAnsi="Arial" w:hint="default"/>
      </w:rPr>
    </w:lvl>
    <w:lvl w:ilvl="8" w:tplc="A07051C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6135CB"/>
    <w:multiLevelType w:val="hybridMultilevel"/>
    <w:tmpl w:val="C53662E2"/>
    <w:lvl w:ilvl="0" w:tplc="E86ACB48">
      <w:start w:val="1"/>
      <w:numFmt w:val="bullet"/>
      <w:lvlText w:val="•"/>
      <w:lvlJc w:val="left"/>
      <w:pPr>
        <w:tabs>
          <w:tab w:val="num" w:pos="720"/>
        </w:tabs>
        <w:ind w:left="720" w:hanging="360"/>
      </w:pPr>
      <w:rPr>
        <w:rFonts w:ascii="Arial" w:hAnsi="Arial" w:hint="default"/>
      </w:rPr>
    </w:lvl>
    <w:lvl w:ilvl="1" w:tplc="1B18B562" w:tentative="1">
      <w:start w:val="1"/>
      <w:numFmt w:val="bullet"/>
      <w:lvlText w:val="•"/>
      <w:lvlJc w:val="left"/>
      <w:pPr>
        <w:tabs>
          <w:tab w:val="num" w:pos="1440"/>
        </w:tabs>
        <w:ind w:left="1440" w:hanging="360"/>
      </w:pPr>
      <w:rPr>
        <w:rFonts w:ascii="Arial" w:hAnsi="Arial" w:hint="default"/>
      </w:rPr>
    </w:lvl>
    <w:lvl w:ilvl="2" w:tplc="F402B858" w:tentative="1">
      <w:start w:val="1"/>
      <w:numFmt w:val="bullet"/>
      <w:lvlText w:val="•"/>
      <w:lvlJc w:val="left"/>
      <w:pPr>
        <w:tabs>
          <w:tab w:val="num" w:pos="2160"/>
        </w:tabs>
        <w:ind w:left="2160" w:hanging="360"/>
      </w:pPr>
      <w:rPr>
        <w:rFonts w:ascii="Arial" w:hAnsi="Arial" w:hint="default"/>
      </w:rPr>
    </w:lvl>
    <w:lvl w:ilvl="3" w:tplc="A6D6F524" w:tentative="1">
      <w:start w:val="1"/>
      <w:numFmt w:val="bullet"/>
      <w:lvlText w:val="•"/>
      <w:lvlJc w:val="left"/>
      <w:pPr>
        <w:tabs>
          <w:tab w:val="num" w:pos="2880"/>
        </w:tabs>
        <w:ind w:left="2880" w:hanging="360"/>
      </w:pPr>
      <w:rPr>
        <w:rFonts w:ascii="Arial" w:hAnsi="Arial" w:hint="default"/>
      </w:rPr>
    </w:lvl>
    <w:lvl w:ilvl="4" w:tplc="056C6A76" w:tentative="1">
      <w:start w:val="1"/>
      <w:numFmt w:val="bullet"/>
      <w:lvlText w:val="•"/>
      <w:lvlJc w:val="left"/>
      <w:pPr>
        <w:tabs>
          <w:tab w:val="num" w:pos="3600"/>
        </w:tabs>
        <w:ind w:left="3600" w:hanging="360"/>
      </w:pPr>
      <w:rPr>
        <w:rFonts w:ascii="Arial" w:hAnsi="Arial" w:hint="default"/>
      </w:rPr>
    </w:lvl>
    <w:lvl w:ilvl="5" w:tplc="A4EC7E66" w:tentative="1">
      <w:start w:val="1"/>
      <w:numFmt w:val="bullet"/>
      <w:lvlText w:val="•"/>
      <w:lvlJc w:val="left"/>
      <w:pPr>
        <w:tabs>
          <w:tab w:val="num" w:pos="4320"/>
        </w:tabs>
        <w:ind w:left="4320" w:hanging="360"/>
      </w:pPr>
      <w:rPr>
        <w:rFonts w:ascii="Arial" w:hAnsi="Arial" w:hint="default"/>
      </w:rPr>
    </w:lvl>
    <w:lvl w:ilvl="6" w:tplc="90EAE43E" w:tentative="1">
      <w:start w:val="1"/>
      <w:numFmt w:val="bullet"/>
      <w:lvlText w:val="•"/>
      <w:lvlJc w:val="left"/>
      <w:pPr>
        <w:tabs>
          <w:tab w:val="num" w:pos="5040"/>
        </w:tabs>
        <w:ind w:left="5040" w:hanging="360"/>
      </w:pPr>
      <w:rPr>
        <w:rFonts w:ascii="Arial" w:hAnsi="Arial" w:hint="default"/>
      </w:rPr>
    </w:lvl>
    <w:lvl w:ilvl="7" w:tplc="ACEE9610" w:tentative="1">
      <w:start w:val="1"/>
      <w:numFmt w:val="bullet"/>
      <w:lvlText w:val="•"/>
      <w:lvlJc w:val="left"/>
      <w:pPr>
        <w:tabs>
          <w:tab w:val="num" w:pos="5760"/>
        </w:tabs>
        <w:ind w:left="5760" w:hanging="360"/>
      </w:pPr>
      <w:rPr>
        <w:rFonts w:ascii="Arial" w:hAnsi="Arial" w:hint="default"/>
      </w:rPr>
    </w:lvl>
    <w:lvl w:ilvl="8" w:tplc="84E4BED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D2123C"/>
    <w:multiLevelType w:val="hybridMultilevel"/>
    <w:tmpl w:val="938E4B70"/>
    <w:lvl w:ilvl="0" w:tplc="669CCD5C">
      <w:start w:val="1"/>
      <w:numFmt w:val="bullet"/>
      <w:lvlText w:val="•"/>
      <w:lvlJc w:val="left"/>
      <w:pPr>
        <w:tabs>
          <w:tab w:val="num" w:pos="720"/>
        </w:tabs>
        <w:ind w:left="720" w:hanging="360"/>
      </w:pPr>
      <w:rPr>
        <w:rFonts w:ascii="Arial" w:hAnsi="Arial" w:hint="default"/>
      </w:rPr>
    </w:lvl>
    <w:lvl w:ilvl="1" w:tplc="F5205A1E" w:tentative="1">
      <w:start w:val="1"/>
      <w:numFmt w:val="bullet"/>
      <w:lvlText w:val="•"/>
      <w:lvlJc w:val="left"/>
      <w:pPr>
        <w:tabs>
          <w:tab w:val="num" w:pos="1440"/>
        </w:tabs>
        <w:ind w:left="1440" w:hanging="360"/>
      </w:pPr>
      <w:rPr>
        <w:rFonts w:ascii="Arial" w:hAnsi="Arial" w:hint="default"/>
      </w:rPr>
    </w:lvl>
    <w:lvl w:ilvl="2" w:tplc="A05A1CCC" w:tentative="1">
      <w:start w:val="1"/>
      <w:numFmt w:val="bullet"/>
      <w:lvlText w:val="•"/>
      <w:lvlJc w:val="left"/>
      <w:pPr>
        <w:tabs>
          <w:tab w:val="num" w:pos="2160"/>
        </w:tabs>
        <w:ind w:left="2160" w:hanging="360"/>
      </w:pPr>
      <w:rPr>
        <w:rFonts w:ascii="Arial" w:hAnsi="Arial" w:hint="default"/>
      </w:rPr>
    </w:lvl>
    <w:lvl w:ilvl="3" w:tplc="3A868552" w:tentative="1">
      <w:start w:val="1"/>
      <w:numFmt w:val="bullet"/>
      <w:lvlText w:val="•"/>
      <w:lvlJc w:val="left"/>
      <w:pPr>
        <w:tabs>
          <w:tab w:val="num" w:pos="2880"/>
        </w:tabs>
        <w:ind w:left="2880" w:hanging="360"/>
      </w:pPr>
      <w:rPr>
        <w:rFonts w:ascii="Arial" w:hAnsi="Arial" w:hint="default"/>
      </w:rPr>
    </w:lvl>
    <w:lvl w:ilvl="4" w:tplc="1D129E78" w:tentative="1">
      <w:start w:val="1"/>
      <w:numFmt w:val="bullet"/>
      <w:lvlText w:val="•"/>
      <w:lvlJc w:val="left"/>
      <w:pPr>
        <w:tabs>
          <w:tab w:val="num" w:pos="3600"/>
        </w:tabs>
        <w:ind w:left="3600" w:hanging="360"/>
      </w:pPr>
      <w:rPr>
        <w:rFonts w:ascii="Arial" w:hAnsi="Arial" w:hint="default"/>
      </w:rPr>
    </w:lvl>
    <w:lvl w:ilvl="5" w:tplc="04F0EF7A" w:tentative="1">
      <w:start w:val="1"/>
      <w:numFmt w:val="bullet"/>
      <w:lvlText w:val="•"/>
      <w:lvlJc w:val="left"/>
      <w:pPr>
        <w:tabs>
          <w:tab w:val="num" w:pos="4320"/>
        </w:tabs>
        <w:ind w:left="4320" w:hanging="360"/>
      </w:pPr>
      <w:rPr>
        <w:rFonts w:ascii="Arial" w:hAnsi="Arial" w:hint="default"/>
      </w:rPr>
    </w:lvl>
    <w:lvl w:ilvl="6" w:tplc="9F02B778" w:tentative="1">
      <w:start w:val="1"/>
      <w:numFmt w:val="bullet"/>
      <w:lvlText w:val="•"/>
      <w:lvlJc w:val="left"/>
      <w:pPr>
        <w:tabs>
          <w:tab w:val="num" w:pos="5040"/>
        </w:tabs>
        <w:ind w:left="5040" w:hanging="360"/>
      </w:pPr>
      <w:rPr>
        <w:rFonts w:ascii="Arial" w:hAnsi="Arial" w:hint="default"/>
      </w:rPr>
    </w:lvl>
    <w:lvl w:ilvl="7" w:tplc="E90C2822" w:tentative="1">
      <w:start w:val="1"/>
      <w:numFmt w:val="bullet"/>
      <w:lvlText w:val="•"/>
      <w:lvlJc w:val="left"/>
      <w:pPr>
        <w:tabs>
          <w:tab w:val="num" w:pos="5760"/>
        </w:tabs>
        <w:ind w:left="5760" w:hanging="360"/>
      </w:pPr>
      <w:rPr>
        <w:rFonts w:ascii="Arial" w:hAnsi="Arial" w:hint="default"/>
      </w:rPr>
    </w:lvl>
    <w:lvl w:ilvl="8" w:tplc="1240874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D0431D"/>
    <w:multiLevelType w:val="hybridMultilevel"/>
    <w:tmpl w:val="EED02206"/>
    <w:lvl w:ilvl="0" w:tplc="89109418">
      <w:start w:val="1"/>
      <w:numFmt w:val="bullet"/>
      <w:lvlText w:val="•"/>
      <w:lvlJc w:val="left"/>
      <w:pPr>
        <w:tabs>
          <w:tab w:val="num" w:pos="720"/>
        </w:tabs>
        <w:ind w:left="720" w:hanging="360"/>
      </w:pPr>
      <w:rPr>
        <w:rFonts w:ascii="Arial" w:hAnsi="Arial" w:hint="default"/>
      </w:rPr>
    </w:lvl>
    <w:lvl w:ilvl="1" w:tplc="EC7A9872" w:tentative="1">
      <w:start w:val="1"/>
      <w:numFmt w:val="bullet"/>
      <w:lvlText w:val="•"/>
      <w:lvlJc w:val="left"/>
      <w:pPr>
        <w:tabs>
          <w:tab w:val="num" w:pos="1440"/>
        </w:tabs>
        <w:ind w:left="1440" w:hanging="360"/>
      </w:pPr>
      <w:rPr>
        <w:rFonts w:ascii="Arial" w:hAnsi="Arial" w:hint="default"/>
      </w:rPr>
    </w:lvl>
    <w:lvl w:ilvl="2" w:tplc="BB2ADA66" w:tentative="1">
      <w:start w:val="1"/>
      <w:numFmt w:val="bullet"/>
      <w:lvlText w:val="•"/>
      <w:lvlJc w:val="left"/>
      <w:pPr>
        <w:tabs>
          <w:tab w:val="num" w:pos="2160"/>
        </w:tabs>
        <w:ind w:left="2160" w:hanging="360"/>
      </w:pPr>
      <w:rPr>
        <w:rFonts w:ascii="Arial" w:hAnsi="Arial" w:hint="default"/>
      </w:rPr>
    </w:lvl>
    <w:lvl w:ilvl="3" w:tplc="2160AB60" w:tentative="1">
      <w:start w:val="1"/>
      <w:numFmt w:val="bullet"/>
      <w:lvlText w:val="•"/>
      <w:lvlJc w:val="left"/>
      <w:pPr>
        <w:tabs>
          <w:tab w:val="num" w:pos="2880"/>
        </w:tabs>
        <w:ind w:left="2880" w:hanging="360"/>
      </w:pPr>
      <w:rPr>
        <w:rFonts w:ascii="Arial" w:hAnsi="Arial" w:hint="default"/>
      </w:rPr>
    </w:lvl>
    <w:lvl w:ilvl="4" w:tplc="12E2DCDA" w:tentative="1">
      <w:start w:val="1"/>
      <w:numFmt w:val="bullet"/>
      <w:lvlText w:val="•"/>
      <w:lvlJc w:val="left"/>
      <w:pPr>
        <w:tabs>
          <w:tab w:val="num" w:pos="3600"/>
        </w:tabs>
        <w:ind w:left="3600" w:hanging="360"/>
      </w:pPr>
      <w:rPr>
        <w:rFonts w:ascii="Arial" w:hAnsi="Arial" w:hint="default"/>
      </w:rPr>
    </w:lvl>
    <w:lvl w:ilvl="5" w:tplc="121C304A" w:tentative="1">
      <w:start w:val="1"/>
      <w:numFmt w:val="bullet"/>
      <w:lvlText w:val="•"/>
      <w:lvlJc w:val="left"/>
      <w:pPr>
        <w:tabs>
          <w:tab w:val="num" w:pos="4320"/>
        </w:tabs>
        <w:ind w:left="4320" w:hanging="360"/>
      </w:pPr>
      <w:rPr>
        <w:rFonts w:ascii="Arial" w:hAnsi="Arial" w:hint="default"/>
      </w:rPr>
    </w:lvl>
    <w:lvl w:ilvl="6" w:tplc="F88EFB18" w:tentative="1">
      <w:start w:val="1"/>
      <w:numFmt w:val="bullet"/>
      <w:lvlText w:val="•"/>
      <w:lvlJc w:val="left"/>
      <w:pPr>
        <w:tabs>
          <w:tab w:val="num" w:pos="5040"/>
        </w:tabs>
        <w:ind w:left="5040" w:hanging="360"/>
      </w:pPr>
      <w:rPr>
        <w:rFonts w:ascii="Arial" w:hAnsi="Arial" w:hint="default"/>
      </w:rPr>
    </w:lvl>
    <w:lvl w:ilvl="7" w:tplc="5D20081A" w:tentative="1">
      <w:start w:val="1"/>
      <w:numFmt w:val="bullet"/>
      <w:lvlText w:val="•"/>
      <w:lvlJc w:val="left"/>
      <w:pPr>
        <w:tabs>
          <w:tab w:val="num" w:pos="5760"/>
        </w:tabs>
        <w:ind w:left="5760" w:hanging="360"/>
      </w:pPr>
      <w:rPr>
        <w:rFonts w:ascii="Arial" w:hAnsi="Arial" w:hint="default"/>
      </w:rPr>
    </w:lvl>
    <w:lvl w:ilvl="8" w:tplc="08948B9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DD16CF"/>
    <w:multiLevelType w:val="hybridMultilevel"/>
    <w:tmpl w:val="9584834E"/>
    <w:lvl w:ilvl="0" w:tplc="ACC480A2">
      <w:start w:val="1"/>
      <w:numFmt w:val="lowerRoman"/>
      <w:lvlText w:val="(%1)"/>
      <w:lvlJc w:val="right"/>
      <w:pPr>
        <w:tabs>
          <w:tab w:val="num" w:pos="720"/>
        </w:tabs>
        <w:ind w:left="720" w:hanging="360"/>
      </w:pPr>
    </w:lvl>
    <w:lvl w:ilvl="1" w:tplc="4BE0556E">
      <w:start w:val="1"/>
      <w:numFmt w:val="lowerRoman"/>
      <w:lvlText w:val="(%2)"/>
      <w:lvlJc w:val="right"/>
      <w:pPr>
        <w:tabs>
          <w:tab w:val="num" w:pos="1440"/>
        </w:tabs>
        <w:ind w:left="1440" w:hanging="360"/>
      </w:pPr>
    </w:lvl>
    <w:lvl w:ilvl="2" w:tplc="BFB631AC">
      <w:start w:val="1"/>
      <w:numFmt w:val="lowerRoman"/>
      <w:lvlText w:val="(%3)"/>
      <w:lvlJc w:val="right"/>
      <w:pPr>
        <w:tabs>
          <w:tab w:val="num" w:pos="2160"/>
        </w:tabs>
        <w:ind w:left="2160" w:hanging="360"/>
      </w:pPr>
    </w:lvl>
    <w:lvl w:ilvl="3" w:tplc="D8862276">
      <w:start w:val="1"/>
      <w:numFmt w:val="lowerRoman"/>
      <w:lvlText w:val="(%4)"/>
      <w:lvlJc w:val="right"/>
      <w:pPr>
        <w:tabs>
          <w:tab w:val="num" w:pos="2880"/>
        </w:tabs>
        <w:ind w:left="2880" w:hanging="360"/>
      </w:pPr>
    </w:lvl>
    <w:lvl w:ilvl="4" w:tplc="6D90BD8E">
      <w:start w:val="1"/>
      <w:numFmt w:val="lowerRoman"/>
      <w:lvlText w:val="(%5)"/>
      <w:lvlJc w:val="right"/>
      <w:pPr>
        <w:tabs>
          <w:tab w:val="num" w:pos="3600"/>
        </w:tabs>
        <w:ind w:left="3600" w:hanging="360"/>
      </w:pPr>
    </w:lvl>
    <w:lvl w:ilvl="5" w:tplc="6026E774">
      <w:start w:val="1"/>
      <w:numFmt w:val="lowerRoman"/>
      <w:lvlText w:val="(%6)"/>
      <w:lvlJc w:val="right"/>
      <w:pPr>
        <w:tabs>
          <w:tab w:val="num" w:pos="4320"/>
        </w:tabs>
        <w:ind w:left="4320" w:hanging="360"/>
      </w:pPr>
    </w:lvl>
    <w:lvl w:ilvl="6" w:tplc="CCB28644">
      <w:start w:val="1"/>
      <w:numFmt w:val="lowerRoman"/>
      <w:lvlText w:val="(%7)"/>
      <w:lvlJc w:val="right"/>
      <w:pPr>
        <w:tabs>
          <w:tab w:val="num" w:pos="5040"/>
        </w:tabs>
        <w:ind w:left="5040" w:hanging="360"/>
      </w:pPr>
    </w:lvl>
    <w:lvl w:ilvl="7" w:tplc="753CF0CA">
      <w:start w:val="1"/>
      <w:numFmt w:val="lowerRoman"/>
      <w:lvlText w:val="(%8)"/>
      <w:lvlJc w:val="right"/>
      <w:pPr>
        <w:tabs>
          <w:tab w:val="num" w:pos="5760"/>
        </w:tabs>
        <w:ind w:left="5760" w:hanging="360"/>
      </w:pPr>
    </w:lvl>
    <w:lvl w:ilvl="8" w:tplc="3F922472">
      <w:start w:val="1"/>
      <w:numFmt w:val="lowerRoman"/>
      <w:lvlText w:val="(%9)"/>
      <w:lvlJc w:val="right"/>
      <w:pPr>
        <w:tabs>
          <w:tab w:val="num" w:pos="6480"/>
        </w:tabs>
        <w:ind w:left="6480" w:hanging="360"/>
      </w:pPr>
    </w:lvl>
  </w:abstractNum>
  <w:abstractNum w:abstractNumId="3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33"/>
  </w:num>
  <w:num w:numId="13">
    <w:abstractNumId w:val="30"/>
  </w:num>
  <w:num w:numId="14">
    <w:abstractNumId w:val="29"/>
  </w:num>
  <w:num w:numId="15">
    <w:abstractNumId w:val="26"/>
  </w:num>
  <w:num w:numId="16">
    <w:abstractNumId w:val="17"/>
  </w:num>
  <w:num w:numId="17">
    <w:abstractNumId w:val="19"/>
  </w:num>
  <w:num w:numId="18">
    <w:abstractNumId w:val="35"/>
  </w:num>
  <w:num w:numId="19">
    <w:abstractNumId w:val="25"/>
  </w:num>
  <w:num w:numId="20">
    <w:abstractNumId w:val="34"/>
  </w:num>
  <w:num w:numId="21">
    <w:abstractNumId w:val="15"/>
  </w:num>
  <w:num w:numId="22">
    <w:abstractNumId w:val="21"/>
  </w:num>
  <w:num w:numId="23">
    <w:abstractNumId w:val="23"/>
  </w:num>
  <w:num w:numId="24">
    <w:abstractNumId w:val="14"/>
  </w:num>
  <w:num w:numId="25">
    <w:abstractNumId w:val="22"/>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18"/>
  </w:num>
  <w:num w:numId="40">
    <w:abstractNumId w:val="27"/>
  </w:num>
  <w:num w:numId="41">
    <w:abstractNumId w:val="28"/>
  </w:num>
  <w:num w:numId="42">
    <w:abstractNumId w:val="20"/>
  </w:num>
  <w:num w:numId="43">
    <w:abstractNumId w:val="31"/>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5D8"/>
    <w:rsid w:val="000A33A9"/>
    <w:rsid w:val="000F65A9"/>
    <w:rsid w:val="00106243"/>
    <w:rsid w:val="001253F9"/>
    <w:rsid w:val="00147724"/>
    <w:rsid w:val="00165997"/>
    <w:rsid w:val="00182EE7"/>
    <w:rsid w:val="0024696A"/>
    <w:rsid w:val="00267858"/>
    <w:rsid w:val="00271F31"/>
    <w:rsid w:val="00397BA2"/>
    <w:rsid w:val="003B7599"/>
    <w:rsid w:val="00442269"/>
    <w:rsid w:val="004C14A0"/>
    <w:rsid w:val="005522FE"/>
    <w:rsid w:val="005A19F6"/>
    <w:rsid w:val="005C2571"/>
    <w:rsid w:val="005E1959"/>
    <w:rsid w:val="006609C0"/>
    <w:rsid w:val="006969DA"/>
    <w:rsid w:val="006D3F39"/>
    <w:rsid w:val="007F7AC7"/>
    <w:rsid w:val="00800E4F"/>
    <w:rsid w:val="008541E4"/>
    <w:rsid w:val="009108C7"/>
    <w:rsid w:val="00A9387A"/>
    <w:rsid w:val="00AB25E1"/>
    <w:rsid w:val="00C611C3"/>
    <w:rsid w:val="00C81742"/>
    <w:rsid w:val="00C81C10"/>
    <w:rsid w:val="00DB0AAB"/>
    <w:rsid w:val="00DD79F4"/>
    <w:rsid w:val="00E443A2"/>
    <w:rsid w:val="00E875D8"/>
    <w:rsid w:val="00F05D1B"/>
    <w:rsid w:val="00F1318D"/>
    <w:rsid w:val="00F217A0"/>
    <w:rsid w:val="00F42D6D"/>
    <w:rsid w:val="00F82321"/>
    <w:rsid w:val="00FC2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E9C7"/>
  <w15:docId w15:val="{7039C345-304D-4E36-AFFB-E7001292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BalloonText">
    <w:name w:val="Balloon Text"/>
    <w:basedOn w:val="Normal"/>
    <w:link w:val="BalloonTextChar"/>
    <w:semiHidden/>
    <w:unhideWhenUsed/>
    <w:rsid w:val="0026785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67858"/>
    <w:rPr>
      <w:rFonts w:ascii="Segoe UI" w:hAnsi="Segoe UI" w:cs="Segoe UI"/>
      <w:sz w:val="18"/>
      <w:szCs w:val="18"/>
    </w:rPr>
  </w:style>
  <w:style w:type="character" w:customStyle="1" w:styleId="Heading2Char">
    <w:name w:val="Heading 2 Char"/>
    <w:basedOn w:val="DefaultParagraphFont"/>
    <w:link w:val="Heading2"/>
    <w:uiPriority w:val="9"/>
    <w:rsid w:val="00182EE7"/>
    <w:rPr>
      <w:rFonts w:asciiTheme="majorHAnsi" w:eastAsiaTheme="majorEastAsia" w:hAnsiTheme="majorHAnsi" w:cstheme="majorBidi"/>
      <w:b/>
      <w:bCs/>
      <w:color w:val="000000" w:themeColor="text1"/>
      <w:sz w:val="32"/>
      <w:szCs w:val="32"/>
    </w:rPr>
  </w:style>
  <w:style w:type="table" w:styleId="GridTable5Dark-Accent1">
    <w:name w:val="Grid Table 5 Dark Accent 1"/>
    <w:basedOn w:val="TableNormal"/>
    <w:uiPriority w:val="50"/>
    <w:rsid w:val="00AB25E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AB25E1"/>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72609">
      <w:bodyDiv w:val="1"/>
      <w:marLeft w:val="0"/>
      <w:marRight w:val="0"/>
      <w:marTop w:val="0"/>
      <w:marBottom w:val="0"/>
      <w:divBdr>
        <w:top w:val="none" w:sz="0" w:space="0" w:color="auto"/>
        <w:left w:val="none" w:sz="0" w:space="0" w:color="auto"/>
        <w:bottom w:val="none" w:sz="0" w:space="0" w:color="auto"/>
        <w:right w:val="none" w:sz="0" w:space="0" w:color="auto"/>
      </w:divBdr>
    </w:div>
    <w:div w:id="755636197">
      <w:bodyDiv w:val="1"/>
      <w:marLeft w:val="0"/>
      <w:marRight w:val="0"/>
      <w:marTop w:val="0"/>
      <w:marBottom w:val="0"/>
      <w:divBdr>
        <w:top w:val="none" w:sz="0" w:space="0" w:color="auto"/>
        <w:left w:val="none" w:sz="0" w:space="0" w:color="auto"/>
        <w:bottom w:val="none" w:sz="0" w:space="0" w:color="auto"/>
        <w:right w:val="none" w:sz="0" w:space="0" w:color="auto"/>
      </w:divBdr>
    </w:div>
    <w:div w:id="1620449465">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006010461">
      <w:bodyDiv w:val="1"/>
      <w:marLeft w:val="0"/>
      <w:marRight w:val="0"/>
      <w:marTop w:val="0"/>
      <w:marBottom w:val="0"/>
      <w:divBdr>
        <w:top w:val="none" w:sz="0" w:space="0" w:color="auto"/>
        <w:left w:val="none" w:sz="0" w:space="0" w:color="auto"/>
        <w:bottom w:val="none" w:sz="0" w:space="0" w:color="auto"/>
        <w:right w:val="none" w:sz="0" w:space="0" w:color="auto"/>
      </w:divBdr>
      <w:divsChild>
        <w:div w:id="1236084215">
          <w:marLeft w:val="547"/>
          <w:marRight w:val="0"/>
          <w:marTop w:val="0"/>
          <w:marBottom w:val="120"/>
          <w:divBdr>
            <w:top w:val="none" w:sz="0" w:space="0" w:color="auto"/>
            <w:left w:val="none" w:sz="0" w:space="0" w:color="auto"/>
            <w:bottom w:val="none" w:sz="0" w:space="0" w:color="auto"/>
            <w:right w:val="none" w:sz="0" w:space="0" w:color="auto"/>
          </w:divBdr>
        </w:div>
        <w:div w:id="1970013976">
          <w:marLeft w:val="547"/>
          <w:marRight w:val="0"/>
          <w:marTop w:val="0"/>
          <w:marBottom w:val="120"/>
          <w:divBdr>
            <w:top w:val="none" w:sz="0" w:space="0" w:color="auto"/>
            <w:left w:val="none" w:sz="0" w:space="0" w:color="auto"/>
            <w:bottom w:val="none" w:sz="0" w:space="0" w:color="auto"/>
            <w:right w:val="none" w:sz="0" w:space="0" w:color="auto"/>
          </w:divBdr>
        </w:div>
        <w:div w:id="357465622">
          <w:marLeft w:val="446"/>
          <w:marRight w:val="0"/>
          <w:marTop w:val="0"/>
          <w:marBottom w:val="120"/>
          <w:divBdr>
            <w:top w:val="none" w:sz="0" w:space="0" w:color="auto"/>
            <w:left w:val="none" w:sz="0" w:space="0" w:color="auto"/>
            <w:bottom w:val="none" w:sz="0" w:space="0" w:color="auto"/>
            <w:right w:val="none" w:sz="0" w:space="0" w:color="auto"/>
          </w:divBdr>
        </w:div>
        <w:div w:id="1289317182">
          <w:marLeft w:val="446"/>
          <w:marRight w:val="0"/>
          <w:marTop w:val="0"/>
          <w:marBottom w:val="120"/>
          <w:divBdr>
            <w:top w:val="none" w:sz="0" w:space="0" w:color="auto"/>
            <w:left w:val="none" w:sz="0" w:space="0" w:color="auto"/>
            <w:bottom w:val="none" w:sz="0" w:space="0" w:color="auto"/>
            <w:right w:val="none" w:sz="0" w:space="0" w:color="auto"/>
          </w:divBdr>
        </w:div>
        <w:div w:id="1961104127">
          <w:marLeft w:val="446"/>
          <w:marRight w:val="0"/>
          <w:marTop w:val="0"/>
          <w:marBottom w:val="120"/>
          <w:divBdr>
            <w:top w:val="none" w:sz="0" w:space="0" w:color="auto"/>
            <w:left w:val="none" w:sz="0" w:space="0" w:color="auto"/>
            <w:bottom w:val="none" w:sz="0" w:space="0" w:color="auto"/>
            <w:right w:val="none" w:sz="0" w:space="0" w:color="auto"/>
          </w:divBdr>
        </w:div>
        <w:div w:id="977884083">
          <w:marLeft w:val="446"/>
          <w:marRight w:val="0"/>
          <w:marTop w:val="0"/>
          <w:marBottom w:val="120"/>
          <w:divBdr>
            <w:top w:val="none" w:sz="0" w:space="0" w:color="auto"/>
            <w:left w:val="none" w:sz="0" w:space="0" w:color="auto"/>
            <w:bottom w:val="none" w:sz="0" w:space="0" w:color="auto"/>
            <w:right w:val="none" w:sz="0" w:space="0" w:color="auto"/>
          </w:divBdr>
        </w:div>
        <w:div w:id="167713986">
          <w:marLeft w:val="446"/>
          <w:marRight w:val="0"/>
          <w:marTop w:val="0"/>
          <w:marBottom w:val="120"/>
          <w:divBdr>
            <w:top w:val="none" w:sz="0" w:space="0" w:color="auto"/>
            <w:left w:val="none" w:sz="0" w:space="0" w:color="auto"/>
            <w:bottom w:val="none" w:sz="0" w:space="0" w:color="auto"/>
            <w:right w:val="none" w:sz="0" w:space="0" w:color="auto"/>
          </w:divBdr>
        </w:div>
        <w:div w:id="416169078">
          <w:marLeft w:val="446"/>
          <w:marRight w:val="0"/>
          <w:marTop w:val="0"/>
          <w:marBottom w:val="120"/>
          <w:divBdr>
            <w:top w:val="none" w:sz="0" w:space="0" w:color="auto"/>
            <w:left w:val="none" w:sz="0" w:space="0" w:color="auto"/>
            <w:bottom w:val="none" w:sz="0" w:space="0" w:color="auto"/>
            <w:right w:val="none" w:sz="0" w:space="0" w:color="auto"/>
          </w:divBdr>
        </w:div>
        <w:div w:id="1700399154">
          <w:marLeft w:val="446"/>
          <w:marRight w:val="0"/>
          <w:marTop w:val="0"/>
          <w:marBottom w:val="120"/>
          <w:divBdr>
            <w:top w:val="none" w:sz="0" w:space="0" w:color="auto"/>
            <w:left w:val="none" w:sz="0" w:space="0" w:color="auto"/>
            <w:bottom w:val="none" w:sz="0" w:space="0" w:color="auto"/>
            <w:right w:val="none" w:sz="0" w:space="0" w:color="auto"/>
          </w:divBdr>
        </w:div>
        <w:div w:id="1643805549">
          <w:marLeft w:val="446"/>
          <w:marRight w:val="0"/>
          <w:marTop w:val="0"/>
          <w:marBottom w:val="120"/>
          <w:divBdr>
            <w:top w:val="none" w:sz="0" w:space="0" w:color="auto"/>
            <w:left w:val="none" w:sz="0" w:space="0" w:color="auto"/>
            <w:bottom w:val="none" w:sz="0" w:space="0" w:color="auto"/>
            <w:right w:val="none" w:sz="0" w:space="0" w:color="auto"/>
          </w:divBdr>
        </w:div>
        <w:div w:id="418675567">
          <w:marLeft w:val="446"/>
          <w:marRight w:val="0"/>
          <w:marTop w:val="0"/>
          <w:marBottom w:val="120"/>
          <w:divBdr>
            <w:top w:val="none" w:sz="0" w:space="0" w:color="auto"/>
            <w:left w:val="none" w:sz="0" w:space="0" w:color="auto"/>
            <w:bottom w:val="none" w:sz="0" w:space="0" w:color="auto"/>
            <w:right w:val="none" w:sz="0" w:space="0" w:color="auto"/>
          </w:divBdr>
        </w:div>
        <w:div w:id="1223098373">
          <w:marLeft w:val="446"/>
          <w:marRight w:val="0"/>
          <w:marTop w:val="0"/>
          <w:marBottom w:val="120"/>
          <w:divBdr>
            <w:top w:val="none" w:sz="0" w:space="0" w:color="auto"/>
            <w:left w:val="none" w:sz="0" w:space="0" w:color="auto"/>
            <w:bottom w:val="none" w:sz="0" w:space="0" w:color="auto"/>
            <w:right w:val="none" w:sz="0" w:space="0" w:color="auto"/>
          </w:divBdr>
        </w:div>
        <w:div w:id="1181622814">
          <w:marLeft w:val="446"/>
          <w:marRight w:val="0"/>
          <w:marTop w:val="0"/>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erse.harvard.edu/dataverse/ready4" TargetMode="External"/><Relationship Id="rId18" Type="http://schemas.openxmlformats.org/officeDocument/2006/relationships/hyperlink" Target="https://doi.org/10.3389/fpubh.2017.00068" TargetMode="External"/><Relationship Id="rId26" Type="http://schemas.openxmlformats.org/officeDocument/2006/relationships/hyperlink" Target="https://doi.org/10.1007/s40273-017-0553-x" TargetMode="External"/><Relationship Id="rId39" Type="http://schemas.openxmlformats.org/officeDocument/2006/relationships/hyperlink" Target="https://www.gnu.org/copyleft/" TargetMode="External"/><Relationship Id="rId21" Type="http://schemas.openxmlformats.org/officeDocument/2006/relationships/hyperlink" Target="https://doi.org/10.1017/S0266462320000641" TargetMode="External"/><Relationship Id="rId34" Type="http://schemas.openxmlformats.org/officeDocument/2006/relationships/hyperlink" Target="https://doi.org/10.1016/j.jss.2009.09.037" TargetMode="External"/><Relationship Id="rId42" Type="http://schemas.openxmlformats.org/officeDocument/2006/relationships/hyperlink" Target="https://doi.org/10.1016/j.giq.2015.09.004" TargetMode="External"/><Relationship Id="rId47" Type="http://schemas.openxmlformats.org/officeDocument/2006/relationships/hyperlink" Target="https://gohugo.io" TargetMode="External"/><Relationship Id="rId50" Type="http://schemas.openxmlformats.org/officeDocument/2006/relationships/hyperlink" Target="https://www.netlify.com" TargetMode="External"/><Relationship Id="rId55" Type="http://schemas.openxmlformats.org/officeDocument/2006/relationships/hyperlink" Target="https://doi.org/10.5281/zenodo.6130155" TargetMode="External"/><Relationship Id="rId63" Type="http://schemas.openxmlformats.org/officeDocument/2006/relationships/hyperlink" Target="https://doi.org/10.5281/zenodo.5976988" TargetMode="External"/><Relationship Id="rId68" Type="http://schemas.openxmlformats.org/officeDocument/2006/relationships/image" Target="media/image1.png"/><Relationship Id="rId76" Type="http://schemas.openxmlformats.org/officeDocument/2006/relationships/theme" Target="theme/theme1.xml"/><Relationship Id="rId7" Type="http://schemas.openxmlformats.org/officeDocument/2006/relationships/hyperlink" Target="https://www.ready4-dev.com" TargetMode="External"/><Relationship Id="rId71"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i.org/10.1007/s40273-021-01110-w" TargetMode="External"/><Relationship Id="rId29" Type="http://schemas.openxmlformats.org/officeDocument/2006/relationships/hyperlink" Target="https://doi.org/10.1007/s41669-017-0019-2" TargetMode="External"/><Relationship Id="rId11" Type="http://schemas.openxmlformats.org/officeDocument/2006/relationships/hyperlink" Target="https://github.com/ready4-dev/" TargetMode="External"/><Relationship Id="rId24" Type="http://schemas.openxmlformats.org/officeDocument/2006/relationships/hyperlink" Target="https://doi.org/10.1093/epirev/mxab006" TargetMode="External"/><Relationship Id="rId32" Type="http://schemas.openxmlformats.org/officeDocument/2006/relationships/hyperlink" Target="https://dataverse.org" TargetMode="External"/><Relationship Id="rId37" Type="http://schemas.openxmlformats.org/officeDocument/2006/relationships/hyperlink" Target="https://doi.org/10.1371/journal.pcbi.1005510" TargetMode="External"/><Relationship Id="rId40" Type="http://schemas.openxmlformats.org/officeDocument/2006/relationships/hyperlink" Target="https://doi.org/10.1186/s41512-020-00090-3" TargetMode="External"/><Relationship Id="rId45" Type="http://schemas.openxmlformats.org/officeDocument/2006/relationships/hyperlink" Target="https://cran.r-project.org" TargetMode="External"/><Relationship Id="rId53" Type="http://schemas.openxmlformats.org/officeDocument/2006/relationships/hyperlink" Target="https://doi.org/10.5281/zenodo.6084824" TargetMode="External"/><Relationship Id="rId58" Type="http://schemas.openxmlformats.org/officeDocument/2006/relationships/hyperlink" Target="https://doi.org/10.7910/DVN/HJXYKQ" TargetMode="External"/><Relationship Id="rId66" Type="http://schemas.openxmlformats.org/officeDocument/2006/relationships/footer" Target="footer1.xml"/><Relationship Id="rId7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doi.org/10.1016/j.jval.2021.10.001" TargetMode="External"/><Relationship Id="rId23" Type="http://schemas.openxmlformats.org/officeDocument/2006/relationships/hyperlink" Target="https://doi.org/10.1007/s40273-018-0711-9"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doi.org/10.2165/11313670-000000000-00000" TargetMode="External"/><Relationship Id="rId49" Type="http://schemas.openxmlformats.org/officeDocument/2006/relationships/hyperlink" Target="https://docsearch.algolia.com" TargetMode="External"/><Relationship Id="rId57" Type="http://schemas.openxmlformats.org/officeDocument/2006/relationships/hyperlink" Target="https://doi.org/10.7910/DVN/DKDIB0" TargetMode="External"/><Relationship Id="rId61" Type="http://schemas.openxmlformats.org/officeDocument/2006/relationships/hyperlink" Target="https://doi.org/10.5281/zenodo.6321821" TargetMode="External"/><Relationship Id="rId10" Type="http://schemas.openxmlformats.org/officeDocument/2006/relationships/hyperlink" Target="https://www.ready4-dev.com" TargetMode="External"/><Relationship Id="rId19" Type="http://schemas.openxmlformats.org/officeDocument/2006/relationships/hyperlink" Target="https://doi.org/10.1016/j.socscimed.2020.112975" TargetMode="External"/><Relationship Id="rId31" Type="http://schemas.openxmlformats.org/officeDocument/2006/relationships/hyperlink" Target="https://doi.org/10.25495/7GXK-RD71" TargetMode="External"/><Relationship Id="rId44" Type="http://schemas.openxmlformats.org/officeDocument/2006/relationships/hyperlink" Target="https://doi.org/10.1214/13-STS452" TargetMode="External"/><Relationship Id="rId52" Type="http://schemas.openxmlformats.org/officeDocument/2006/relationships/hyperlink" Target="https://doi.org/10.5281/zenodo.6084467" TargetMode="External"/><Relationship Id="rId60" Type="http://schemas.openxmlformats.org/officeDocument/2006/relationships/hyperlink" Target="https://doi.org/10.5281/zenodo.6416330" TargetMode="External"/><Relationship Id="rId65" Type="http://schemas.openxmlformats.org/officeDocument/2006/relationships/hyperlink" Target="https://doi.org/10.1007/s40273-019-00819-z" TargetMode="External"/><Relationship Id="rId73"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matthew.hamilton1@monash.edu" TargetMode="External"/><Relationship Id="rId14" Type="http://schemas.openxmlformats.org/officeDocument/2006/relationships/hyperlink" Target="https://www.R-project.org/" TargetMode="External"/><Relationship Id="rId22" Type="http://schemas.openxmlformats.org/officeDocument/2006/relationships/hyperlink" Target="https://doi.org/10.1016/j.jval.2015.02.011" TargetMode="External"/><Relationship Id="rId27" Type="http://schemas.openxmlformats.org/officeDocument/2006/relationships/hyperlink" Target="https://doi.org/10.1017/S0266462320000422" TargetMode="External"/><Relationship Id="rId30" Type="http://schemas.openxmlformats.org/officeDocument/2006/relationships/hyperlink" Target="https://doi.org/10.1177/0272989x12454579" TargetMode="External"/><Relationship Id="rId35" Type="http://schemas.openxmlformats.org/officeDocument/2006/relationships/hyperlink" Target="https://github.com/" TargetMode="External"/><Relationship Id="rId43" Type="http://schemas.openxmlformats.org/officeDocument/2006/relationships/hyperlink" Target="https://doi.org/10.1109/ACCESS.2017.2685629" TargetMode="External"/><Relationship Id="rId48" Type="http://schemas.openxmlformats.org/officeDocument/2006/relationships/hyperlink" Target="https://www.docsy.dev" TargetMode="External"/><Relationship Id="rId56" Type="http://schemas.openxmlformats.org/officeDocument/2006/relationships/hyperlink" Target="https://doi.org/10.5281/zenodo.6210978" TargetMode="External"/><Relationship Id="rId64" Type="http://schemas.openxmlformats.org/officeDocument/2006/relationships/hyperlink" Target="https://doi.org/10.3389/fpubh.2022.899874" TargetMode="External"/><Relationship Id="rId69" Type="http://schemas.openxmlformats.org/officeDocument/2006/relationships/image" Target="media/image2.png"/><Relationship Id="rId8" Type="http://schemas.openxmlformats.org/officeDocument/2006/relationships/hyperlink" Target="mailto:matthew.hamilton1@monash.edu" TargetMode="External"/><Relationship Id="rId51" Type="http://schemas.openxmlformats.org/officeDocument/2006/relationships/hyperlink" Target="https://doi.org/10.1101/2021.07.07.21260129" TargetMode="External"/><Relationship Id="rId72"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1007/s40273-019-00796-3" TargetMode="External"/><Relationship Id="rId25" Type="http://schemas.openxmlformats.org/officeDocument/2006/relationships/hyperlink" Target="https://doi.org/10.1007/s40273-019-00836-y" TargetMode="External"/><Relationship Id="rId33" Type="http://schemas.openxmlformats.org/officeDocument/2006/relationships/hyperlink" Target="https://doi.org/10.1007/s40273-019-00844-y" TargetMode="External"/><Relationship Id="rId38" Type="http://schemas.openxmlformats.org/officeDocument/2006/relationships/hyperlink" Target="https://doi.org/10.1109/JEEIT.2019.8717448" TargetMode="External"/><Relationship Id="rId46" Type="http://schemas.openxmlformats.org/officeDocument/2006/relationships/hyperlink" Target="https://about.codecov.io/" TargetMode="External"/><Relationship Id="rId59" Type="http://schemas.openxmlformats.org/officeDocument/2006/relationships/hyperlink" Target="https://doi.org/10.5281/zenodo.6212704" TargetMode="External"/><Relationship Id="rId67" Type="http://schemas.openxmlformats.org/officeDocument/2006/relationships/footer" Target="footer2.xml"/><Relationship Id="rId20" Type="http://schemas.openxmlformats.org/officeDocument/2006/relationships/hyperlink" Target="https://doi.org/10.1186/s12967-020-02540-4" TargetMode="External"/><Relationship Id="rId41" Type="http://schemas.openxmlformats.org/officeDocument/2006/relationships/hyperlink" Target="https://doi.org/10.2196/20028" TargetMode="External"/><Relationship Id="rId54" Type="http://schemas.openxmlformats.org/officeDocument/2006/relationships/hyperlink" Target="https://doi.org/10.5281/zenodo.6116701" TargetMode="External"/><Relationship Id="rId62" Type="http://schemas.openxmlformats.org/officeDocument/2006/relationships/hyperlink" Target="https://doi.org/10.5281/zenodo.6116385" TargetMode="External"/><Relationship Id="rId70" Type="http://schemas.openxmlformats.org/officeDocument/2006/relationships/image" Target="media/image3.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9072</Words>
  <Characters>51717</Characters>
  <Application>Microsoft Office Word</Application>
  <DocSecurity>0</DocSecurity>
  <Lines>430</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prototype software framework for transparent, reusable and updatable computational health economic models</vt:lpstr>
      <vt:lpstr>Title</vt:lpstr>
    </vt:vector>
  </TitlesOfParts>
  <Company/>
  <LinksUpToDate>false</LinksUpToDate>
  <CharactersWithSpaces>60668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3</cp:revision>
  <dcterms:created xsi:type="dcterms:W3CDTF">2023-10-17T08:20:00Z</dcterms:created>
  <dcterms:modified xsi:type="dcterms:W3CDTF">2023-10-17T08:43:00Z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are poorly understood. We propose that developers and funders of computational health econ</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