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Sprint 3 Retrospective &amp; Knowledge Base</w:t>
      </w:r>
    </w:p>
    <w:p>
      <w:pPr>
        <w:jc w:val="center"/>
      </w:pPr>
      <w:r>
        <w:rPr>
          <w:b/>
          <w:sz w:val="28"/>
        </w:rPr>
        <w:t>Nifty100 Financial Intelligence</w:t>
      </w:r>
    </w:p>
    <w:p>
      <w:r>
        <w:t>Sprint 3 | Epics 03 &amp; 04 | Screener + Peer Engine</w:t>
      </w:r>
    </w:p>
    <w:p>
      <w:pPr>
        <w:pStyle w:val="Heading1"/>
      </w:pPr>
      <w:r>
        <w:t>1. Sprint Goal</w:t>
      </w:r>
    </w:p>
    <w:p>
      <w:r>
        <w:t>Build a financial screener with six preset filters and custom thresholds, calculate peer percentile rankings across 11 peer groups and 10 metrics, generate radar charts, produce the required Excel deliverables, and validate data quality.</w:t>
      </w:r>
    </w:p>
    <w:p>
      <w:pPr>
        <w:pStyle w:val="Heading1"/>
      </w:pPr>
      <w:r>
        <w:t>2. Day-by-Day Completion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Day</w:t>
            </w:r>
          </w:p>
        </w:tc>
        <w:tc>
          <w:tcPr>
            <w:tcW w:type="dxa" w:w="2880"/>
          </w:tcPr>
          <w:p>
            <w:r>
              <w:t>Work</w:t>
            </w:r>
          </w:p>
        </w:tc>
        <w:tc>
          <w:tcPr>
            <w:tcW w:type="dxa" w:w="2880"/>
          </w:tcPr>
          <w:p>
            <w:r>
              <w:t>Status</w:t>
            </w:r>
          </w:p>
        </w:tc>
      </w:tr>
      <w:tr>
        <w:tc>
          <w:tcPr>
            <w:tcW w:type="dxa" w:w="2880"/>
          </w:tcPr>
          <w:p>
            <w:r>
              <w:t>Day 15</w:t>
            </w:r>
          </w:p>
        </w:tc>
        <w:tc>
          <w:tcPr>
            <w:tcW w:type="dxa" w:w="2880"/>
          </w:tcPr>
          <w:p>
            <w:r>
              <w:t>Filter Engine Core and configurable thresholds</w:t>
            </w:r>
          </w:p>
        </w:tc>
        <w:tc>
          <w:tcPr>
            <w:tcW w:type="dxa" w:w="2880"/>
          </w:tcPr>
          <w:p>
            <w:r>
              <w:t>Complete</w:t>
            </w:r>
          </w:p>
        </w:tc>
      </w:tr>
      <w:tr>
        <w:tc>
          <w:tcPr>
            <w:tcW w:type="dxa" w:w="2880"/>
          </w:tcPr>
          <w:p>
            <w:r>
              <w:t>Day 16</w:t>
            </w:r>
          </w:p>
        </w:tc>
        <w:tc>
          <w:tcPr>
            <w:tcW w:type="dxa" w:w="2880"/>
          </w:tcPr>
          <w:p>
            <w:r>
              <w:t>Six screener presets</w:t>
            </w:r>
          </w:p>
        </w:tc>
        <w:tc>
          <w:tcPr>
            <w:tcW w:type="dxa" w:w="2880"/>
          </w:tcPr>
          <w:p>
            <w:r>
              <w:t>Complete</w:t>
            </w:r>
          </w:p>
        </w:tc>
      </w:tr>
      <w:tr>
        <w:tc>
          <w:tcPr>
            <w:tcW w:type="dxa" w:w="2880"/>
          </w:tcPr>
          <w:p>
            <w:r>
              <w:t>Day 17</w:t>
            </w:r>
          </w:p>
        </w:tc>
        <w:tc>
          <w:tcPr>
            <w:tcW w:type="dxa" w:w="2880"/>
          </w:tcPr>
          <w:p>
            <w:r>
              <w:t>Composite Quality Score (0–100)</w:t>
            </w:r>
          </w:p>
        </w:tc>
        <w:tc>
          <w:tcPr>
            <w:tcW w:type="dxa" w:w="2880"/>
          </w:tcPr>
          <w:p>
            <w:r>
              <w:t>Complete</w:t>
            </w:r>
          </w:p>
        </w:tc>
      </w:tr>
      <w:tr>
        <w:tc>
          <w:tcPr>
            <w:tcW w:type="dxa" w:w="2880"/>
          </w:tcPr>
          <w:p>
            <w:r>
              <w:t>Day 18</w:t>
            </w:r>
          </w:p>
        </w:tc>
        <w:tc>
          <w:tcPr>
            <w:tcW w:type="dxa" w:w="2880"/>
          </w:tcPr>
          <w:p>
            <w:r>
              <w:t>Peer percentiles: 10 metrics across 11 groups</w:t>
            </w:r>
          </w:p>
        </w:tc>
        <w:tc>
          <w:tcPr>
            <w:tcW w:type="dxa" w:w="2880"/>
          </w:tcPr>
          <w:p>
            <w:r>
              <w:t>Complete</w:t>
            </w:r>
          </w:p>
        </w:tc>
      </w:tr>
      <w:tr>
        <w:tc>
          <w:tcPr>
            <w:tcW w:type="dxa" w:w="2880"/>
          </w:tcPr>
          <w:p>
            <w:r>
              <w:t>Day 19</w:t>
            </w:r>
          </w:p>
        </w:tc>
        <w:tc>
          <w:tcPr>
            <w:tcW w:type="dxa" w:w="2880"/>
          </w:tcPr>
          <w:p>
            <w:r>
              <w:t>Radar charts</w:t>
            </w:r>
          </w:p>
        </w:tc>
        <w:tc>
          <w:tcPr>
            <w:tcW w:type="dxa" w:w="2880"/>
          </w:tcPr>
          <w:p>
            <w:r>
              <w:t>Complete</w:t>
            </w:r>
          </w:p>
        </w:tc>
      </w:tr>
      <w:tr>
        <w:tc>
          <w:tcPr>
            <w:tcW w:type="dxa" w:w="2880"/>
          </w:tcPr>
          <w:p>
            <w:r>
              <w:t>Day 20</w:t>
            </w:r>
          </w:p>
        </w:tc>
        <w:tc>
          <w:tcPr>
            <w:tcW w:type="dxa" w:w="2880"/>
          </w:tcPr>
          <w:p>
            <w:r>
              <w:t>Peer comparison Excel workbook</w:t>
            </w:r>
          </w:p>
        </w:tc>
        <w:tc>
          <w:tcPr>
            <w:tcW w:type="dxa" w:w="2880"/>
          </w:tcPr>
          <w:p>
            <w:r>
              <w:t>Complete</w:t>
            </w:r>
          </w:p>
        </w:tc>
      </w:tr>
      <w:tr>
        <w:tc>
          <w:tcPr>
            <w:tcW w:type="dxa" w:w="2880"/>
          </w:tcPr>
          <w:p>
            <w:r>
              <w:t>Day 21</w:t>
            </w:r>
          </w:p>
        </w:tc>
        <w:tc>
          <w:tcPr>
            <w:tcW w:type="dxa" w:w="2880"/>
          </w:tcPr>
          <w:p>
            <w:r>
              <w:t>DQ tests and final validation</w:t>
            </w:r>
          </w:p>
        </w:tc>
        <w:tc>
          <w:tcPr>
            <w:tcW w:type="dxa" w:w="2880"/>
          </w:tcPr>
          <w:p>
            <w:r>
              <w:t>Complete</w:t>
            </w:r>
          </w:p>
        </w:tc>
      </w:tr>
    </w:tbl>
    <w:p>
      <w:pPr>
        <w:pStyle w:val="Heading1"/>
      </w:pPr>
      <w:r>
        <w:t>3. Screener Presets</w:t>
      </w:r>
    </w:p>
    <w:tbl>
      <w:tblPr>
        <w:tblStyle w:val="TableGrid"/>
        <w:tblW w:type="auto" w:w="0"/>
        <w:tblLook w:firstColumn="1" w:firstRow="1" w:lastColumn="0" w:lastRow="0" w:noHBand="0" w:noVBand="1" w:val="04A0"/>
      </w:tblPr>
      <w:tblGrid>
        <w:gridCol w:w="4320"/>
        <w:gridCol w:w="4320"/>
      </w:tblGrid>
      <w:tr>
        <w:tc>
          <w:tcPr>
            <w:tcW w:type="dxa" w:w="4320"/>
          </w:tcPr>
          <w:p>
            <w:r>
              <w:t>Preset</w:t>
            </w:r>
          </w:p>
        </w:tc>
        <w:tc>
          <w:tcPr>
            <w:tcW w:type="dxa" w:w="4320"/>
          </w:tcPr>
          <w:p>
            <w:r>
              <w:t>Companies</w:t>
            </w:r>
          </w:p>
        </w:tc>
      </w:tr>
      <w:tr>
        <w:tc>
          <w:tcPr>
            <w:tcW w:type="dxa" w:w="4320"/>
          </w:tcPr>
          <w:p>
            <w:r>
              <w:t>Quality Compounder</w:t>
            </w:r>
          </w:p>
        </w:tc>
        <w:tc>
          <w:tcPr>
            <w:tcW w:type="dxa" w:w="4320"/>
          </w:tcPr>
          <w:p>
            <w:r>
              <w:t>19</w:t>
            </w:r>
          </w:p>
        </w:tc>
      </w:tr>
      <w:tr>
        <w:tc>
          <w:tcPr>
            <w:tcW w:type="dxa" w:w="4320"/>
          </w:tcPr>
          <w:p>
            <w:r>
              <w:t>Value Pick</w:t>
            </w:r>
          </w:p>
        </w:tc>
        <w:tc>
          <w:tcPr>
            <w:tcW w:type="dxa" w:w="4320"/>
          </w:tcPr>
          <w:p>
            <w:r>
              <w:t>2</w:t>
            </w:r>
          </w:p>
        </w:tc>
      </w:tr>
      <w:tr>
        <w:tc>
          <w:tcPr>
            <w:tcW w:type="dxa" w:w="4320"/>
          </w:tcPr>
          <w:p>
            <w:r>
              <w:t>Growth Accelerator</w:t>
            </w:r>
          </w:p>
        </w:tc>
        <w:tc>
          <w:tcPr>
            <w:tcW w:type="dxa" w:w="4320"/>
          </w:tcPr>
          <w:p>
            <w:r>
              <w:t>9</w:t>
            </w:r>
          </w:p>
        </w:tc>
      </w:tr>
      <w:tr>
        <w:tc>
          <w:tcPr>
            <w:tcW w:type="dxa" w:w="4320"/>
          </w:tcPr>
          <w:p>
            <w:r>
              <w:t>Dividend Champion</w:t>
            </w:r>
          </w:p>
        </w:tc>
        <w:tc>
          <w:tcPr>
            <w:tcW w:type="dxa" w:w="4320"/>
          </w:tcPr>
          <w:p>
            <w:r>
              <w:t>30</w:t>
            </w:r>
          </w:p>
        </w:tc>
      </w:tr>
      <w:tr>
        <w:tc>
          <w:tcPr>
            <w:tcW w:type="dxa" w:w="4320"/>
          </w:tcPr>
          <w:p>
            <w:r>
              <w:t>Debt-Free Blue Chip</w:t>
            </w:r>
          </w:p>
        </w:tc>
        <w:tc>
          <w:tcPr>
            <w:tcW w:type="dxa" w:w="4320"/>
          </w:tcPr>
          <w:p>
            <w:r>
              <w:t>20</w:t>
            </w:r>
          </w:p>
        </w:tc>
      </w:tr>
      <w:tr>
        <w:tc>
          <w:tcPr>
            <w:tcW w:type="dxa" w:w="4320"/>
          </w:tcPr>
          <w:p>
            <w:r>
              <w:t>Turnaround Watch</w:t>
            </w:r>
          </w:p>
        </w:tc>
        <w:tc>
          <w:tcPr>
            <w:tcW w:type="dxa" w:w="4320"/>
          </w:tcPr>
          <w:p>
            <w:r>
              <w:t>17</w:t>
            </w:r>
          </w:p>
        </w:tc>
      </w:tr>
    </w:tbl>
    <w:p>
      <w:r>
        <w:t>Data note: Value Pick returned 2 companies with the exact configured thresholds. Thresholds were not loosened simply to force a 5–50 result count.</w:t>
      </w:r>
    </w:p>
    <w:p>
      <w:pPr>
        <w:pStyle w:val="Heading1"/>
      </w:pPr>
      <w:r>
        <w:t>4. Composite Quality Score</w:t>
      </w:r>
    </w:p>
    <w:p>
      <w:r>
        <w:t>The composite score uses P10/P90 winsorization with sector-relative normalization. Weights:</w:t>
      </w:r>
    </w:p>
    <w:p>
      <w:pPr>
        <w:pStyle w:val="ListBullet"/>
      </w:pPr>
      <w:r>
        <w:t>Profitability — 35%: ROE 15%, ROCE 10%, NPM 10%</w:t>
      </w:r>
    </w:p>
    <w:p>
      <w:pPr>
        <w:pStyle w:val="ListBullet"/>
      </w:pPr>
      <w:r>
        <w:t>Cash Quality — 30%: FCF CAGR 15%, CFO/PAT ratio 10%, FCF positive flag 5%</w:t>
      </w:r>
    </w:p>
    <w:p>
      <w:pPr>
        <w:pStyle w:val="ListBullet"/>
      </w:pPr>
      <w:r>
        <w:t>Growth — 20%: Revenue CAGR 10%, PAT CAGR 10%</w:t>
      </w:r>
    </w:p>
    <w:p>
      <w:pPr>
        <w:pStyle w:val="ListBullet"/>
      </w:pPr>
      <w:r>
        <w:t>Leverage — 15%: D/E score 10%, Interest Coverage score 5%</w:t>
      </w:r>
    </w:p>
    <w:p>
      <w:pPr>
        <w:pStyle w:val="Heading1"/>
      </w:pPr>
      <w:r>
        <w:t>5. Peer Engine</w:t>
      </w:r>
    </w:p>
    <w:p>
      <w:r>
        <w:t>The peer_percentiles table contains 560 records, representing 56 peer-assigned companies × 10 metrics, across exactly 11 peer groups.</w:t>
      </w:r>
    </w:p>
    <w:p>
      <w:r>
        <w:t>PERCENT_RANK-style ranking is used. Higher-is-better metrics receive higher percentiles; D/E is inverted so lower D/E receives a higher percentile.</w:t>
      </w:r>
    </w:p>
    <w:p>
      <w:pPr>
        <w:pStyle w:val="Heading1"/>
      </w:pPr>
      <w:r>
        <w:t>6. Radar Charts</w:t>
      </w:r>
    </w:p>
    <w:p>
      <w:r>
        <w:t>92 radar PNG charts were generated: 56 peer-group charts and 36 no-peer charts. Peer-group companies use their peer average as the reference; companies without a peer group use the Nifty 100 reference.</w:t>
      </w:r>
    </w:p>
    <w:p>
      <w:r>
        <w:t>Axes: ROE, ROCE, NPM, D/E, FCF Score, PAT CAGR 5yr, Revenue CAGR 5yr, Composite Score.</w:t>
      </w:r>
    </w:p>
    <w:p>
      <w:pPr>
        <w:pStyle w:val="Heading1"/>
      </w:pPr>
      <w:r>
        <w:t>7. Peer Comparison Workbook</w:t>
      </w:r>
    </w:p>
    <w:p>
      <w:r>
        <w:t>output/peer_comparison.xlsx contains exactly 11 sheets. Each sheet has 22 columns: company ID/name, 10 metric values, and 10 percentile columns.</w:t>
      </w:r>
    </w:p>
    <w:p>
      <w:r>
        <w:t>Percentiles are color-coded green for ≥75, yellow for &gt;25 and &lt;75, and red for ≤25. Benchmark rows use gold/amber formatting and each sheet contains a peer-group median summary row.</w:t>
      </w:r>
    </w:p>
    <w:p>
      <w:pPr>
        <w:pStyle w:val="Heading1"/>
      </w:pPr>
      <w:r>
        <w:t>8. Data Quality Validation</w:t>
      </w:r>
    </w:p>
    <w:p>
      <w:r>
        <w:rPr>
          <w:b/>
        </w:rPr>
        <w:t>98 passed, 0 failed</w:t>
      </w:r>
    </w:p>
    <w:p>
      <w:r>
        <w:t>The 98-test run includes 14 Sprint 3 DQ tests covering outputs, sheet counts, 92 radar files, peer percentile counts, IT Services/FMCG ranking behavior, D/E inversion, percentile bounds, workbook structure, benchmark/summary rows, and Quality Compounder thresholds.</w:t>
      </w:r>
    </w:p>
    <w:p>
      <w:pPr>
        <w:pStyle w:val="Heading1"/>
      </w:pPr>
      <w:r>
        <w:t>9. Main Deliverables</w:t>
      </w:r>
    </w:p>
    <w:p>
      <w:pPr>
        <w:pStyle w:val="ListBullet"/>
      </w:pPr>
      <w:r>
        <w:t>src/screener/engine.py</w:t>
      </w:r>
    </w:p>
    <w:p>
      <w:pPr>
        <w:pStyle w:val="ListBullet"/>
      </w:pPr>
      <w:r>
        <w:t>src/analytics/peer.py</w:t>
      </w:r>
    </w:p>
    <w:p>
      <w:pPr>
        <w:pStyle w:val="ListBullet"/>
      </w:pPr>
      <w:r>
        <w:t>src/analytics/radar.py</w:t>
      </w:r>
    </w:p>
    <w:p>
      <w:pPr>
        <w:pStyle w:val="ListBullet"/>
      </w:pPr>
      <w:r>
        <w:t>src/analytics/peer_comparison.py</w:t>
      </w:r>
    </w:p>
    <w:p>
      <w:pPr>
        <w:pStyle w:val="ListBullet"/>
      </w:pPr>
      <w:r>
        <w:t>config/screener_config.yaml</w:t>
      </w:r>
    </w:p>
    <w:p>
      <w:pPr>
        <w:pStyle w:val="ListBullet"/>
      </w:pPr>
      <w:r>
        <w:t>output/screener_output.xlsx</w:t>
      </w:r>
    </w:p>
    <w:p>
      <w:pPr>
        <w:pStyle w:val="ListBullet"/>
      </w:pPr>
      <w:r>
        <w:t>output/peer_comparison.xlsx</w:t>
      </w:r>
    </w:p>
    <w:p>
      <w:pPr>
        <w:pStyle w:val="ListBullet"/>
      </w:pPr>
      <w:r>
        <w:t>reports/radar_charts/ — 92 PNG charts</w:t>
      </w:r>
    </w:p>
    <w:p>
      <w:pPr>
        <w:pStyle w:val="ListBullet"/>
      </w:pPr>
      <w:r>
        <w:t>nifty100.db — peer_percentiles table</w:t>
      </w:r>
    </w:p>
    <w:p>
      <w:pPr>
        <w:pStyle w:val="ListBullet"/>
      </w:pPr>
      <w:r>
        <w:t>tests/sprint3/test_sprint3_dq.py</w:t>
      </w:r>
    </w:p>
    <w:p>
      <w:pPr>
        <w:pStyle w:val="Heading1"/>
      </w:pPr>
      <w:r>
        <w:t>10. Known Implementation Notes</w:t>
      </w:r>
    </w:p>
    <w:p>
      <w:pPr>
        <w:pStyle w:val="ListBullet"/>
      </w:pPr>
      <w:r>
        <w:t>The local environment uses an older Pandas version; the pd.NA test was made compatible using float('nan').</w:t>
      </w:r>
    </w:p>
    <w:p>
      <w:pPr>
        <w:pStyle w:val="ListBullet"/>
      </w:pPr>
      <w:r>
        <w:t>pytest.ini is a OneDrive reparse-point directory, so validation used pytest -c NUL -q to bypass the broken configuration path.</w:t>
      </w:r>
    </w:p>
    <w:p>
      <w:pPr>
        <w:pStyle w:val="ListBullet"/>
      </w:pPr>
      <w:r>
        <w:t>A non-fatal Matplotlib RuntimeWarning appeared during radar generation; all 92 charts were generated.</w:t>
      </w:r>
    </w:p>
    <w:p>
      <w:pPr>
        <w:pStyle w:val="ListBullet"/>
      </w:pPr>
      <w:r>
        <w:t>Value Pick returns only 2 companies with the exact configured thresholds and current data universe.</w:t>
      </w:r>
    </w:p>
    <w:p>
      <w:pPr>
        <w:pStyle w:val="ListBullet"/>
      </w:pPr>
      <w:r>
        <w:t>ROCE is sourced from companies.roce_percentage in peer/radar workflows, while the screener composite workflow also contains a derived ROCE calculation; this methodological difference should be reviewed before production use.</w:t>
      </w:r>
    </w:p>
    <w:p>
      <w:pPr>
        <w:pStyle w:val="Heading1"/>
      </w:pPr>
      <w:r>
        <w:t>11. Sprint Review Summary</w:t>
      </w:r>
    </w:p>
    <w:p>
      <w:r>
        <w:t>Sprint 3 delivered the screener and peer-analysis foundation: six configurable presets, a 0–100 composite quality score, peer percentile rankings across 11 groups, 92 radar charts, an 11-sheet peer comparison workbook, and automated DQ validation with 98 passing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