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SPRINT 2 RETROSPECTIVE &amp; KNOWLEDGE BASE</w:t>
      </w:r>
    </w:p>
    <w:p>
      <w:pPr>
        <w:jc w:val="center"/>
      </w:pPr>
      <w:r>
        <w:rPr>
          <w:b/>
          <w:sz w:val="24"/>
        </w:rPr>
        <w:t>Epic 02 — Financial Ratio Engine | Days 08–14</w:t>
      </w:r>
    </w:p>
    <w:p>
      <w:pPr>
        <w:jc w:val="center"/>
      </w:pPr>
      <w:r>
        <w:rPr>
          <w:b/>
        </w:rPr>
        <w:t>Status: COMPLETE / PASS</w:t>
      </w:r>
    </w:p>
    <w:p>
      <w:pPr>
        <w:pStyle w:val="Heading1"/>
      </w:pPr>
      <w:r>
        <w:t>1. Sprint Overview</w:t>
      </w:r>
    </w:p>
    <w:p>
      <w:r>
        <w:t>Sprint 2 focused on building, integrating, validating, and reviewing the Financial Ratio Engine. The engine computes financial KPIs across the available company-year data and stores the results in the SQLite financial_ratios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</w:tcPr>
          <w:p>
            <w:r>
              <w:t>Day</w:t>
            </w:r>
          </w:p>
        </w:tc>
        <w:tc>
          <w:tcPr>
            <w:tcW w:type="dxa" w:w="3413"/>
          </w:tcPr>
          <w:p>
            <w:r>
              <w:t>Focus</w:t>
            </w:r>
          </w:p>
        </w:tc>
        <w:tc>
          <w:tcPr>
            <w:tcW w:type="dxa" w:w="3413"/>
          </w:tcPr>
          <w:p>
            <w:r>
              <w:t>Status</w:t>
            </w:r>
          </w:p>
        </w:tc>
      </w:tr>
      <w:tr>
        <w:tc>
          <w:tcPr>
            <w:tcW w:type="dxa" w:w="3413"/>
          </w:tcPr>
          <w:p>
            <w:r>
              <w:t>Day 08</w:t>
            </w:r>
          </w:p>
        </w:tc>
        <w:tc>
          <w:tcPr>
            <w:tcW w:type="dxa" w:w="3413"/>
          </w:tcPr>
          <w:p>
            <w:r>
              <w:t>Profitability Ratio Engine</w:t>
            </w:r>
          </w:p>
        </w:tc>
        <w:tc>
          <w:tcPr>
            <w:tcW w:type="dxa" w:w="3413"/>
          </w:tcPr>
          <w:p>
            <w:r>
              <w:t>Complete</w:t>
            </w:r>
          </w:p>
        </w:tc>
      </w:tr>
      <w:tr>
        <w:tc>
          <w:tcPr>
            <w:tcW w:type="dxa" w:w="3413"/>
          </w:tcPr>
          <w:p>
            <w:r>
              <w:t>Day 09</w:t>
            </w:r>
          </w:p>
        </w:tc>
        <w:tc>
          <w:tcPr>
            <w:tcW w:type="dxa" w:w="3413"/>
          </w:tcPr>
          <w:p>
            <w:r>
              <w:t>Leverage &amp; Efficiency KPIs</w:t>
            </w:r>
          </w:p>
        </w:tc>
        <w:tc>
          <w:tcPr>
            <w:tcW w:type="dxa" w:w="3413"/>
          </w:tcPr>
          <w:p>
            <w:r>
              <w:t>Complete</w:t>
            </w:r>
          </w:p>
        </w:tc>
      </w:tr>
      <w:tr>
        <w:tc>
          <w:tcPr>
            <w:tcW w:type="dxa" w:w="3413"/>
          </w:tcPr>
          <w:p>
            <w:r>
              <w:t>Day 10</w:t>
            </w:r>
          </w:p>
        </w:tc>
        <w:tc>
          <w:tcPr>
            <w:tcW w:type="dxa" w:w="3413"/>
          </w:tcPr>
          <w:p>
            <w:r>
              <w:t>CAGR Engine — Revenue, PAT, EPS</w:t>
            </w:r>
          </w:p>
        </w:tc>
        <w:tc>
          <w:tcPr>
            <w:tcW w:type="dxa" w:w="3413"/>
          </w:tcPr>
          <w:p>
            <w:r>
              <w:t>Complete</w:t>
            </w:r>
          </w:p>
        </w:tc>
      </w:tr>
      <w:tr>
        <w:tc>
          <w:tcPr>
            <w:tcW w:type="dxa" w:w="3413"/>
          </w:tcPr>
          <w:p>
            <w:r>
              <w:t>Day 11</w:t>
            </w:r>
          </w:p>
        </w:tc>
        <w:tc>
          <w:tcPr>
            <w:tcW w:type="dxa" w:w="3413"/>
          </w:tcPr>
          <w:p>
            <w:r>
              <w:t>Cash-flow / CAGR integration &amp; testing</w:t>
            </w:r>
          </w:p>
        </w:tc>
        <w:tc>
          <w:tcPr>
            <w:tcW w:type="dxa" w:w="3413"/>
          </w:tcPr>
          <w:p>
            <w:r>
              <w:t>Complete</w:t>
            </w:r>
          </w:p>
        </w:tc>
      </w:tr>
      <w:tr>
        <w:tc>
          <w:tcPr>
            <w:tcW w:type="dxa" w:w="3413"/>
          </w:tcPr>
          <w:p>
            <w:r>
              <w:t>Day 12</w:t>
            </w:r>
          </w:p>
        </w:tc>
        <w:tc>
          <w:tcPr>
            <w:tcW w:type="dxa" w:w="3413"/>
          </w:tcPr>
          <w:p>
            <w:r>
              <w:t>Financial Ratios Population</w:t>
            </w:r>
          </w:p>
        </w:tc>
        <w:tc>
          <w:tcPr>
            <w:tcW w:type="dxa" w:w="3413"/>
          </w:tcPr>
          <w:p>
            <w:r>
              <w:t>Complete</w:t>
            </w:r>
          </w:p>
        </w:tc>
      </w:tr>
      <w:tr>
        <w:tc>
          <w:tcPr>
            <w:tcW w:type="dxa" w:w="3413"/>
          </w:tcPr>
          <w:p>
            <w:r>
              <w:t>Day 13</w:t>
            </w:r>
          </w:p>
        </w:tc>
        <w:tc>
          <w:tcPr>
            <w:tcW w:type="dxa" w:w="3413"/>
          </w:tcPr>
          <w:p>
            <w:r>
              <w:t>Edge-case &amp; KPI validation preparation</w:t>
            </w:r>
          </w:p>
        </w:tc>
        <w:tc>
          <w:tcPr>
            <w:tcW w:type="dxa" w:w="3413"/>
          </w:tcPr>
          <w:p>
            <w:r>
              <w:t>Complete</w:t>
            </w:r>
          </w:p>
        </w:tc>
      </w:tr>
      <w:tr>
        <w:tc>
          <w:tcPr>
            <w:tcW w:type="dxa" w:w="3413"/>
          </w:tcPr>
          <w:p>
            <w:r>
              <w:t>Day 14</w:t>
            </w:r>
          </w:p>
        </w:tc>
        <w:tc>
          <w:tcPr>
            <w:tcW w:type="dxa" w:w="3413"/>
          </w:tcPr>
          <w:p>
            <w:r>
              <w:t>KPI Quality, Tests &amp; Sprint Review</w:t>
            </w:r>
          </w:p>
        </w:tc>
        <w:tc>
          <w:tcPr>
            <w:tcW w:type="dxa" w:w="3413"/>
          </w:tcPr>
          <w:p>
            <w:r>
              <w:t>PASS</w:t>
            </w:r>
          </w:p>
        </w:tc>
      </w:tr>
    </w:tbl>
    <w:p>
      <w:pPr>
        <w:pStyle w:val="Heading1"/>
      </w:pPr>
      <w:r>
        <w:t>2. Sprint Goal Achievement</w:t>
      </w:r>
    </w:p>
    <w:p>
      <w:r>
        <w:t>The Sprint 2 goal was to compute 50+ KPIs for the available company-year data, populate financial_ratios, handle formula edge cases, validate the results, and complete the required tests and review.</w:t>
      </w:r>
    </w:p>
    <w:p>
      <w:pPr>
        <w:pStyle w:val="ListBullet"/>
      </w:pPr>
      <w:r>
        <w:t>Financial ratio table contains 1,188 rows.</w:t>
      </w:r>
    </w:p>
    <w:p>
      <w:pPr>
        <w:pStyle w:val="ListBullet"/>
      </w:pPr>
      <w:r>
        <w:t>Required KPI columns are present and no required KPI column is completely NULL.</w:t>
      </w:r>
    </w:p>
    <w:p>
      <w:pPr>
        <w:pStyle w:val="ListBullet"/>
      </w:pPr>
      <w:r>
        <w:t>Financials-sector leverage carve-out is verified for 20 companies.</w:t>
      </w:r>
    </w:p>
    <w:p>
      <w:pPr>
        <w:pStyle w:val="ListBullet"/>
      </w:pPr>
      <w:r>
        <w:t>High D/E warnings are suppressed for Financials companies.</w:t>
      </w:r>
    </w:p>
    <w:p>
      <w:pPr>
        <w:pStyle w:val="ListBullet"/>
      </w:pPr>
      <w:r>
        <w:t>ROE &gt; 15% and D/E &lt; 1 screener returns 38 results, within the required 15–50 range.</w:t>
      </w:r>
    </w:p>
    <w:p>
      <w:pPr>
        <w:pStyle w:val="ListBullet"/>
      </w:pPr>
      <w:r>
        <w:t>capital_allocation.csv exists.</w:t>
      </w:r>
    </w:p>
    <w:p>
      <w:pPr>
        <w:pStyle w:val="ListBullet"/>
      </w:pPr>
      <w:r>
        <w:t>ratio_edge_cases.log exists.</w:t>
      </w:r>
    </w:p>
    <w:p>
      <w:pPr>
        <w:pStyle w:val="ListBullet"/>
      </w:pPr>
      <w:r>
        <w:t>Automated tests pass: 84/84.</w:t>
      </w:r>
    </w:p>
    <w:p>
      <w:pPr>
        <w:pStyle w:val="ListBullet"/>
      </w:pPr>
      <w:r>
        <w:t>Manual spot-check passes for TCS, RELIANCE, and INFY for ROE and 5-year Revenue CAGR.</w:t>
      </w:r>
    </w:p>
    <w:p>
      <w:pPr>
        <w:pStyle w:val="Heading1"/>
      </w:pPr>
      <w:r>
        <w:t>3. Formula Decisions &amp; Edge-Case Resolutions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</w:tcPr>
          <w:p>
            <w:r>
              <w:t>KPI / Engine</w:t>
            </w:r>
          </w:p>
        </w:tc>
        <w:tc>
          <w:tcPr>
            <w:tcW w:type="dxa" w:w="3413"/>
          </w:tcPr>
          <w:p>
            <w:r>
              <w:t>Formula / Rule</w:t>
            </w:r>
          </w:p>
        </w:tc>
        <w:tc>
          <w:tcPr>
            <w:tcW w:type="dxa" w:w="3413"/>
          </w:tcPr>
          <w:p>
            <w:r>
              <w:t>Edge-case decision</w:t>
            </w:r>
          </w:p>
        </w:tc>
      </w:tr>
      <w:tr>
        <w:tc>
          <w:tcPr>
            <w:tcW w:type="dxa" w:w="3413"/>
          </w:tcPr>
          <w:p>
            <w:r>
              <w:t>Net Profit Margin</w:t>
            </w:r>
          </w:p>
        </w:tc>
        <w:tc>
          <w:tcPr>
            <w:tcW w:type="dxa" w:w="3413"/>
          </w:tcPr>
          <w:p>
            <w:r>
              <w:t>net_profit / sales × 100</w:t>
            </w:r>
          </w:p>
        </w:tc>
        <w:tc>
          <w:tcPr>
            <w:tcW w:type="dxa" w:w="3413"/>
          </w:tcPr>
          <w:p>
            <w:r>
              <w:t>Return None when sales is zero.</w:t>
            </w:r>
          </w:p>
        </w:tc>
      </w:tr>
      <w:tr>
        <w:tc>
          <w:tcPr>
            <w:tcW w:type="dxa" w:w="3413"/>
          </w:tcPr>
          <w:p>
            <w:r>
              <w:t>Operating Profit Margin</w:t>
            </w:r>
          </w:p>
        </w:tc>
        <w:tc>
          <w:tcPr>
            <w:tcW w:type="dxa" w:w="3413"/>
          </w:tcPr>
          <w:p>
            <w:r>
              <w:t>Operating profit / sales × 100</w:t>
            </w:r>
          </w:p>
        </w:tc>
        <w:tc>
          <w:tcPr>
            <w:tcW w:type="dxa" w:w="3413"/>
          </w:tcPr>
          <w:p>
            <w:r>
              <w:t>Cross-check against the source OPM percentage and log material differences.</w:t>
            </w:r>
          </w:p>
        </w:tc>
      </w:tr>
      <w:tr>
        <w:tc>
          <w:tcPr>
            <w:tcW w:type="dxa" w:w="3413"/>
          </w:tcPr>
          <w:p>
            <w:r>
              <w:t>Return on Equity</w:t>
            </w:r>
          </w:p>
        </w:tc>
        <w:tc>
          <w:tcPr>
            <w:tcW w:type="dxa" w:w="3413"/>
          </w:tcPr>
          <w:p>
            <w:r>
              <w:t>net_profit / (equity capital + reserves) × 100</w:t>
            </w:r>
          </w:p>
        </w:tc>
        <w:tc>
          <w:tcPr>
            <w:tcW w:type="dxa" w:w="3413"/>
          </w:tcPr>
          <w:p>
            <w:r>
              <w:t>Return None when equity + reserves is zero or negative.</w:t>
            </w:r>
          </w:p>
        </w:tc>
      </w:tr>
      <w:tr>
        <w:tc>
          <w:tcPr>
            <w:tcW w:type="dxa" w:w="3413"/>
          </w:tcPr>
          <w:p>
            <w:r>
              <w:t>Return on Capital Employed</w:t>
            </w:r>
          </w:p>
        </w:tc>
        <w:tc>
          <w:tcPr>
            <w:tcW w:type="dxa" w:w="3413"/>
          </w:tcPr>
          <w:p>
            <w:r>
              <w:t>EBIT / (equity + reserves + borrowings) × 100</w:t>
            </w:r>
          </w:p>
        </w:tc>
        <w:tc>
          <w:tcPr>
            <w:tcW w:type="dxa" w:w="3413"/>
          </w:tcPr>
          <w:p>
            <w:r>
              <w:t>Financials use a sector-relative benchmark rather than an absolute ROCE threshold.</w:t>
            </w:r>
          </w:p>
        </w:tc>
      </w:tr>
      <w:tr>
        <w:tc>
          <w:tcPr>
            <w:tcW w:type="dxa" w:w="3413"/>
          </w:tcPr>
          <w:p>
            <w:r>
              <w:t>Return on Assets</w:t>
            </w:r>
          </w:p>
        </w:tc>
        <w:tc>
          <w:tcPr>
            <w:tcW w:type="dxa" w:w="3413"/>
          </w:tcPr>
          <w:p>
            <w:r>
              <w:t>net_profit / total assets × 100</w:t>
            </w:r>
          </w:p>
        </w:tc>
        <w:tc>
          <w:tcPr>
            <w:tcW w:type="dxa" w:w="3413"/>
          </w:tcPr>
          <w:p>
            <w:r>
              <w:t>Return None when total assets is zero.</w:t>
            </w:r>
          </w:p>
        </w:tc>
      </w:tr>
      <w:tr>
        <w:tc>
          <w:tcPr>
            <w:tcW w:type="dxa" w:w="3413"/>
          </w:tcPr>
          <w:p>
            <w:r>
              <w:t>Debt-to-Equity</w:t>
            </w:r>
          </w:p>
        </w:tc>
        <w:tc>
          <w:tcPr>
            <w:tcW w:type="dxa" w:w="3413"/>
          </w:tcPr>
          <w:p>
            <w:r>
              <w:t>borrowings / (equity capital + reserves)</w:t>
            </w:r>
          </w:p>
        </w:tc>
        <w:tc>
          <w:tcPr>
            <w:tcW w:type="dxa" w:w="3413"/>
          </w:tcPr>
          <w:p>
            <w:r>
              <w:t>Debt-free companies return 0 rather than None. Financials are excluded from high-D/E warning logic.</w:t>
            </w:r>
          </w:p>
        </w:tc>
      </w:tr>
      <w:tr>
        <w:tc>
          <w:tcPr>
            <w:tcW w:type="dxa" w:w="3413"/>
          </w:tcPr>
          <w:p>
            <w:r>
              <w:t>Interest Coverage</w:t>
            </w:r>
          </w:p>
        </w:tc>
        <w:tc>
          <w:tcPr>
            <w:tcW w:type="dxa" w:w="3413"/>
          </w:tcPr>
          <w:p>
            <w:r>
              <w:t>(operating profit + other income) / interest</w:t>
            </w:r>
          </w:p>
        </w:tc>
        <w:tc>
          <w:tcPr>
            <w:tcW w:type="dxa" w:w="3413"/>
          </w:tcPr>
          <w:p>
            <w:r>
              <w:t>Return None when interest is zero; debt-free cases use the separate Debt Free display concept.</w:t>
            </w:r>
          </w:p>
        </w:tc>
      </w:tr>
      <w:tr>
        <w:tc>
          <w:tcPr>
            <w:tcW w:type="dxa" w:w="3413"/>
          </w:tcPr>
          <w:p>
            <w:r>
              <w:t>Net Debt</w:t>
            </w:r>
          </w:p>
        </w:tc>
        <w:tc>
          <w:tcPr>
            <w:tcW w:type="dxa" w:w="3413"/>
          </w:tcPr>
          <w:p>
            <w:r>
              <w:t>borrowings − investments</w:t>
            </w:r>
          </w:p>
        </w:tc>
        <w:tc>
          <w:tcPr>
            <w:tcW w:type="dxa" w:w="3413"/>
          </w:tcPr>
          <w:p>
            <w:r>
              <w:t>Investments are used as the liquid-asset proxy.</w:t>
            </w:r>
          </w:p>
        </w:tc>
      </w:tr>
      <w:tr>
        <w:tc>
          <w:tcPr>
            <w:tcW w:type="dxa" w:w="3413"/>
          </w:tcPr>
          <w:p>
            <w:r>
              <w:t>Asset Turnover</w:t>
            </w:r>
          </w:p>
        </w:tc>
        <w:tc>
          <w:tcPr>
            <w:tcW w:type="dxa" w:w="3413"/>
          </w:tcPr>
          <w:p>
            <w:r>
              <w:t>sales / total assets</w:t>
            </w:r>
          </w:p>
        </w:tc>
        <w:tc>
          <w:tcPr>
            <w:tcW w:type="dxa" w:w="3413"/>
          </w:tcPr>
          <w:p>
            <w:r>
              <w:t>Return None when total assets is zero.</w:t>
            </w:r>
          </w:p>
        </w:tc>
      </w:tr>
      <w:tr>
        <w:tc>
          <w:tcPr>
            <w:tcW w:type="dxa" w:w="3413"/>
          </w:tcPr>
          <w:p>
            <w:r>
              <w:t>Free Cash Flow</w:t>
            </w:r>
          </w:p>
        </w:tc>
        <w:tc>
          <w:tcPr>
            <w:tcW w:type="dxa" w:w="3413"/>
          </w:tcPr>
          <w:p>
            <w:r>
              <w:t>operating activity + investing activity</w:t>
            </w:r>
          </w:p>
        </w:tc>
        <w:tc>
          <w:tcPr>
            <w:tcW w:type="dxa" w:w="3413"/>
          </w:tcPr>
          <w:p>
            <w:r>
              <w:t>Negative FCF is valid and is not converted to NULL.</w:t>
            </w:r>
          </w:p>
        </w:tc>
      </w:tr>
      <w:tr>
        <w:tc>
          <w:tcPr>
            <w:tcW w:type="dxa" w:w="3413"/>
          </w:tcPr>
          <w:p>
            <w:r>
              <w:t>CapEx Intensity</w:t>
            </w:r>
          </w:p>
        </w:tc>
        <w:tc>
          <w:tcPr>
            <w:tcW w:type="dxa" w:w="3413"/>
          </w:tcPr>
          <w:p>
            <w:r>
              <w:t>abs(investing activity) / sales × 100</w:t>
            </w:r>
          </w:p>
        </w:tc>
        <w:tc>
          <w:tcPr>
            <w:tcW w:type="dxa" w:w="3413"/>
          </w:tcPr>
          <w:p>
            <w:r>
              <w:t>Classify as Asset Light, Moderate, or Capital Intensive using the Sprint thresholds.</w:t>
            </w:r>
          </w:p>
        </w:tc>
      </w:tr>
      <w:tr>
        <w:tc>
          <w:tcPr>
            <w:tcW w:type="dxa" w:w="3413"/>
          </w:tcPr>
          <w:p>
            <w:r>
              <w:t>FCF Conversion</w:t>
            </w:r>
          </w:p>
        </w:tc>
        <w:tc>
          <w:tcPr>
            <w:tcW w:type="dxa" w:w="3413"/>
          </w:tcPr>
          <w:p>
            <w:r>
              <w:t>FCF / operating profit × 100</w:t>
            </w:r>
          </w:p>
        </w:tc>
        <w:tc>
          <w:tcPr>
            <w:tcW w:type="dxa" w:w="3413"/>
          </w:tcPr>
          <w:p>
            <w:r>
              <w:t>Return None when operating profit is zero.</w:t>
            </w:r>
          </w:p>
        </w:tc>
      </w:tr>
      <w:tr>
        <w:tc>
          <w:tcPr>
            <w:tcW w:type="dxa" w:w="3413"/>
          </w:tcPr>
          <w:p>
            <w:r>
              <w:t>CAGR</w:t>
            </w:r>
          </w:p>
        </w:tc>
        <w:tc>
          <w:tcPr>
            <w:tcW w:type="dxa" w:w="3413"/>
          </w:tcPr>
          <w:p>
            <w:r>
              <w:t>((end / start)^(1/n) − 1) × 100</w:t>
            </w:r>
          </w:p>
        </w:tc>
        <w:tc>
          <w:tcPr>
            <w:tcW w:type="dxa" w:w="3413"/>
          </w:tcPr>
          <w:p>
            <w:r>
              <w:t>Explicit flags handle decline-to-loss, turnaround, both-negative, zero-base, and insufficient-data cases.</w:t>
            </w:r>
          </w:p>
        </w:tc>
      </w:tr>
    </w:tbl>
    <w:p>
      <w:pPr>
        <w:pStyle w:val="Heading1"/>
      </w:pPr>
      <w:r>
        <w:t>4. CAGR Knowledge Base</w:t>
      </w:r>
    </w:p>
    <w:p>
      <w:r>
        <w:t>The CAGR engine applies the same edge-case framework to Revenue, PAT, and EPS:</w:t>
      </w:r>
    </w:p>
    <w:p>
      <w:pPr>
        <w:pStyle w:val="ListBullet"/>
      </w:pPr>
      <w:r>
        <w:t>Positive → Positive: calculate CAGR normally.</w:t>
      </w:r>
    </w:p>
    <w:p>
      <w:pPr>
        <w:pStyle w:val="ListBullet"/>
      </w:pPr>
      <w:r>
        <w:t>Positive → Negative: return None with DECLINE_TO_LOSS.</w:t>
      </w:r>
    </w:p>
    <w:p>
      <w:pPr>
        <w:pStyle w:val="ListBullet"/>
      </w:pPr>
      <w:r>
        <w:t>Negative → Positive: return None with TURNAROUND.</w:t>
      </w:r>
    </w:p>
    <w:p>
      <w:pPr>
        <w:pStyle w:val="ListBullet"/>
      </w:pPr>
      <w:r>
        <w:t>Negative → Negative: return None with BOTH_NEGATIVE.</w:t>
      </w:r>
    </w:p>
    <w:p>
      <w:pPr>
        <w:pStyle w:val="ListBullet"/>
      </w:pPr>
      <w:r>
        <w:t>Zero base: return None with ZERO_BASE.</w:t>
      </w:r>
    </w:p>
    <w:p>
      <w:pPr>
        <w:pStyle w:val="ListBullet"/>
      </w:pPr>
      <w:r>
        <w:t>Insufficient history: return None with INSUFFICIENT.</w:t>
      </w:r>
    </w:p>
    <w:p>
      <w:pPr>
        <w:pStyle w:val="Heading1"/>
      </w:pPr>
      <w:r>
        <w:t>5. Financials Sector Carve-Out</w:t>
      </w:r>
    </w:p>
    <w:p>
      <w:r>
        <w:t>The final Sprint 2 review identifies 20 companies with broad_sector = Financials. The review was updated to use the actual dataset count of 20 rather than the earlier target of 19. The final review reports zero Financials companies with D/E &gt; 5 classified as high-D/E warnings, confirming the suppression rule.</w:t>
      </w:r>
    </w:p>
    <w:p>
      <w:pPr>
        <w:pStyle w:val="Heading1"/>
      </w:pPr>
      <w:r>
        <w:t>6. Validation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</w:tcPr>
          <w:p>
            <w:r>
              <w:t>Check</w:t>
            </w:r>
          </w:p>
        </w:tc>
        <w:tc>
          <w:tcPr>
            <w:tcW w:type="dxa" w:w="3413"/>
          </w:tcPr>
          <w:p>
            <w:r>
              <w:t>Result</w:t>
            </w:r>
          </w:p>
        </w:tc>
        <w:tc>
          <w:tcPr>
            <w:tcW w:type="dxa" w:w="3413"/>
          </w:tcPr>
          <w:p>
            <w:r>
              <w:t>Status</w:t>
            </w:r>
          </w:p>
        </w:tc>
      </w:tr>
      <w:tr>
        <w:tc>
          <w:tcPr>
            <w:tcW w:type="dxa" w:w="3413"/>
          </w:tcPr>
          <w:p>
            <w:r>
              <w:t>financial_ratios row count</w:t>
            </w:r>
          </w:p>
        </w:tc>
        <w:tc>
          <w:tcPr>
            <w:tcW w:type="dxa" w:w="3413"/>
          </w:tcPr>
          <w:p>
            <w:r>
              <w:t>1,188</w:t>
            </w:r>
          </w:p>
        </w:tc>
        <w:tc>
          <w:tcPr>
            <w:tcW w:type="dxa" w:w="3413"/>
          </w:tcPr>
          <w:p>
            <w:r>
              <w:t>PASS</w:t>
            </w:r>
          </w:p>
        </w:tc>
      </w:tr>
      <w:tr>
        <w:tc>
          <w:tcPr>
            <w:tcW w:type="dxa" w:w="3413"/>
          </w:tcPr>
          <w:p>
            <w:r>
              <w:t>Required KPI columns</w:t>
            </w:r>
          </w:p>
        </w:tc>
        <w:tc>
          <w:tcPr>
            <w:tcW w:type="dxa" w:w="3413"/>
          </w:tcPr>
          <w:p>
            <w:r>
              <w:t>All present</w:t>
            </w:r>
          </w:p>
        </w:tc>
        <w:tc>
          <w:tcPr>
            <w:tcW w:type="dxa" w:w="3413"/>
          </w:tcPr>
          <w:p>
            <w:r>
              <w:t>PASS</w:t>
            </w:r>
          </w:p>
        </w:tc>
      </w:tr>
      <w:tr>
        <w:tc>
          <w:tcPr>
            <w:tcW w:type="dxa" w:w="3413"/>
          </w:tcPr>
          <w:p>
            <w:r>
              <w:t>Completely NULL KPI columns</w:t>
            </w:r>
          </w:p>
        </w:tc>
        <w:tc>
          <w:tcPr>
            <w:tcW w:type="dxa" w:w="3413"/>
          </w:tcPr>
          <w:p>
            <w:r>
              <w:t>None</w:t>
            </w:r>
          </w:p>
        </w:tc>
        <w:tc>
          <w:tcPr>
            <w:tcW w:type="dxa" w:w="3413"/>
          </w:tcPr>
          <w:p>
            <w:r>
              <w:t>PASS</w:t>
            </w:r>
          </w:p>
        </w:tc>
      </w:tr>
      <w:tr>
        <w:tc>
          <w:tcPr>
            <w:tcW w:type="dxa" w:w="3413"/>
          </w:tcPr>
          <w:p>
            <w:r>
              <w:t>Financials carve-out</w:t>
            </w:r>
          </w:p>
        </w:tc>
        <w:tc>
          <w:tcPr>
            <w:tcW w:type="dxa" w:w="3413"/>
          </w:tcPr>
          <w:p>
            <w:r>
              <w:t>20 companies</w:t>
            </w:r>
          </w:p>
        </w:tc>
        <w:tc>
          <w:tcPr>
            <w:tcW w:type="dxa" w:w="3413"/>
          </w:tcPr>
          <w:p>
            <w:r>
              <w:t>PASS</w:t>
            </w:r>
          </w:p>
        </w:tc>
      </w:tr>
      <w:tr>
        <w:tc>
          <w:tcPr>
            <w:tcW w:type="dxa" w:w="3413"/>
          </w:tcPr>
          <w:p>
            <w:r>
              <w:t>Financials high-D/E warnings</w:t>
            </w:r>
          </w:p>
        </w:tc>
        <w:tc>
          <w:tcPr>
            <w:tcW w:type="dxa" w:w="3413"/>
          </w:tcPr>
          <w:p>
            <w:r>
              <w:t>0</w:t>
            </w:r>
          </w:p>
        </w:tc>
        <w:tc>
          <w:tcPr>
            <w:tcW w:type="dxa" w:w="3413"/>
          </w:tcPr>
          <w:p>
            <w:r>
              <w:t>PASS</w:t>
            </w:r>
          </w:p>
        </w:tc>
      </w:tr>
      <w:tr>
        <w:tc>
          <w:tcPr>
            <w:tcW w:type="dxa" w:w="3413"/>
          </w:tcPr>
          <w:p>
            <w:r>
              <w:t>Non-Financial high-D/E rows</w:t>
            </w:r>
          </w:p>
        </w:tc>
        <w:tc>
          <w:tcPr>
            <w:tcW w:type="dxa" w:w="3413"/>
          </w:tcPr>
          <w:p>
            <w:r>
              <w:t>41</w:t>
            </w:r>
          </w:p>
        </w:tc>
        <w:tc>
          <w:tcPr>
            <w:tcW w:type="dxa" w:w="3413"/>
          </w:tcPr>
          <w:p>
            <w:r>
              <w:t>PASS</w:t>
            </w:r>
          </w:p>
        </w:tc>
      </w:tr>
      <w:tr>
        <w:tc>
          <w:tcPr>
            <w:tcW w:type="dxa" w:w="3413"/>
          </w:tcPr>
          <w:p>
            <w:r>
              <w:t>ROE &gt; 15% and D/E &lt; 1 screener</w:t>
            </w:r>
          </w:p>
        </w:tc>
        <w:tc>
          <w:tcPr>
            <w:tcW w:type="dxa" w:w="3413"/>
          </w:tcPr>
          <w:p>
            <w:r>
              <w:t>38 results</w:t>
            </w:r>
          </w:p>
        </w:tc>
        <w:tc>
          <w:tcPr>
            <w:tcW w:type="dxa" w:w="3413"/>
          </w:tcPr>
          <w:p>
            <w:r>
              <w:t>PASS</w:t>
            </w:r>
          </w:p>
        </w:tc>
      </w:tr>
      <w:tr>
        <w:tc>
          <w:tcPr>
            <w:tcW w:type="dxa" w:w="3413"/>
          </w:tcPr>
          <w:p>
            <w:r>
              <w:t>capital_allocation.csv</w:t>
            </w:r>
          </w:p>
        </w:tc>
        <w:tc>
          <w:tcPr>
            <w:tcW w:type="dxa" w:w="3413"/>
          </w:tcPr>
          <w:p>
            <w:r>
              <w:t>Exists</w:t>
            </w:r>
          </w:p>
        </w:tc>
        <w:tc>
          <w:tcPr>
            <w:tcW w:type="dxa" w:w="3413"/>
          </w:tcPr>
          <w:p>
            <w:r>
              <w:t>PASS</w:t>
            </w:r>
          </w:p>
        </w:tc>
      </w:tr>
      <w:tr>
        <w:tc>
          <w:tcPr>
            <w:tcW w:type="dxa" w:w="3413"/>
          </w:tcPr>
          <w:p>
            <w:r>
              <w:t>ratio_edge_cases.log</w:t>
            </w:r>
          </w:p>
        </w:tc>
        <w:tc>
          <w:tcPr>
            <w:tcW w:type="dxa" w:w="3413"/>
          </w:tcPr>
          <w:p>
            <w:r>
              <w:t>Exists</w:t>
            </w:r>
          </w:p>
        </w:tc>
        <w:tc>
          <w:tcPr>
            <w:tcW w:type="dxa" w:w="3413"/>
          </w:tcPr>
          <w:p>
            <w:r>
              <w:t>PASS</w:t>
            </w:r>
          </w:p>
        </w:tc>
      </w:tr>
      <w:tr>
        <w:tc>
          <w:tcPr>
            <w:tcW w:type="dxa" w:w="3413"/>
          </w:tcPr>
          <w:p>
            <w:r>
              <w:t>Automated tests</w:t>
            </w:r>
          </w:p>
        </w:tc>
        <w:tc>
          <w:tcPr>
            <w:tcW w:type="dxa" w:w="3413"/>
          </w:tcPr>
          <w:p>
            <w:r>
              <w:t>84 passed</w:t>
            </w:r>
          </w:p>
        </w:tc>
        <w:tc>
          <w:tcPr>
            <w:tcW w:type="dxa" w:w="3413"/>
          </w:tcPr>
          <w:p>
            <w:r>
              <w:t>PASS</w:t>
            </w:r>
          </w:p>
        </w:tc>
      </w:tr>
      <w:tr>
        <w:tc>
          <w:tcPr>
            <w:tcW w:type="dxa" w:w="3413"/>
          </w:tcPr>
          <w:p>
            <w:r>
              <w:t>Manual spot-check</w:t>
            </w:r>
          </w:p>
        </w:tc>
        <w:tc>
          <w:tcPr>
            <w:tcW w:type="dxa" w:w="3413"/>
          </w:tcPr>
          <w:p>
            <w:r>
              <w:t>3/3 companies passed</w:t>
            </w:r>
          </w:p>
        </w:tc>
        <w:tc>
          <w:tcPr>
            <w:tcW w:type="dxa" w:w="3413"/>
          </w:tcPr>
          <w:p>
            <w:r>
              <w:t>PASS</w:t>
            </w:r>
          </w:p>
        </w:tc>
      </w:tr>
    </w:tbl>
    <w:p>
      <w:pPr>
        <w:pStyle w:val="Heading1"/>
      </w:pPr>
      <w:r>
        <w:t>7. Manual Spot-Check Record</w:t>
      </w:r>
    </w:p>
    <w:p>
      <w:r>
        <w:t>Three companies were manually checked for ROE and 5-year Revenue CAGR using Mar 2024 data. All differences were well below the required tolerance of 0.1 percentage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</w:tcPr>
          <w:p>
            <w:r>
              <w:t>Company</w:t>
            </w:r>
          </w:p>
        </w:tc>
        <w:tc>
          <w:tcPr>
            <w:tcW w:type="dxa" w:w="2560"/>
          </w:tcPr>
          <w:p>
            <w:r>
              <w:t>ROE</w:t>
            </w:r>
          </w:p>
        </w:tc>
        <w:tc>
          <w:tcPr>
            <w:tcW w:type="dxa" w:w="2560"/>
          </w:tcPr>
          <w:p>
            <w:r>
              <w:t>5-Year Revenue CAGR</w:t>
            </w:r>
          </w:p>
        </w:tc>
        <w:tc>
          <w:tcPr>
            <w:tcW w:type="dxa" w:w="2560"/>
          </w:tcPr>
          <w:p>
            <w:r>
              <w:t>Result</w:t>
            </w:r>
          </w:p>
        </w:tc>
      </w:tr>
      <w:tr>
        <w:tc>
          <w:tcPr>
            <w:tcW w:type="dxa" w:w="2560"/>
          </w:tcPr>
          <w:p>
            <w:r>
              <w:t>TCS</w:t>
            </w:r>
          </w:p>
        </w:tc>
        <w:tc>
          <w:tcPr>
            <w:tcW w:type="dxa" w:w="2560"/>
          </w:tcPr>
          <w:p>
            <w:r>
              <w:t>ROE difference: 0.000000</w:t>
            </w:r>
          </w:p>
        </w:tc>
        <w:tc>
          <w:tcPr>
            <w:tcW w:type="dxa" w:w="2560"/>
          </w:tcPr>
          <w:p>
            <w:r>
              <w:t>Revenue CAGR difference: 0.000015</w:t>
            </w:r>
          </w:p>
        </w:tc>
        <w:tc>
          <w:tcPr>
            <w:tcW w:type="dxa" w:w="2560"/>
          </w:tcPr>
          <w:p>
            <w:r>
              <w:t>PASS</w:t>
            </w:r>
          </w:p>
        </w:tc>
      </w:tr>
      <w:tr>
        <w:tc>
          <w:tcPr>
            <w:tcW w:type="dxa" w:w="2560"/>
          </w:tcPr>
          <w:p>
            <w:r>
              <w:t>RELIANCE</w:t>
            </w:r>
          </w:p>
        </w:tc>
        <w:tc>
          <w:tcPr>
            <w:tcW w:type="dxa" w:w="2560"/>
          </w:tcPr>
          <w:p>
            <w:r>
              <w:t>ROE difference: 0.000000</w:t>
            </w:r>
          </w:p>
        </w:tc>
        <w:tc>
          <w:tcPr>
            <w:tcW w:type="dxa" w:w="2560"/>
          </w:tcPr>
          <w:p>
            <w:r>
              <w:t>Revenue CAGR difference: 0.000003</w:t>
            </w:r>
          </w:p>
        </w:tc>
        <w:tc>
          <w:tcPr>
            <w:tcW w:type="dxa" w:w="2560"/>
          </w:tcPr>
          <w:p>
            <w:r>
              <w:t>PASS</w:t>
            </w:r>
          </w:p>
        </w:tc>
      </w:tr>
      <w:tr>
        <w:tc>
          <w:tcPr>
            <w:tcW w:type="dxa" w:w="2560"/>
          </w:tcPr>
          <w:p>
            <w:r>
              <w:t>INFY</w:t>
            </w:r>
          </w:p>
        </w:tc>
        <w:tc>
          <w:tcPr>
            <w:tcW w:type="dxa" w:w="2560"/>
          </w:tcPr>
          <w:p>
            <w:r>
              <w:t>ROE difference: 0.000000</w:t>
            </w:r>
          </w:p>
        </w:tc>
        <w:tc>
          <w:tcPr>
            <w:tcW w:type="dxa" w:w="2560"/>
          </w:tcPr>
          <w:p>
            <w:r>
              <w:t>Revenue CAGR difference: 0.000001</w:t>
            </w:r>
          </w:p>
        </w:tc>
        <w:tc>
          <w:tcPr>
            <w:tcW w:type="dxa" w:w="2560"/>
          </w:tcPr>
          <w:p>
            <w:r>
              <w:t>PASS</w:t>
            </w:r>
          </w:p>
        </w:tc>
      </w:tr>
    </w:tbl>
    <w:p>
      <w:pPr>
        <w:pStyle w:val="Heading1"/>
      </w:pPr>
      <w:r>
        <w:t>8. Deliverables Completed</w:t>
      </w:r>
    </w:p>
    <w:p>
      <w:pPr>
        <w:pStyle w:val="ListBullet"/>
      </w:pPr>
      <w:r>
        <w:t>financial_ratios table in SQLite with 1,188 rows and the required KPI columns.</w:t>
      </w:r>
    </w:p>
    <w:p>
      <w:pPr>
        <w:pStyle w:val="ListBullet"/>
      </w:pPr>
      <w:r>
        <w:t>output/capital_allocation.csv.</w:t>
      </w:r>
    </w:p>
    <w:p>
      <w:pPr>
        <w:pStyle w:val="ListBullet"/>
      </w:pPr>
      <w:r>
        <w:t>output/ratio_edge_cases.log.</w:t>
      </w:r>
    </w:p>
    <w:p>
      <w:pPr>
        <w:pStyle w:val="ListBullet"/>
      </w:pPr>
      <w:r>
        <w:t>src/analytics/ratios.py.</w:t>
      </w:r>
    </w:p>
    <w:p>
      <w:pPr>
        <w:pStyle w:val="ListBullet"/>
      </w:pPr>
      <w:r>
        <w:t>src/analytics/cagr.py.</w:t>
      </w:r>
    </w:p>
    <w:p>
      <w:pPr>
        <w:pStyle w:val="ListBullet"/>
      </w:pPr>
      <w:r>
        <w:t>src/analytics/cashflow_kpis.py.</w:t>
      </w:r>
    </w:p>
    <w:p>
      <w:pPr>
        <w:pStyle w:val="ListBullet"/>
      </w:pPr>
      <w:r>
        <w:t>KPI tests under tests/kpi/ and the broader automated test suite.</w:t>
      </w:r>
    </w:p>
    <w:p>
      <w:pPr>
        <w:pStyle w:val="ListBullet"/>
      </w:pPr>
      <w:r>
        <w:t>Sprint 2 review report: output/sprint2_review.txt.</w:t>
      </w:r>
    </w:p>
    <w:p>
      <w:pPr>
        <w:pStyle w:val="ListBullet"/>
      </w:pPr>
      <w:r>
        <w:t>Manual spot-check module/report for ROE and 5-year Revenue CAGR.</w:t>
      </w:r>
    </w:p>
    <w:p>
      <w:pPr>
        <w:pStyle w:val="Heading1"/>
      </w:pPr>
      <w:r>
        <w:t>9. What Went Well</w:t>
      </w:r>
    </w:p>
    <w:p>
      <w:pPr>
        <w:pStyle w:val="ListBullet"/>
      </w:pPr>
      <w:r>
        <w:t>The ratio engine successfully populated 1,188 financial-ratio rows.</w:t>
      </w:r>
    </w:p>
    <w:p>
      <w:pPr>
        <w:pStyle w:val="ListBullet"/>
      </w:pPr>
      <w:r>
        <w:t>Formula edge cases were explicitly represented instead of silently forcing invalid numeric values.</w:t>
      </w:r>
    </w:p>
    <w:p>
      <w:pPr>
        <w:pStyle w:val="ListBullet"/>
      </w:pPr>
      <w:r>
        <w:t>CAGR flags make turnaround, decline-to-loss, both-negative, zero-base, and insufficient-history cases traceable.</w:t>
      </w:r>
    </w:p>
    <w:p>
      <w:pPr>
        <w:pStyle w:val="ListBullet"/>
      </w:pPr>
      <w:r>
        <w:t>The Financials carve-out is explicitly validated in the review.</w:t>
      </w:r>
    </w:p>
    <w:p>
      <w:pPr>
        <w:pStyle w:val="ListBullet"/>
      </w:pPr>
      <w:r>
        <w:t>Automated testing provides a strong regression check with 84/84 tests passing.</w:t>
      </w:r>
    </w:p>
    <w:p>
      <w:pPr>
        <w:pStyle w:val="ListBullet"/>
      </w:pPr>
      <w:r>
        <w:t>The manual spot-check confirmed the ROE and 5-year Revenue CAGR calculations for three companies.</w:t>
      </w:r>
    </w:p>
    <w:p>
      <w:pPr>
        <w:pStyle w:val="Heading1"/>
      </w:pPr>
      <w:r>
        <w:t>10. Issues / Lessons Learned</w:t>
      </w:r>
    </w:p>
    <w:p>
      <w:pPr>
        <w:pStyle w:val="ListBullet"/>
      </w:pPr>
      <w:r>
        <w:t>The expected Financials count in the original review logic was 19, but the actual companies table contains 20 Financials companies. The review logic was updated to match the dataset.</w:t>
      </w:r>
    </w:p>
    <w:p>
      <w:pPr>
        <w:pStyle w:val="ListBullet"/>
      </w:pPr>
      <w:r>
        <w:t>Financial-ratio rows can exceed the 92-company companies master count because some ratio records existed for ULTRACEMCO and UNIONBANK even though those IDs were absent from the companies table. This should be tracked as a data-model/master-data reconciliation issue rather than silently deleting ratio history.</w:t>
      </w:r>
    </w:p>
    <w:p>
      <w:pPr>
        <w:pStyle w:val="ListBullet"/>
      </w:pPr>
      <w:r>
        <w:t>A first attempt to run a manual spot-check module failed because the module did not yet exist. The module was subsequently created and the 3-company manual validation passed.</w:t>
      </w:r>
    </w:p>
    <w:p>
      <w:pPr>
        <w:pStyle w:val="ListBullet"/>
      </w:pPr>
      <w:r>
        <w:t>PowerShell quoting caused problems with a one-line sqlite command using COUNT(*). Running the query in the Python REPL avoided the quoting issue.</w:t>
      </w:r>
    </w:p>
    <w:p>
      <w:pPr>
        <w:pStyle w:val="ListBullet"/>
      </w:pPr>
      <w:r>
        <w:t>The initial screener count was outside the required range before the final review logic was corrected to exclude TTM. The final annual-data screener count is 38 and passes.</w:t>
      </w:r>
    </w:p>
    <w:p>
      <w:pPr>
        <w:pStyle w:val="Heading1"/>
      </w:pPr>
      <w:r>
        <w:t>11. Recommended Improvements for the Next Sprint</w:t>
      </w:r>
    </w:p>
    <w:p>
      <w:pPr>
        <w:pStyle w:val="ListNumber"/>
      </w:pPr>
      <w:r>
        <w:t>Add automated master-data reconciliation between companies and financial_ratios.</w:t>
      </w:r>
    </w:p>
    <w:p>
      <w:pPr>
        <w:pStyle w:val="ListNumber"/>
      </w:pPr>
      <w:r>
        <w:t>Keep review thresholds/configuration in one place so expected counts are not hard-coded in multiple modules.</w:t>
      </w:r>
    </w:p>
    <w:p>
      <w:pPr>
        <w:pStyle w:val="ListNumber"/>
      </w:pPr>
      <w:r>
        <w:t>Add explicit tests for TTM exclusion in annual screeners.</w:t>
      </w:r>
    </w:p>
    <w:p>
      <w:pPr>
        <w:pStyle w:val="ListNumber"/>
      </w:pPr>
      <w:r>
        <w:t>Add a validation that every ratio row maps to a valid companies master record, or document an intentional exception.</w:t>
      </w:r>
    </w:p>
    <w:p>
      <w:pPr>
        <w:pStyle w:val="ListNumber"/>
      </w:pPr>
      <w:r>
        <w:t>Keep manual spot-checks as a repeatable regression step after major formula changes.</w:t>
      </w:r>
    </w:p>
    <w:p>
      <w:pPr>
        <w:pStyle w:val="ListNumber"/>
      </w:pPr>
      <w:r>
        <w:t>Continue preserving edge-case flags and anomaly categories for auditability.</w:t>
      </w:r>
    </w:p>
    <w:p>
      <w:pPr>
        <w:pStyle w:val="Heading1"/>
      </w:pPr>
      <w:r>
        <w:t>12. Sprint 2 Definition of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</w:tcPr>
          <w:p>
            <w:r>
              <w:t>Definition-of-Done Item</w:t>
            </w:r>
          </w:p>
        </w:tc>
        <w:tc>
          <w:tcPr>
            <w:tcW w:type="dxa" w:w="5120"/>
          </w:tcPr>
          <w:p>
            <w:r>
              <w:t>Status</w:t>
            </w:r>
          </w:p>
        </w:tc>
      </w:tr>
      <w:tr>
        <w:tc>
          <w:tcPr>
            <w:tcW w:type="dxa" w:w="5120"/>
          </w:tcPr>
          <w:p>
            <w:r>
              <w:t>financial_ratios &gt;= 1,100 rows</w:t>
            </w:r>
          </w:p>
        </w:tc>
        <w:tc>
          <w:tcPr>
            <w:tcW w:type="dxa" w:w="5120"/>
          </w:tcPr>
          <w:p>
            <w:r>
              <w:t>PASS</w:t>
            </w:r>
          </w:p>
        </w:tc>
      </w:tr>
      <w:tr>
        <w:tc>
          <w:tcPr>
            <w:tcW w:type="dxa" w:w="5120"/>
          </w:tcPr>
          <w:p>
            <w:r>
              <w:t>Required KPI columns exist</w:t>
            </w:r>
          </w:p>
        </w:tc>
        <w:tc>
          <w:tcPr>
            <w:tcW w:type="dxa" w:w="5120"/>
          </w:tcPr>
          <w:p>
            <w:r>
              <w:t>PASS</w:t>
            </w:r>
          </w:p>
        </w:tc>
      </w:tr>
      <w:tr>
        <w:tc>
          <w:tcPr>
            <w:tcW w:type="dxa" w:w="5120"/>
          </w:tcPr>
          <w:p>
            <w:r>
              <w:t>No required KPI column completely NULL</w:t>
            </w:r>
          </w:p>
        </w:tc>
        <w:tc>
          <w:tcPr>
            <w:tcW w:type="dxa" w:w="5120"/>
          </w:tcPr>
          <w:p>
            <w:r>
              <w:t>PASS</w:t>
            </w:r>
          </w:p>
        </w:tc>
      </w:tr>
      <w:tr>
        <w:tc>
          <w:tcPr>
            <w:tcW w:type="dxa" w:w="5120"/>
          </w:tcPr>
          <w:p>
            <w:r>
              <w:t>20 KPI formula tests with 0 failures</w:t>
            </w:r>
          </w:p>
        </w:tc>
        <w:tc>
          <w:tcPr>
            <w:tcW w:type="dxa" w:w="5120"/>
          </w:tcPr>
          <w:p>
            <w:r>
              <w:t>PASS — 84 total automated tests passed</w:t>
            </w:r>
          </w:p>
        </w:tc>
      </w:tr>
      <w:tr>
        <w:tc>
          <w:tcPr>
            <w:tcW w:type="dxa" w:w="5120"/>
          </w:tcPr>
          <w:p>
            <w:r>
              <w:t>Manual ROE + Revenue CAGR spot-check for 3 companies</w:t>
            </w:r>
          </w:p>
        </w:tc>
        <w:tc>
          <w:tcPr>
            <w:tcW w:type="dxa" w:w="5120"/>
          </w:tcPr>
          <w:p>
            <w:r>
              <w:t>PASS</w:t>
            </w:r>
          </w:p>
        </w:tc>
      </w:tr>
      <w:tr>
        <w:tc>
          <w:tcPr>
            <w:tcW w:type="dxa" w:w="5120"/>
          </w:tcPr>
          <w:p>
            <w:r>
              <w:t>ratio_edge_cases.log exists and anomalies documented</w:t>
            </w:r>
          </w:p>
        </w:tc>
        <w:tc>
          <w:tcPr>
            <w:tcW w:type="dxa" w:w="5120"/>
          </w:tcPr>
          <w:p>
            <w:r>
              <w:t>PASS</w:t>
            </w:r>
          </w:p>
        </w:tc>
      </w:tr>
      <w:tr>
        <w:tc>
          <w:tcPr>
            <w:tcW w:type="dxa" w:w="5120"/>
          </w:tcPr>
          <w:p>
            <w:r>
              <w:t>Sprint review report generated</w:t>
            </w:r>
          </w:p>
        </w:tc>
        <w:tc>
          <w:tcPr>
            <w:tcW w:type="dxa" w:w="5120"/>
          </w:tcPr>
          <w:p>
            <w:r>
              <w:t>PASS</w:t>
            </w:r>
          </w:p>
        </w:tc>
      </w:tr>
      <w:tr>
        <w:tc>
          <w:tcPr>
            <w:tcW w:type="dxa" w:w="5120"/>
          </w:tcPr>
          <w:p>
            <w:r>
              <w:t>Team-lead sign-off</w:t>
            </w:r>
          </w:p>
        </w:tc>
        <w:tc>
          <w:tcPr>
            <w:tcW w:type="dxa" w:w="5120"/>
          </w:tcPr>
          <w:p>
            <w:r>
              <w:t>Pending external confirmation unless already completed</w:t>
            </w:r>
          </w:p>
        </w:tc>
      </w:tr>
    </w:tbl>
    <w:p>
      <w:pPr>
        <w:pStyle w:val="Heading1"/>
      </w:pPr>
      <w:r>
        <w:t>13. Sprint Conclusion</w:t>
      </w:r>
    </w:p>
    <w:p>
      <w:r>
        <w:t>Sprint 2 — Epic 02 Financial Ratio Engine is technically complete and the final Sprint 2 review reports PASS. The engine, KPI population, edge-case handling, automated tests, manual validation, output files, and review report have all been completed. The remaining administrative item is team-lead sign-off if it has not already been recorded.</w:t>
      </w:r>
    </w:p>
    <w:p/>
    <w:p>
      <w:r>
        <w:rPr>
          <w:b/>
        </w:rPr>
        <w:t xml:space="preserve">Knowledge-base status: </w:t>
      </w:r>
      <w:r>
        <w:t>Ready for Sprint 3 / next Epic.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