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60"/>
        <w:jc w:val="center"/>
      </w:pPr>
      <w:r>
        <w:rPr>
          <w:rFonts w:ascii="Arial" w:hAnsi="Arial"/>
          <w:b/>
          <w:color w:val="0F172A"/>
          <w:sz w:val="52"/>
        </w:rPr>
        <w:t>DATABASE MANAGEMENT SYSTEM (DBMS)</w:t>
        <w:br/>
        <w:t>COMPREHENSIVE BACKEND ARCHITECTURE &amp; SQL IMPLEMENTATION STUDY GUIDE</w:t>
      </w:r>
    </w:p>
    <w:p>
      <w:pPr>
        <w:spacing w:before="0" w:after="480"/>
        <w:jc w:val="center"/>
      </w:pPr>
      <w:r>
        <w:rPr>
          <w:rFonts w:ascii="Arial" w:hAnsi="Arial"/>
          <w:i/>
          <w:color w:val="831843"/>
          <w:sz w:val="28"/>
        </w:rPr>
        <w:t>Term Review &amp; Viva Voce Preparation Document — CineTicket Reservation Engine</w:t>
      </w:r>
    </w:p>
    <w:tbl>
      <w:tblPr>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tcPr>
          <w:p>
            <w:r>
              <w:rPr>
                <w:b/>
                <w:color w:val="334155"/>
                <w:sz w:val="20"/>
              </w:rPr>
              <w:t>Course / Subject:</w:t>
            </w:r>
          </w:p>
        </w:tc>
        <w:tc>
          <w:tcPr>
            <w:tcW w:type="dxa" w:w="4680"/>
            <w:tcMar>
              <w:top w:w="80" w:type="dxa"/>
              <w:bottom w:w="80" w:type="dxa"/>
              <w:left w:w="100" w:type="dxa"/>
              <w:right w:w="100" w:type="dxa"/>
            </w:tcMar>
          </w:tcPr>
          <w:p>
            <w:r>
              <w:rPr>
                <w:color w:val="1E293B"/>
                <w:sz w:val="20"/>
              </w:rPr>
              <w:t>Database Management Systems (DBMS) Laboratory &amp; Theory Review</w:t>
            </w:r>
          </w:p>
        </w:tc>
      </w:tr>
      <w:tr>
        <w:tc>
          <w:tcPr>
            <w:tcW w:type="dxa" w:w="4680"/>
            <w:tcMar>
              <w:top w:w="80" w:type="dxa"/>
              <w:bottom w:w="80" w:type="dxa"/>
              <w:left w:w="100" w:type="dxa"/>
              <w:right w:w="100" w:type="dxa"/>
            </w:tcMar>
          </w:tcPr>
          <w:p>
            <w:r>
              <w:rPr>
                <w:b/>
                <w:color w:val="334155"/>
                <w:sz w:val="20"/>
              </w:rPr>
              <w:t>Project Name:</w:t>
            </w:r>
          </w:p>
        </w:tc>
        <w:tc>
          <w:tcPr>
            <w:tcW w:type="dxa" w:w="4680"/>
            <w:tcMar>
              <w:top w:w="80" w:type="dxa"/>
              <w:bottom w:w="80" w:type="dxa"/>
              <w:left w:w="100" w:type="dxa"/>
              <w:right w:w="100" w:type="dxa"/>
            </w:tcMar>
          </w:tcPr>
          <w:p>
            <w:r>
              <w:rPr>
                <w:color w:val="1E293B"/>
                <w:sz w:val="20"/>
              </w:rPr>
              <w:t>CineTicket — Real-Time Relational Movie Ticket Booking Engine</w:t>
            </w:r>
          </w:p>
        </w:tc>
      </w:tr>
      <w:tr>
        <w:tc>
          <w:tcPr>
            <w:tcW w:type="dxa" w:w="4680"/>
            <w:tcMar>
              <w:top w:w="80" w:type="dxa"/>
              <w:bottom w:w="80" w:type="dxa"/>
              <w:left w:w="100" w:type="dxa"/>
              <w:right w:w="100" w:type="dxa"/>
            </w:tcMar>
          </w:tcPr>
          <w:p>
            <w:r>
              <w:rPr>
                <w:b/>
                <w:color w:val="334155"/>
                <w:sz w:val="20"/>
              </w:rPr>
              <w:t>Backend Architecture:</w:t>
            </w:r>
          </w:p>
        </w:tc>
        <w:tc>
          <w:tcPr>
            <w:tcW w:type="dxa" w:w="4680"/>
            <w:tcMar>
              <w:top w:w="80" w:type="dxa"/>
              <w:bottom w:w="80" w:type="dxa"/>
              <w:left w:w="100" w:type="dxa"/>
              <w:right w:w="100" w:type="dxa"/>
            </w:tcMar>
          </w:tcPr>
          <w:p>
            <w:r>
              <w:rPr>
                <w:color w:val="1E293B"/>
                <w:sz w:val="20"/>
              </w:rPr>
              <w:t>Node.js (Express 5), MySQL 8.0 (InnoDB), Connection Pooling (`mysql2/promise`)</w:t>
            </w:r>
          </w:p>
        </w:tc>
      </w:tr>
      <w:tr>
        <w:tc>
          <w:tcPr>
            <w:tcW w:type="dxa" w:w="4680"/>
            <w:tcMar>
              <w:top w:w="80" w:type="dxa"/>
              <w:bottom w:w="80" w:type="dxa"/>
              <w:left w:w="100" w:type="dxa"/>
              <w:right w:w="100" w:type="dxa"/>
            </w:tcMar>
          </w:tcPr>
          <w:p>
            <w:r>
              <w:rPr>
                <w:b/>
                <w:color w:val="334155"/>
                <w:sz w:val="20"/>
              </w:rPr>
              <w:t>Key DBMS Themes:</w:t>
            </w:r>
          </w:p>
        </w:tc>
        <w:tc>
          <w:tcPr>
            <w:tcW w:type="dxa" w:w="4680"/>
            <w:tcMar>
              <w:top w:w="80" w:type="dxa"/>
              <w:bottom w:w="80" w:type="dxa"/>
              <w:left w:w="100" w:type="dxa"/>
              <w:right w:w="100" w:type="dxa"/>
            </w:tcMar>
          </w:tcPr>
          <w:p>
            <w:r>
              <w:rPr>
                <w:color w:val="1E293B"/>
                <w:sz w:val="20"/>
              </w:rPr>
              <w:t>Relational ER Modeling, ACID Transactions, Row-Level Locking (`FOR UPDATE`), Multi-Tier Concurrency Control, Normalization (1NF–BCNF), Views &amp; Indexing Optimization</w:t>
            </w:r>
          </w:p>
        </w:tc>
      </w:tr>
      <w:tr>
        <w:tc>
          <w:tcPr>
            <w:tcW w:type="dxa" w:w="4680"/>
            <w:tcMar>
              <w:top w:w="80" w:type="dxa"/>
              <w:bottom w:w="80" w:type="dxa"/>
              <w:left w:w="100" w:type="dxa"/>
              <w:right w:w="100" w:type="dxa"/>
            </w:tcMar>
          </w:tcPr>
          <w:p>
            <w:r>
              <w:rPr>
                <w:b/>
                <w:color w:val="334155"/>
                <w:sz w:val="20"/>
              </w:rPr>
              <w:t>Document Purpose:</w:t>
            </w:r>
          </w:p>
        </w:tc>
        <w:tc>
          <w:tcPr>
            <w:tcW w:type="dxa" w:w="4680"/>
            <w:tcMar>
              <w:top w:w="80" w:type="dxa"/>
              <w:bottom w:w="80" w:type="dxa"/>
              <w:left w:w="100" w:type="dxa"/>
              <w:right w:w="100" w:type="dxa"/>
            </w:tcMar>
          </w:tcPr>
          <w:p>
            <w:r>
              <w:rPr>
                <w:color w:val="1E293B"/>
                <w:sz w:val="20"/>
              </w:rPr>
              <w:t>Comprehensive conceptual &amp; technical revision guide for oral review, viva, and code demonstration.</w:t>
            </w:r>
          </w:p>
        </w:tc>
      </w:tr>
    </w:tbl>
    <w:p>
      <w:pPr>
        <w:spacing w:after="360"/>
      </w:pPr>
    </w:p>
    <w:p>
      <w:r>
        <w:br w:type="page"/>
      </w:r>
    </w:p>
    <w:p>
      <w:pPr>
        <w:keepNext/>
        <w:spacing w:before="440" w:after="160"/>
      </w:pPr>
      <w:r>
        <w:rPr>
          <w:rFonts w:ascii="Arial" w:hAnsi="Arial"/>
          <w:b/>
          <w:color w:val="0F172A"/>
          <w:sz w:val="36"/>
        </w:rPr>
        <w:t>1. Executive Overview &amp; System Objective</w:t>
      </w:r>
    </w:p>
    <w:p>
      <w:pPr>
        <w:spacing w:before="0" w:after="120" w:line="276" w:lineRule="auto"/>
      </w:pPr>
      <w:r>
        <w:rPr>
          <w:rFonts w:ascii="Calibri" w:hAnsi="Calibri"/>
          <w:i w:val="0"/>
          <w:color w:val="1E293B"/>
          <w:sz w:val="22"/>
        </w:rPr>
        <w:t>Modern cinema reservation platforms operate in high-contention, concurrent environments where multiple patrons frequently compete for identical inventory (seats) at the exact same sub-second timestamp. The CineTicket project was architected specifically to demonstrate rigorous Database Management System (DBMS) principles, transitioning beyond simple CRUD prototypes into an enterprise-grade transactional system.</w:t>
      </w:r>
    </w:p>
    <w:p>
      <w:pPr>
        <w:spacing w:before="0" w:after="120" w:line="276" w:lineRule="auto"/>
      </w:pPr>
      <w:r>
        <w:rPr>
          <w:rFonts w:ascii="Calibri" w:hAnsi="Calibri"/>
          <w:i w:val="0"/>
          <w:color w:val="1E293B"/>
          <w:sz w:val="22"/>
        </w:rPr>
        <w:t>At its core, CineTicket guarantees absolute data integrity, zero double-bookings, strict relational constraints, automated cascading lifecycles, and rapid query response times through dedicated index paths and database views.</w:t>
      </w: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180" w:type="dxa"/>
              <w:right w:w="180" w:type="dxa"/>
            </w:tcMar>
            <w:tcBorders>
              <w:top w:val="none"/>
              <w:left w:val="single" w:sz="24" w:space="0" w:color="831843"/>
              <w:bottom w:val="none"/>
              <w:right w:val="none"/>
            </w:tcBorders>
          </w:tcPr>
          <w:p>
            <w:pPr>
              <w:spacing w:before="0" w:after="40"/>
            </w:pPr>
            <w:r>
              <w:rPr>
                <w:rFonts w:ascii="Arial" w:hAnsi="Arial"/>
                <w:b/>
                <w:color w:val="831843"/>
                <w:sz w:val="21"/>
              </w:rPr>
              <w:t>★ What to Emphasize to the Review Committee</w:t>
              <w:br/>
            </w:r>
            <w:r>
              <w:rPr>
                <w:rFonts w:ascii="Calibri" w:hAnsi="Calibri"/>
                <w:color w:val="1E293B"/>
                <w:sz w:val="20"/>
              </w:rPr>
              <w:t>"Our project is not just a web application that stores records; it is an exploration of how database concurrency anomalies (dirty reads, non-repeatable reads, phantom rows, and lost updates) are eliminated using InnoDB's transaction engine, row-level locks (SELECT ... FOR UPDATE), and composite uniqueness constraints."</w:t>
            </w:r>
          </w:p>
        </w:tc>
      </w:tr>
    </w:tbl>
    <w:p>
      <w:pPr>
        <w:spacing w:after="80"/>
      </w:pPr>
    </w:p>
    <w:p>
      <w:pPr>
        <w:keepNext/>
        <w:spacing w:before="440" w:after="160"/>
      </w:pPr>
      <w:r>
        <w:rPr>
          <w:rFonts w:ascii="Arial" w:hAnsi="Arial"/>
          <w:b/>
          <w:color w:val="0F172A"/>
          <w:sz w:val="36"/>
        </w:rPr>
        <w:t>2. Backend Architecture &amp; MySQL Integration Pipeline</w:t>
      </w:r>
    </w:p>
    <w:p>
      <w:pPr>
        <w:spacing w:before="0" w:after="120" w:line="276" w:lineRule="auto"/>
      </w:pPr>
      <w:r>
        <w:rPr>
          <w:rFonts w:ascii="Calibri" w:hAnsi="Calibri"/>
          <w:i w:val="0"/>
          <w:color w:val="1E293B"/>
          <w:sz w:val="22"/>
        </w:rPr>
        <w:t>The architecture follows a strict 3-tier decoupled client-server-database paradigm, ensuring clean separation of concerns, defensive programming, and optimal connection lifecycle management.</w:t>
      </w:r>
    </w:p>
    <w:p>
      <w:pPr>
        <w:keepNext/>
        <w:spacing w:before="280" w:after="120"/>
      </w:pPr>
      <w:r>
        <w:rPr>
          <w:rFonts w:ascii="Arial" w:hAnsi="Arial"/>
          <w:b/>
          <w:color w:val="831843"/>
          <w:sz w:val="28"/>
        </w:rPr>
        <w:t>2.1 The Architectural Flow</w:t>
      </w:r>
    </w:p>
    <w:p>
      <w:pPr>
        <w:pStyle w:val="ListBullet"/>
        <w:spacing w:before="0" w:after="60" w:line="276" w:lineRule="auto"/>
      </w:pPr>
      <w:r>
        <w:rPr>
          <w:rFonts w:ascii="Calibri" w:hAnsi="Calibri"/>
          <w:b/>
          <w:color w:val="0F172A"/>
          <w:sz w:val="22"/>
        </w:rPr>
        <w:t xml:space="preserve">Tier 1 — Client: </w:t>
      </w:r>
      <w:r>
        <w:rPr>
          <w:rFonts w:ascii="Calibri" w:hAnsi="Calibri"/>
          <w:color w:val="1E293B"/>
          <w:sz w:val="22"/>
        </w:rPr>
        <w:t>User Interface (React 19 / Three.js 3D Canvas): Renders cinema auditoriums, sends asynchronous JSON payloads over HTTP REST.</w:t>
      </w:r>
    </w:p>
    <w:p>
      <w:pPr>
        <w:pStyle w:val="ListBullet"/>
        <w:spacing w:before="0" w:after="60" w:line="276" w:lineRule="auto"/>
      </w:pPr>
      <w:r>
        <w:rPr>
          <w:rFonts w:ascii="Calibri" w:hAnsi="Calibri"/>
          <w:b/>
          <w:color w:val="0F172A"/>
          <w:sz w:val="22"/>
        </w:rPr>
        <w:t xml:space="preserve">Tier 2 — Logic Server: </w:t>
      </w:r>
      <w:r>
        <w:rPr>
          <w:rFonts w:ascii="Calibri" w:hAnsi="Calibri"/>
          <w:color w:val="1E293B"/>
          <w:sz w:val="22"/>
        </w:rPr>
        <w:t>Application Layer (Node.js &amp; Express 5): Handles routing, request sanitization, authentication context, rate-limiting, and FIFO queue serialization.</w:t>
      </w:r>
    </w:p>
    <w:p>
      <w:pPr>
        <w:pStyle w:val="ListBullet"/>
        <w:spacing w:before="0" w:after="60" w:line="276" w:lineRule="auto"/>
      </w:pPr>
      <w:r>
        <w:rPr>
          <w:rFonts w:ascii="Calibri" w:hAnsi="Calibri"/>
          <w:b/>
          <w:color w:val="0F172A"/>
          <w:sz w:val="22"/>
        </w:rPr>
        <w:t xml:space="preserve">Tier 3 — Storage Engine: </w:t>
      </w:r>
      <w:r>
        <w:rPr>
          <w:rFonts w:ascii="Calibri" w:hAnsi="Calibri"/>
          <w:color w:val="1E293B"/>
          <w:sz w:val="22"/>
        </w:rPr>
        <w:t>Relational Database (MySQL 8.0 InnoDB Engine): Executes parameterized queries, enforces constraints, manages transactional buffer pools, and guarantees ACID durability.</w:t>
      </w:r>
    </w:p>
    <w:p>
      <w:pPr>
        <w:keepNext/>
        <w:spacing w:before="280" w:after="120"/>
      </w:pPr>
      <w:r>
        <w:rPr>
          <w:rFonts w:ascii="Arial" w:hAnsi="Arial"/>
          <w:b/>
          <w:color w:val="831843"/>
          <w:sz w:val="28"/>
        </w:rPr>
        <w:t>2.2 Database Connection Pool (mysql2/promise)</w:t>
      </w:r>
    </w:p>
    <w:p>
      <w:pPr>
        <w:spacing w:before="0" w:after="120" w:line="276" w:lineRule="auto"/>
      </w:pPr>
      <w:r>
        <w:rPr>
          <w:rFonts w:ascii="Calibri" w:hAnsi="Calibri"/>
          <w:i w:val="0"/>
          <w:color w:val="1E293B"/>
          <w:sz w:val="22"/>
        </w:rPr>
        <w:t>In enterprise database systems, creating and tearing down a TCP handshake connection for every individual HTTP request is computationally expensive and introduces severe latency bottlenecks. CineTicket implements a connection pool using `mysql2/promise` in `backend/src/config/db.js`:</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top w:val="none"/>
              <w:left w:val="single" w:sz="24" w:space="0" w:color="0F172A"/>
              <w:bottom w:val="none"/>
              <w:right w:val="none"/>
            </w:tcBorders>
          </w:tcPr>
          <w:p>
            <w:pPr>
              <w:spacing w:before="0" w:after="0" w:line="252" w:lineRule="auto"/>
            </w:pPr>
            <w:r>
              <w:rPr>
                <w:rFonts w:ascii="Consolas" w:hAnsi="Consolas"/>
                <w:b/>
                <w:color w:val="831843"/>
                <w:sz w:val="17"/>
              </w:rPr>
              <w:t>[JAVASCRIPT / NODE.JS]</w:t>
              <w:br/>
            </w:r>
            <w:r>
              <w:rPr>
                <w:rFonts w:ascii="Consolas" w:hAnsi="Consolas"/>
                <w:color w:val="0F172A"/>
                <w:sz w:val="19"/>
              </w:rPr>
              <w:t>// backend/src/config/db.js</w:t>
              <w:br/>
              <w:t>const mysql = require('mysql2/promise');</w:t>
              <w:br/>
              <w:t>require('dotenv').config();</w:t>
              <w:br/>
              <w:br/>
              <w:t>const pool = mysql.createPool({</w:t>
              <w:br/>
              <w:t xml:space="preserve">    host: process.env.DB_HOST || 'localhost',</w:t>
              <w:br/>
              <w:t xml:space="preserve">    port: Number(process.env.DB_PORT) || 3306,</w:t>
              <w:br/>
              <w:t xml:space="preserve">    user: process.env.DB_USER || 'root',</w:t>
              <w:br/>
              <w:t xml:space="preserve">    password: process.env.DB_PASSWORD || '',</w:t>
              <w:br/>
              <w:t xml:space="preserve">    database: process.env.DB_NAME || 'movie_ticket_booking',</w:t>
              <w:br/>
              <w:t xml:space="preserve">    waitForConnections: true,</w:t>
              <w:br/>
              <w:t xml:space="preserve">    connectionLimit: 10,       // Max concurrent active TCP sockets</w:t>
              <w:br/>
              <w:t xml:space="preserve">    maxIdle: 10,               // Kept alive for instant reuse</w:t>
              <w:br/>
              <w:t xml:space="preserve">    idleTimeout: 60000,        // Socket closed if idle &gt; 60s</w:t>
              <w:br/>
              <w:t xml:space="preserve">    queueLimit: 0,             // Unlimited waiting callers in server memory</w:t>
              <w:br/>
              <w:t xml:space="preserve">    enableKeepAlive: true,</w:t>
              <w:br/>
              <w:t xml:space="preserve">    keepAliveInitialDelay: 0</w:t>
              <w:br/>
              <w:t>});</w:t>
            </w:r>
          </w:p>
        </w:tc>
      </w:tr>
    </w:tbl>
    <w:p>
      <w:pPr>
        <w:spacing w:after="80"/>
      </w:pPr>
    </w:p>
    <w:p>
      <w:pPr>
        <w:spacing w:before="0" w:after="120" w:line="276" w:lineRule="auto"/>
      </w:pPr>
      <w:r>
        <w:rPr>
          <w:rFonts w:ascii="Calibri" w:hAnsi="Calibri"/>
          <w:b/>
          <w:color w:val="0F172A"/>
          <w:sz w:val="22"/>
        </w:rPr>
        <w:t xml:space="preserve">Why Connection Pooling Matters: </w:t>
      </w:r>
      <w:r>
        <w:rPr>
          <w:rFonts w:ascii="Calibri" w:hAnsi="Calibri"/>
          <w:i w:val="0"/>
          <w:color w:val="1E293B"/>
          <w:sz w:val="22"/>
        </w:rPr>
        <w:t>Key Technical Merits of Connection Pooling:</w:t>
      </w:r>
    </w:p>
    <w:p>
      <w:pPr>
        <w:pStyle w:val="ListBullet"/>
        <w:spacing w:before="0" w:after="60" w:line="276" w:lineRule="auto"/>
      </w:pPr>
      <w:r>
        <w:rPr>
          <w:rFonts w:ascii="Calibri" w:hAnsi="Calibri"/>
          <w:color w:val="1E293B"/>
          <w:sz w:val="22"/>
        </w:rPr>
        <w:t>Connection Reuse: Pre-establishes a pool of 10 persistent connections, eliminating TCP 3-way handshake overhead on every API call.</w:t>
      </w:r>
    </w:p>
    <w:p>
      <w:pPr>
        <w:pStyle w:val="ListBullet"/>
        <w:spacing w:before="0" w:after="60" w:line="276" w:lineRule="auto"/>
      </w:pPr>
      <w:r>
        <w:rPr>
          <w:rFonts w:ascii="Calibri" w:hAnsi="Calibri"/>
          <w:color w:val="1E293B"/>
          <w:sz w:val="22"/>
        </w:rPr>
        <w:t>Throttling &amp; Resource Protection: Restricts peak load to prevent exhausting the MySQL max_connections limit, which would crash the database server.</w:t>
      </w:r>
    </w:p>
    <w:p>
      <w:pPr>
        <w:pStyle w:val="ListBullet"/>
        <w:spacing w:before="0" w:after="60" w:line="276" w:lineRule="auto"/>
      </w:pPr>
      <w:r>
        <w:rPr>
          <w:rFonts w:ascii="Calibri" w:hAnsi="Calibri"/>
          <w:color w:val="1E293B"/>
          <w:sz w:val="22"/>
        </w:rPr>
        <w:t>Thread Safety &amp; Auto-Release: Workers acquire a connection (`pool.getConnection()`), execute atomic transactions, and release it back via `connection.release()` inside a `finally` block.</w:t>
      </w:r>
    </w:p>
    <w:p>
      <w:pPr>
        <w:keepNext/>
        <w:spacing w:before="280" w:after="120"/>
      </w:pPr>
      <w:r>
        <w:rPr>
          <w:rFonts w:ascii="Arial" w:hAnsi="Arial"/>
          <w:b/>
          <w:color w:val="831843"/>
          <w:sz w:val="28"/>
        </w:rPr>
        <w:t>2.3 SQL Injection Prevention via Parameterized Queries</w:t>
      </w:r>
    </w:p>
    <w:p>
      <w:pPr>
        <w:spacing w:before="0" w:after="120" w:line="276" w:lineRule="auto"/>
      </w:pPr>
      <w:r>
        <w:rPr>
          <w:rFonts w:ascii="Calibri" w:hAnsi="Calibri"/>
          <w:i w:val="0"/>
          <w:color w:val="1E293B"/>
          <w:sz w:val="22"/>
        </w:rPr>
        <w:t>SQL Injection occurs when malicious inputs concatenate directly into raw SQL strings, altering query semantics (e.g., `' OR '1'='1`). CineTicket strictly utilizes Parameterized Queries (Prepared Statements) across all routes:</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top w:val="none"/>
              <w:left w:val="single" w:sz="24" w:space="0" w:color="0F172A"/>
              <w:bottom w:val="none"/>
              <w:right w:val="none"/>
            </w:tcBorders>
          </w:tcPr>
          <w:p>
            <w:pPr>
              <w:spacing w:before="0" w:after="0" w:line="252" w:lineRule="auto"/>
            </w:pPr>
            <w:r>
              <w:rPr>
                <w:rFonts w:ascii="Consolas" w:hAnsi="Consolas"/>
                <w:b/>
                <w:color w:val="831843"/>
                <w:sz w:val="17"/>
              </w:rPr>
              <w:t>[JAVASCRIPT]</w:t>
              <w:br/>
            </w:r>
            <w:r>
              <w:rPr>
                <w:rFonts w:ascii="Consolas" w:hAnsi="Consolas"/>
                <w:color w:val="0F172A"/>
                <w:sz w:val="19"/>
              </w:rPr>
              <w:t>// Safe execution: Variables are treated purely as literal values, NEVER as executable code</w:t>
              <w:br/>
              <w:t>const [shows] = await pool.query(</w:t>
              <w:br/>
              <w:t xml:space="preserve">    'SELECT * FROM `SHOW` WHERE ShowID = ?', </w:t>
              <w:br/>
              <w:t xml:space="preserve">    [showId] // Sanitized and bound as literal by mysql2 engine</w:t>
              <w:br/>
              <w:t>);</w:t>
            </w:r>
          </w:p>
        </w:tc>
      </w:tr>
    </w:tbl>
    <w:p>
      <w:pPr>
        <w:spacing w:after="80"/>
      </w:pPr>
    </w:p>
    <w:p>
      <w:pPr>
        <w:keepNext/>
        <w:spacing w:before="440" w:after="160"/>
      </w:pPr>
      <w:r>
        <w:rPr>
          <w:rFonts w:ascii="Arial" w:hAnsi="Arial"/>
          <w:b/>
          <w:color w:val="0F172A"/>
          <w:sz w:val="36"/>
        </w:rPr>
        <w:t>3. Relational Schema &amp; Entity-Relationship (ER) Modeling</w:t>
      </w:r>
    </w:p>
    <w:p>
      <w:pPr>
        <w:spacing w:before="0" w:after="120" w:line="276" w:lineRule="auto"/>
      </w:pPr>
      <w:r>
        <w:rPr>
          <w:rFonts w:ascii="Calibri" w:hAnsi="Calibri"/>
          <w:i w:val="0"/>
          <w:color w:val="1E293B"/>
          <w:sz w:val="22"/>
        </w:rPr>
        <w:t>The relational model transforms the real-world operational domain of a multiplex cinema into structured tables governed by mathematical set theory.</w:t>
      </w:r>
    </w:p>
    <w:p>
      <w:pPr>
        <w:keepNext/>
        <w:spacing w:before="280" w:after="120"/>
      </w:pPr>
      <w:r>
        <w:rPr>
          <w:rFonts w:ascii="Arial" w:hAnsi="Arial"/>
          <w:b/>
          <w:color w:val="831843"/>
          <w:sz w:val="28"/>
        </w:rPr>
        <w:t>3.1 Core Entities &amp; Structural Cardinalities</w:t>
      </w:r>
    </w:p>
    <w:p>
      <w:pPr>
        <w:pStyle w:val="ListBullet"/>
        <w:spacing w:before="0" w:after="60" w:line="276" w:lineRule="auto"/>
      </w:pPr>
      <w:r>
        <w:rPr>
          <w:rFonts w:ascii="Calibri" w:hAnsi="Calibri"/>
          <w:b/>
          <w:color w:val="0F172A"/>
          <w:sz w:val="22"/>
        </w:rPr>
        <w:t xml:space="preserve">1. THEATRE: </w:t>
      </w:r>
      <w:r>
        <w:rPr>
          <w:rFonts w:ascii="Calibri" w:hAnsi="Calibri"/>
          <w:color w:val="1E293B"/>
          <w:sz w:val="22"/>
        </w:rPr>
        <w:t>Represents the physical building/multiplex. Has a 1:M relationship with SCREEN.</w:t>
      </w:r>
    </w:p>
    <w:p>
      <w:pPr>
        <w:pStyle w:val="ListBullet"/>
        <w:spacing w:before="0" w:after="60" w:line="276" w:lineRule="auto"/>
      </w:pPr>
      <w:r>
        <w:rPr>
          <w:rFonts w:ascii="Calibri" w:hAnsi="Calibri"/>
          <w:b/>
          <w:color w:val="0F172A"/>
          <w:sz w:val="22"/>
        </w:rPr>
        <w:t xml:space="preserve">2. SCREEN: </w:t>
      </w:r>
      <w:r>
        <w:rPr>
          <w:rFonts w:ascii="Calibri" w:hAnsi="Calibri"/>
          <w:color w:val="1E293B"/>
          <w:sz w:val="22"/>
        </w:rPr>
        <w:t>Represents individual auditoriums (e.g., Audi 1, Audi 2). Holds total capacity. Has a 1:M relationship with SEAT and SHOW.</w:t>
      </w:r>
    </w:p>
    <w:p>
      <w:pPr>
        <w:pStyle w:val="ListBullet"/>
        <w:spacing w:before="0" w:after="60" w:line="276" w:lineRule="auto"/>
      </w:pPr>
      <w:r>
        <w:rPr>
          <w:rFonts w:ascii="Calibri" w:hAnsi="Calibri"/>
          <w:b/>
          <w:color w:val="0F172A"/>
          <w:sz w:val="22"/>
        </w:rPr>
        <w:t xml:space="preserve">3. SEAT: </w:t>
      </w:r>
      <w:r>
        <w:rPr>
          <w:rFonts w:ascii="Calibri" w:hAnsi="Calibri"/>
          <w:color w:val="1E293B"/>
          <w:sz w:val="22"/>
        </w:rPr>
        <w:t>Represents physical seat coordinates (e.g., A1, A2, B1) and classification (REGULAR, PREMIUM, VIP). Belongs to exactly one SCREEN.</w:t>
      </w:r>
    </w:p>
    <w:p>
      <w:pPr>
        <w:pStyle w:val="ListBullet"/>
        <w:spacing w:before="0" w:after="60" w:line="276" w:lineRule="auto"/>
      </w:pPr>
      <w:r>
        <w:rPr>
          <w:rFonts w:ascii="Calibri" w:hAnsi="Calibri"/>
          <w:b/>
          <w:color w:val="0F172A"/>
          <w:sz w:val="22"/>
        </w:rPr>
        <w:t xml:space="preserve">4. MOVIE: </w:t>
      </w:r>
      <w:r>
        <w:rPr>
          <w:rFonts w:ascii="Calibri" w:hAnsi="Calibri"/>
          <w:color w:val="1E293B"/>
          <w:sz w:val="22"/>
        </w:rPr>
        <w:t>Stores film metadata (Title, Genre, Language, Duration, Release Date). Has a 1:M relationship with SHOW.</w:t>
      </w:r>
    </w:p>
    <w:p>
      <w:pPr>
        <w:pStyle w:val="ListBullet"/>
        <w:spacing w:before="0" w:after="60" w:line="276" w:lineRule="auto"/>
      </w:pPr>
      <w:r>
        <w:rPr>
          <w:rFonts w:ascii="Calibri" w:hAnsi="Calibri"/>
          <w:b/>
          <w:color w:val="0F172A"/>
          <w:sz w:val="22"/>
        </w:rPr>
        <w:t xml:space="preserve">5. SHOW: </w:t>
      </w:r>
      <w:r>
        <w:rPr>
          <w:rFonts w:ascii="Calibri" w:hAnsi="Calibri"/>
          <w:color w:val="1E293B"/>
          <w:sz w:val="22"/>
        </w:rPr>
        <w:t>The temporal junction entity. Schedules a MOVIE on a SCREEN at a designated ShowDate, ShowTime, and base Price.</w:t>
      </w:r>
    </w:p>
    <w:p>
      <w:pPr>
        <w:pStyle w:val="ListBullet"/>
        <w:spacing w:before="0" w:after="60" w:line="276" w:lineRule="auto"/>
      </w:pPr>
      <w:r>
        <w:rPr>
          <w:rFonts w:ascii="Calibri" w:hAnsi="Calibri"/>
          <w:b/>
          <w:color w:val="0F172A"/>
          <w:sz w:val="22"/>
        </w:rPr>
        <w:t xml:space="preserve">6. CUSTOMER: </w:t>
      </w:r>
      <w:r>
        <w:rPr>
          <w:rFonts w:ascii="Calibri" w:hAnsi="Calibri"/>
          <w:color w:val="1E293B"/>
          <w:sz w:val="22"/>
        </w:rPr>
        <w:t>User entity storing account credentials (hashed passwords) and contact data. Has a 1:M relationship with BOOKING.</w:t>
      </w:r>
    </w:p>
    <w:p>
      <w:pPr>
        <w:pStyle w:val="ListBullet"/>
        <w:spacing w:before="0" w:after="60" w:line="276" w:lineRule="auto"/>
      </w:pPr>
      <w:r>
        <w:rPr>
          <w:rFonts w:ascii="Calibri" w:hAnsi="Calibri"/>
          <w:b/>
          <w:color w:val="0F172A"/>
          <w:sz w:val="22"/>
        </w:rPr>
        <w:t xml:space="preserve">7. BOOKING: </w:t>
      </w:r>
      <w:r>
        <w:rPr>
          <w:rFonts w:ascii="Calibri" w:hAnsi="Calibri"/>
          <w:color w:val="1E293B"/>
          <w:sz w:val="22"/>
        </w:rPr>
        <w:t>The transaction header. Records booking timestamp, total financial amount, overall status (PENDING, CONFIRMED, CANCELLED, FAILED), CustomerID, and ShowID.</w:t>
      </w:r>
    </w:p>
    <w:p>
      <w:pPr>
        <w:pStyle w:val="ListBullet"/>
        <w:spacing w:before="0" w:after="60" w:line="276" w:lineRule="auto"/>
      </w:pPr>
      <w:r>
        <w:rPr>
          <w:rFonts w:ascii="Calibri" w:hAnsi="Calibri"/>
          <w:b/>
          <w:color w:val="0F172A"/>
          <w:sz w:val="22"/>
        </w:rPr>
        <w:t xml:space="preserve">8. BOOKING_SEAT: </w:t>
      </w:r>
      <w:r>
        <w:rPr>
          <w:rFonts w:ascii="Calibri" w:hAnsi="Calibri"/>
          <w:color w:val="1E293B"/>
          <w:sz w:val="22"/>
        </w:rPr>
        <w:t>The line-item junction entity resolving the Many-to-Many relationship between BOOKING and SEAT. Enforces single-seat show uniqueness.</w:t>
      </w:r>
    </w:p>
    <w:p>
      <w:pPr>
        <w:pStyle w:val="ListBullet"/>
        <w:spacing w:before="0" w:after="60" w:line="276" w:lineRule="auto"/>
      </w:pPr>
      <w:r>
        <w:rPr>
          <w:rFonts w:ascii="Calibri" w:hAnsi="Calibri"/>
          <w:b/>
          <w:color w:val="0F172A"/>
          <w:sz w:val="22"/>
        </w:rPr>
        <w:t xml:space="preserve">9. PAYMENT: </w:t>
      </w:r>
      <w:r>
        <w:rPr>
          <w:rFonts w:ascii="Calibri" w:hAnsi="Calibri"/>
          <w:color w:val="1E293B"/>
          <w:sz w:val="22"/>
        </w:rPr>
        <w:t>Represents payment settlement. Maintains a strict 1:1 relationship with BOOKING via a UNIQUE foreign key.</w:t>
      </w:r>
    </w:p>
    <w:p>
      <w:pPr>
        <w:keepNext/>
        <w:spacing w:before="280" w:after="120"/>
      </w:pPr>
      <w:r>
        <w:rPr>
          <w:rFonts w:ascii="Arial" w:hAnsi="Arial"/>
          <w:b/>
          <w:color w:val="831843"/>
          <w:sz w:val="28"/>
        </w:rPr>
        <w:t>3.2 Resolving the Many-to-Many (M:N) Relationship</w:t>
      </w:r>
    </w:p>
    <w:p>
      <w:pPr>
        <w:spacing w:before="0" w:after="120" w:line="276" w:lineRule="auto"/>
      </w:pPr>
      <w:r>
        <w:rPr>
          <w:rFonts w:ascii="Calibri" w:hAnsi="Calibri"/>
          <w:i w:val="0"/>
          <w:color w:val="1E293B"/>
          <w:sz w:val="22"/>
        </w:rPr>
        <w:t>A single Booking can reserve multiple seats (e.g., 4 seats for a family). Over time, a physical seat in an auditorium will belong to hundreds of bookings across different dates and showtimes. This M:N relationship cannot be represented cleanly in a single table without introducing multivalued repeating groups (violating 1NF).</w:t>
      </w:r>
    </w:p>
    <w:p>
      <w:pPr>
        <w:spacing w:before="0" w:after="120" w:line="276" w:lineRule="auto"/>
      </w:pPr>
      <w:r>
        <w:rPr>
          <w:rFonts w:ascii="Calibri" w:hAnsi="Calibri"/>
          <w:i w:val="0"/>
          <w:color w:val="1E293B"/>
          <w:sz w:val="22"/>
        </w:rPr>
        <w:t>CineTicket resolves this by creating the associative junction entity `BOOKING_SEAT`, utilizing a composite primary key `(BookingID, SeatID)` and foreign keys referencing both parent entities.</w:t>
      </w:r>
    </w:p>
    <w:p>
      <w:pPr>
        <w:keepNext/>
        <w:spacing w:before="280" w:after="120"/>
      </w:pPr>
      <w:r>
        <w:rPr>
          <w:rFonts w:ascii="Arial" w:hAnsi="Arial"/>
          <w:b/>
          <w:color w:val="831843"/>
          <w:sz w:val="28"/>
        </w:rPr>
        <w:t>3.3 Complete Database Schema Dictionary</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584"/>
            <w:shd w:fill="0F172A"/>
            <w:tcMar>
              <w:top w:w="100" w:type="dxa"/>
              <w:bottom w:w="100" w:type="dxa"/>
              <w:left w:w="120" w:type="dxa"/>
              <w:right w:w="120" w:type="dxa"/>
            </w:tcMar>
          </w:tcPr>
          <w:p>
            <w:pPr>
              <w:spacing w:before="0" w:after="0"/>
            </w:pPr>
            <w:r>
              <w:rPr>
                <w:rFonts w:ascii="Arial" w:hAnsi="Arial"/>
                <w:b/>
                <w:color w:val="FFFFFF"/>
                <w:sz w:val="19"/>
              </w:rPr>
              <w:t>Table Name</w:t>
            </w:r>
          </w:p>
        </w:tc>
        <w:tc>
          <w:tcPr>
            <w:tcW w:type="dxa" w:w="1728"/>
            <w:shd w:fill="0F172A"/>
            <w:tcMar>
              <w:top w:w="100" w:type="dxa"/>
              <w:bottom w:w="100" w:type="dxa"/>
              <w:left w:w="120" w:type="dxa"/>
              <w:right w:w="120" w:type="dxa"/>
            </w:tcMar>
          </w:tcPr>
          <w:p>
            <w:pPr>
              <w:spacing w:before="0" w:after="0"/>
            </w:pPr>
            <w:r>
              <w:rPr>
                <w:rFonts w:ascii="Arial" w:hAnsi="Arial"/>
                <w:b/>
                <w:color w:val="FFFFFF"/>
                <w:sz w:val="19"/>
              </w:rPr>
              <w:t>Primary Key</w:t>
            </w:r>
          </w:p>
        </w:tc>
        <w:tc>
          <w:tcPr>
            <w:tcW w:type="dxa" w:w="2160"/>
            <w:shd w:fill="0F172A"/>
            <w:tcMar>
              <w:top w:w="100" w:type="dxa"/>
              <w:bottom w:w="100" w:type="dxa"/>
              <w:left w:w="120" w:type="dxa"/>
              <w:right w:w="120" w:type="dxa"/>
            </w:tcMar>
          </w:tcPr>
          <w:p>
            <w:pPr>
              <w:spacing w:before="0" w:after="0"/>
            </w:pPr>
            <w:r>
              <w:rPr>
                <w:rFonts w:ascii="Arial" w:hAnsi="Arial"/>
                <w:b/>
                <w:color w:val="FFFFFF"/>
                <w:sz w:val="19"/>
              </w:rPr>
              <w:t>Foreign Keys</w:t>
            </w:r>
          </w:p>
        </w:tc>
        <w:tc>
          <w:tcPr>
            <w:tcW w:type="dxa" w:w="2880"/>
            <w:shd w:fill="0F172A"/>
            <w:tcMar>
              <w:top w:w="100" w:type="dxa"/>
              <w:bottom w:w="100" w:type="dxa"/>
              <w:left w:w="120" w:type="dxa"/>
              <w:right w:w="120" w:type="dxa"/>
            </w:tcMar>
          </w:tcPr>
          <w:p>
            <w:pPr>
              <w:spacing w:before="0" w:after="0"/>
            </w:pPr>
            <w:r>
              <w:rPr>
                <w:rFonts w:ascii="Arial" w:hAnsi="Arial"/>
                <w:b/>
                <w:color w:val="FFFFFF"/>
                <w:sz w:val="19"/>
              </w:rPr>
              <w:t>Critical Attributes &amp; Constraints</w:t>
            </w:r>
          </w:p>
        </w:tc>
        <w:tc>
          <w:tcPr>
            <w:tcW w:type="dxa" w:w="1008"/>
            <w:shd w:fill="0F172A"/>
            <w:tcMar>
              <w:top w:w="100" w:type="dxa"/>
              <w:bottom w:w="100" w:type="dxa"/>
              <w:left w:w="120" w:type="dxa"/>
              <w:right w:w="120" w:type="dxa"/>
            </w:tcMar>
          </w:tcPr>
          <w:p>
            <w:pPr>
              <w:spacing w:before="0" w:after="0"/>
            </w:pPr>
            <w:r>
              <w:rPr>
                <w:rFonts w:ascii="Arial" w:hAnsi="Arial"/>
                <w:b/>
                <w:color w:val="FFFFFF"/>
                <w:sz w:val="19"/>
              </w:rPr>
              <w:t>Engine</w:t>
            </w:r>
          </w:p>
        </w:tc>
      </w:tr>
      <w:tr>
        <w:tc>
          <w:tcPr>
            <w:tcW w:type="dxa" w:w="1584"/>
            <w:shd w:fill="FFFFFF"/>
            <w:tcMar>
              <w:top w:w="80" w:type="dxa"/>
              <w:bottom w:w="80" w:type="dxa"/>
              <w:left w:w="120" w:type="dxa"/>
              <w:right w:w="120" w:type="dxa"/>
            </w:tcMar>
            <w:tcBorders>
              <w:top w:val="single" w:sz="4" w:space="0" w:color="CBD5E1"/>
              <w:left w:val="none"/>
              <w:bottom w:val="single" w:sz="4" w:space="0" w:color="CBD5E1"/>
              <w:right w:val="none"/>
            </w:tcBorders>
          </w:tcPr>
          <w:p>
            <w:pPr>
              <w:spacing w:before="0" w:after="0"/>
            </w:pPr>
            <w:r>
              <w:rPr>
                <w:rFonts w:ascii="Calibri" w:hAnsi="Calibri"/>
                <w:color w:val="1E293B"/>
                <w:sz w:val="19"/>
              </w:rPr>
              <w:t>THEATRE</w:t>
            </w:r>
          </w:p>
        </w:tc>
        <w:tc>
          <w:tcPr>
            <w:tcW w:type="dxa" w:w="1728"/>
            <w:shd w:fill="FFFFFF"/>
            <w:tcMar>
              <w:top w:w="80" w:type="dxa"/>
              <w:bottom w:w="80" w:type="dxa"/>
              <w:left w:w="120" w:type="dxa"/>
              <w:right w:w="120" w:type="dxa"/>
            </w:tcMar>
            <w:tcBorders>
              <w:top w:val="single" w:sz="4" w:space="0" w:color="CBD5E1"/>
              <w:left w:val="none"/>
              <w:bottom w:val="single" w:sz="4" w:space="0" w:color="CBD5E1"/>
              <w:right w:val="none"/>
            </w:tcBorders>
          </w:tcPr>
          <w:p>
            <w:pPr>
              <w:spacing w:before="0" w:after="0"/>
            </w:pPr>
            <w:r>
              <w:rPr>
                <w:rFonts w:ascii="Calibri" w:hAnsi="Calibri"/>
                <w:color w:val="1E293B"/>
                <w:sz w:val="19"/>
              </w:rPr>
              <w:t>TheatreID (PK)</w:t>
            </w:r>
          </w:p>
        </w:tc>
        <w:tc>
          <w:tcPr>
            <w:tcW w:type="dxa" w:w="2160"/>
            <w:shd w:fill="FFFFFF"/>
            <w:tcMar>
              <w:top w:w="80" w:type="dxa"/>
              <w:bottom w:w="80" w:type="dxa"/>
              <w:left w:w="120" w:type="dxa"/>
              <w:right w:w="120" w:type="dxa"/>
            </w:tcMar>
            <w:tcBorders>
              <w:top w:val="single" w:sz="4" w:space="0" w:color="CBD5E1"/>
              <w:left w:val="none"/>
              <w:bottom w:val="single" w:sz="4" w:space="0" w:color="CBD5E1"/>
              <w:right w:val="none"/>
            </w:tcBorders>
          </w:tcPr>
          <w:p>
            <w:pPr>
              <w:spacing w:before="0" w:after="0"/>
            </w:pPr>
            <w:r>
              <w:rPr>
                <w:rFonts w:ascii="Calibri" w:hAnsi="Calibri"/>
                <w:color w:val="1E293B"/>
                <w:sz w:val="19"/>
              </w:rPr>
              <w:t>None</w:t>
            </w:r>
          </w:p>
        </w:tc>
        <w:tc>
          <w:tcPr>
            <w:tcW w:type="dxa" w:w="2880"/>
            <w:shd w:fill="FFFFFF"/>
            <w:tcMar>
              <w:top w:w="80" w:type="dxa"/>
              <w:bottom w:w="80" w:type="dxa"/>
              <w:left w:w="120" w:type="dxa"/>
              <w:right w:w="120" w:type="dxa"/>
            </w:tcMar>
            <w:tcBorders>
              <w:top w:val="single" w:sz="4" w:space="0" w:color="CBD5E1"/>
              <w:left w:val="none"/>
              <w:bottom w:val="single" w:sz="4" w:space="0" w:color="CBD5E1"/>
              <w:right w:val="none"/>
            </w:tcBorders>
          </w:tcPr>
          <w:p>
            <w:pPr>
              <w:spacing w:before="0" w:after="0"/>
            </w:pPr>
            <w:r>
              <w:rPr>
                <w:rFonts w:ascii="Calibri" w:hAnsi="Calibri"/>
                <w:color w:val="1E293B"/>
                <w:sz w:val="19"/>
              </w:rPr>
              <w:t>Name, Location, City</w:t>
            </w:r>
          </w:p>
        </w:tc>
        <w:tc>
          <w:tcPr>
            <w:tcW w:type="dxa" w:w="1008"/>
            <w:shd w:fill="FFFFFF"/>
            <w:tcMar>
              <w:top w:w="80" w:type="dxa"/>
              <w:bottom w:w="80" w:type="dxa"/>
              <w:left w:w="120" w:type="dxa"/>
              <w:right w:w="120" w:type="dxa"/>
            </w:tcMar>
            <w:tcBorders>
              <w:top w:val="single" w:sz="4" w:space="0" w:color="CBD5E1"/>
              <w:left w:val="none"/>
              <w:bottom w:val="single" w:sz="4" w:space="0" w:color="CBD5E1"/>
              <w:right w:val="none"/>
            </w:tcBorders>
          </w:tcPr>
          <w:p>
            <w:pPr>
              <w:spacing w:before="0" w:after="0"/>
            </w:pPr>
            <w:r>
              <w:rPr>
                <w:rFonts w:ascii="Calibri" w:hAnsi="Calibri"/>
                <w:color w:val="1E293B"/>
                <w:sz w:val="19"/>
              </w:rPr>
              <w:t>InnoDB</w:t>
            </w:r>
          </w:p>
        </w:tc>
      </w:tr>
      <w:tr>
        <w:tc>
          <w:tcPr>
            <w:tcW w:type="dxa" w:w="1584"/>
            <w:shd w:fill="F8FAFC"/>
            <w:tcMar>
              <w:top w:w="80" w:type="dxa"/>
              <w:bottom w:w="80" w:type="dxa"/>
              <w:left w:w="120" w:type="dxa"/>
              <w:right w:w="120" w:type="dxa"/>
            </w:tcMar>
            <w:tcBorders>
              <w:top w:val="single" w:sz="4" w:space="0" w:color="CBD5E1"/>
              <w:left w:val="none"/>
              <w:bottom w:val="single" w:sz="4" w:space="0" w:color="CBD5E1"/>
              <w:right w:val="none"/>
            </w:tcBorders>
          </w:tcPr>
          <w:p>
            <w:pPr>
              <w:spacing w:before="0" w:after="0"/>
            </w:pPr>
            <w:r>
              <w:rPr>
                <w:rFonts w:ascii="Calibri" w:hAnsi="Calibri"/>
                <w:color w:val="1E293B"/>
                <w:sz w:val="19"/>
              </w:rPr>
              <w:t>SCREEN</w:t>
            </w:r>
          </w:p>
        </w:tc>
        <w:tc>
          <w:tcPr>
            <w:tcW w:type="dxa" w:w="1728"/>
            <w:shd w:fill="F8FAFC"/>
            <w:tcMar>
              <w:top w:w="80" w:type="dxa"/>
              <w:bottom w:w="80" w:type="dxa"/>
              <w:left w:w="120" w:type="dxa"/>
              <w:right w:w="120" w:type="dxa"/>
            </w:tcMar>
            <w:tcBorders>
              <w:top w:val="single" w:sz="4" w:space="0" w:color="CBD5E1"/>
              <w:left w:val="none"/>
              <w:bottom w:val="single" w:sz="4" w:space="0" w:color="CBD5E1"/>
              <w:right w:val="none"/>
            </w:tcBorders>
          </w:tcPr>
          <w:p>
            <w:pPr>
              <w:spacing w:before="0" w:after="0"/>
            </w:pPr>
            <w:r>
              <w:rPr>
                <w:rFonts w:ascii="Calibri" w:hAnsi="Calibri"/>
                <w:color w:val="1E293B"/>
                <w:sz w:val="19"/>
              </w:rPr>
              <w:t>ScreenID (PK)</w:t>
            </w:r>
          </w:p>
        </w:tc>
        <w:tc>
          <w:tcPr>
            <w:tcW w:type="dxa" w:w="2160"/>
            <w:shd w:fill="F8FAFC"/>
            <w:tcMar>
              <w:top w:w="80" w:type="dxa"/>
              <w:bottom w:w="80" w:type="dxa"/>
              <w:left w:w="120" w:type="dxa"/>
              <w:right w:w="120" w:type="dxa"/>
            </w:tcMar>
            <w:tcBorders>
              <w:top w:val="single" w:sz="4" w:space="0" w:color="CBD5E1"/>
              <w:left w:val="none"/>
              <w:bottom w:val="single" w:sz="4" w:space="0" w:color="CBD5E1"/>
              <w:right w:val="none"/>
            </w:tcBorders>
          </w:tcPr>
          <w:p>
            <w:pPr>
              <w:spacing w:before="0" w:after="0"/>
            </w:pPr>
            <w:r>
              <w:rPr>
                <w:rFonts w:ascii="Calibri" w:hAnsi="Calibri"/>
                <w:color w:val="1E293B"/>
                <w:sz w:val="19"/>
              </w:rPr>
              <w:t>TheatreID -&gt; THEATRE</w:t>
            </w:r>
          </w:p>
        </w:tc>
        <w:tc>
          <w:tcPr>
            <w:tcW w:type="dxa" w:w="2880"/>
            <w:shd w:fill="F8FAFC"/>
            <w:tcMar>
              <w:top w:w="80" w:type="dxa"/>
              <w:bottom w:w="80" w:type="dxa"/>
              <w:left w:w="120" w:type="dxa"/>
              <w:right w:w="120" w:type="dxa"/>
            </w:tcMar>
            <w:tcBorders>
              <w:top w:val="single" w:sz="4" w:space="0" w:color="CBD5E1"/>
              <w:left w:val="none"/>
              <w:bottom w:val="single" w:sz="4" w:space="0" w:color="CBD5E1"/>
              <w:right w:val="none"/>
            </w:tcBorders>
          </w:tcPr>
          <w:p>
            <w:pPr>
              <w:spacing w:before="0" w:after="0"/>
            </w:pPr>
            <w:r>
              <w:rPr>
                <w:rFonts w:ascii="Calibri" w:hAnsi="Calibri"/>
                <w:color w:val="1E293B"/>
                <w:sz w:val="19"/>
              </w:rPr>
              <w:t>ScreenNumber, SeatCapacity (CHECK &gt; 0)</w:t>
            </w:r>
          </w:p>
        </w:tc>
        <w:tc>
          <w:tcPr>
            <w:tcW w:type="dxa" w:w="1008"/>
            <w:shd w:fill="F8FAFC"/>
            <w:tcMar>
              <w:top w:w="80" w:type="dxa"/>
              <w:bottom w:w="80" w:type="dxa"/>
              <w:left w:w="120" w:type="dxa"/>
              <w:right w:w="120" w:type="dxa"/>
            </w:tcMar>
            <w:tcBorders>
              <w:top w:val="single" w:sz="4" w:space="0" w:color="CBD5E1"/>
              <w:left w:val="none"/>
              <w:bottom w:val="single" w:sz="4" w:space="0" w:color="CBD5E1"/>
              <w:right w:val="none"/>
            </w:tcBorders>
          </w:tcPr>
          <w:p>
            <w:pPr>
              <w:spacing w:before="0" w:after="0"/>
            </w:pPr>
            <w:r>
              <w:rPr>
                <w:rFonts w:ascii="Calibri" w:hAnsi="Calibri"/>
                <w:color w:val="1E293B"/>
                <w:sz w:val="19"/>
              </w:rPr>
              <w:t>InnoDB</w:t>
            </w:r>
          </w:p>
        </w:tc>
      </w:tr>
      <w:tr>
        <w:tc>
          <w:tcPr>
            <w:tcW w:type="dxa" w:w="1584"/>
            <w:shd w:fill="FFFFFF"/>
            <w:tcMar>
              <w:top w:w="80" w:type="dxa"/>
              <w:bottom w:w="80" w:type="dxa"/>
              <w:left w:w="120" w:type="dxa"/>
              <w:right w:w="120" w:type="dxa"/>
            </w:tcMar>
            <w:tcBorders>
              <w:top w:val="single" w:sz="4" w:space="0" w:color="CBD5E1"/>
              <w:left w:val="none"/>
              <w:bottom w:val="single" w:sz="4" w:space="0" w:color="CBD5E1"/>
              <w:right w:val="none"/>
            </w:tcBorders>
          </w:tcPr>
          <w:p>
            <w:pPr>
              <w:spacing w:before="0" w:after="0"/>
            </w:pPr>
            <w:r>
              <w:rPr>
                <w:rFonts w:ascii="Calibri" w:hAnsi="Calibri"/>
                <w:color w:val="1E293B"/>
                <w:sz w:val="19"/>
              </w:rPr>
              <w:t>SEAT</w:t>
            </w:r>
          </w:p>
        </w:tc>
        <w:tc>
          <w:tcPr>
            <w:tcW w:type="dxa" w:w="1728"/>
            <w:shd w:fill="FFFFFF"/>
            <w:tcMar>
              <w:top w:w="80" w:type="dxa"/>
              <w:bottom w:w="80" w:type="dxa"/>
              <w:left w:w="120" w:type="dxa"/>
              <w:right w:w="120" w:type="dxa"/>
            </w:tcMar>
            <w:tcBorders>
              <w:top w:val="single" w:sz="4" w:space="0" w:color="CBD5E1"/>
              <w:left w:val="none"/>
              <w:bottom w:val="single" w:sz="4" w:space="0" w:color="CBD5E1"/>
              <w:right w:val="none"/>
            </w:tcBorders>
          </w:tcPr>
          <w:p>
            <w:pPr>
              <w:spacing w:before="0" w:after="0"/>
            </w:pPr>
            <w:r>
              <w:rPr>
                <w:rFonts w:ascii="Calibri" w:hAnsi="Calibri"/>
                <w:color w:val="1E293B"/>
                <w:sz w:val="19"/>
              </w:rPr>
              <w:t>SeatID (PK)</w:t>
            </w:r>
          </w:p>
        </w:tc>
        <w:tc>
          <w:tcPr>
            <w:tcW w:type="dxa" w:w="2160"/>
            <w:shd w:fill="FFFFFF"/>
            <w:tcMar>
              <w:top w:w="80" w:type="dxa"/>
              <w:bottom w:w="80" w:type="dxa"/>
              <w:left w:w="120" w:type="dxa"/>
              <w:right w:w="120" w:type="dxa"/>
            </w:tcMar>
            <w:tcBorders>
              <w:top w:val="single" w:sz="4" w:space="0" w:color="CBD5E1"/>
              <w:left w:val="none"/>
              <w:bottom w:val="single" w:sz="4" w:space="0" w:color="CBD5E1"/>
              <w:right w:val="none"/>
            </w:tcBorders>
          </w:tcPr>
          <w:p>
            <w:pPr>
              <w:spacing w:before="0" w:after="0"/>
            </w:pPr>
            <w:r>
              <w:rPr>
                <w:rFonts w:ascii="Calibri" w:hAnsi="Calibri"/>
                <w:color w:val="1E293B"/>
                <w:sz w:val="19"/>
              </w:rPr>
              <w:t>ScreenID -&gt; SCREEN</w:t>
            </w:r>
          </w:p>
        </w:tc>
        <w:tc>
          <w:tcPr>
            <w:tcW w:type="dxa" w:w="2880"/>
            <w:shd w:fill="FFFFFF"/>
            <w:tcMar>
              <w:top w:w="80" w:type="dxa"/>
              <w:bottom w:w="80" w:type="dxa"/>
              <w:left w:w="120" w:type="dxa"/>
              <w:right w:w="120" w:type="dxa"/>
            </w:tcMar>
            <w:tcBorders>
              <w:top w:val="single" w:sz="4" w:space="0" w:color="CBD5E1"/>
              <w:left w:val="none"/>
              <w:bottom w:val="single" w:sz="4" w:space="0" w:color="CBD5E1"/>
              <w:right w:val="none"/>
            </w:tcBorders>
          </w:tcPr>
          <w:p>
            <w:pPr>
              <w:spacing w:before="0" w:after="0"/>
            </w:pPr>
            <w:r>
              <w:rPr>
                <w:rFonts w:ascii="Calibri" w:hAnsi="Calibri"/>
                <w:color w:val="1E293B"/>
                <w:sz w:val="19"/>
              </w:rPr>
              <w:t>SeatNumber, SeatType (ENUM), UNIQUE(ScreenID, SeatNumber)</w:t>
            </w:r>
          </w:p>
        </w:tc>
        <w:tc>
          <w:tcPr>
            <w:tcW w:type="dxa" w:w="1008"/>
            <w:shd w:fill="FFFFFF"/>
            <w:tcMar>
              <w:top w:w="80" w:type="dxa"/>
              <w:bottom w:w="80" w:type="dxa"/>
              <w:left w:w="120" w:type="dxa"/>
              <w:right w:w="120" w:type="dxa"/>
            </w:tcMar>
            <w:tcBorders>
              <w:top w:val="single" w:sz="4" w:space="0" w:color="CBD5E1"/>
              <w:left w:val="none"/>
              <w:bottom w:val="single" w:sz="4" w:space="0" w:color="CBD5E1"/>
              <w:right w:val="none"/>
            </w:tcBorders>
          </w:tcPr>
          <w:p>
            <w:pPr>
              <w:spacing w:before="0" w:after="0"/>
            </w:pPr>
            <w:r>
              <w:rPr>
                <w:rFonts w:ascii="Calibri" w:hAnsi="Calibri"/>
                <w:color w:val="1E293B"/>
                <w:sz w:val="19"/>
              </w:rPr>
              <w:t>InnoDB</w:t>
            </w:r>
          </w:p>
        </w:tc>
      </w:tr>
      <w:tr>
        <w:tc>
          <w:tcPr>
            <w:tcW w:type="dxa" w:w="1584"/>
            <w:shd w:fill="F8FAFC"/>
            <w:tcMar>
              <w:top w:w="80" w:type="dxa"/>
              <w:bottom w:w="80" w:type="dxa"/>
              <w:left w:w="120" w:type="dxa"/>
              <w:right w:w="120" w:type="dxa"/>
            </w:tcMar>
            <w:tcBorders>
              <w:top w:val="single" w:sz="4" w:space="0" w:color="CBD5E1"/>
              <w:left w:val="none"/>
              <w:bottom w:val="single" w:sz="4" w:space="0" w:color="CBD5E1"/>
              <w:right w:val="none"/>
            </w:tcBorders>
          </w:tcPr>
          <w:p>
            <w:pPr>
              <w:spacing w:before="0" w:after="0"/>
            </w:pPr>
            <w:r>
              <w:rPr>
                <w:rFonts w:ascii="Calibri" w:hAnsi="Calibri"/>
                <w:color w:val="1E293B"/>
                <w:sz w:val="19"/>
              </w:rPr>
              <w:t>MOVIE</w:t>
            </w:r>
          </w:p>
        </w:tc>
        <w:tc>
          <w:tcPr>
            <w:tcW w:type="dxa" w:w="1728"/>
            <w:shd w:fill="F8FAFC"/>
            <w:tcMar>
              <w:top w:w="80" w:type="dxa"/>
              <w:bottom w:w="80" w:type="dxa"/>
              <w:left w:w="120" w:type="dxa"/>
              <w:right w:w="120" w:type="dxa"/>
            </w:tcMar>
            <w:tcBorders>
              <w:top w:val="single" w:sz="4" w:space="0" w:color="CBD5E1"/>
              <w:left w:val="none"/>
              <w:bottom w:val="single" w:sz="4" w:space="0" w:color="CBD5E1"/>
              <w:right w:val="none"/>
            </w:tcBorders>
          </w:tcPr>
          <w:p>
            <w:pPr>
              <w:spacing w:before="0" w:after="0"/>
            </w:pPr>
            <w:r>
              <w:rPr>
                <w:rFonts w:ascii="Calibri" w:hAnsi="Calibri"/>
                <w:color w:val="1E293B"/>
                <w:sz w:val="19"/>
              </w:rPr>
              <w:t>MovieID (PK)</w:t>
            </w:r>
          </w:p>
        </w:tc>
        <w:tc>
          <w:tcPr>
            <w:tcW w:type="dxa" w:w="2160"/>
            <w:shd w:fill="F8FAFC"/>
            <w:tcMar>
              <w:top w:w="80" w:type="dxa"/>
              <w:bottom w:w="80" w:type="dxa"/>
              <w:left w:w="120" w:type="dxa"/>
              <w:right w:w="120" w:type="dxa"/>
            </w:tcMar>
            <w:tcBorders>
              <w:top w:val="single" w:sz="4" w:space="0" w:color="CBD5E1"/>
              <w:left w:val="none"/>
              <w:bottom w:val="single" w:sz="4" w:space="0" w:color="CBD5E1"/>
              <w:right w:val="none"/>
            </w:tcBorders>
          </w:tcPr>
          <w:p>
            <w:pPr>
              <w:spacing w:before="0" w:after="0"/>
            </w:pPr>
            <w:r>
              <w:rPr>
                <w:rFonts w:ascii="Calibri" w:hAnsi="Calibri"/>
                <w:color w:val="1E293B"/>
                <w:sz w:val="19"/>
              </w:rPr>
              <w:t>None</w:t>
            </w:r>
          </w:p>
        </w:tc>
        <w:tc>
          <w:tcPr>
            <w:tcW w:type="dxa" w:w="2880"/>
            <w:shd w:fill="F8FAFC"/>
            <w:tcMar>
              <w:top w:w="80" w:type="dxa"/>
              <w:bottom w:w="80" w:type="dxa"/>
              <w:left w:w="120" w:type="dxa"/>
              <w:right w:w="120" w:type="dxa"/>
            </w:tcMar>
            <w:tcBorders>
              <w:top w:val="single" w:sz="4" w:space="0" w:color="CBD5E1"/>
              <w:left w:val="none"/>
              <w:bottom w:val="single" w:sz="4" w:space="0" w:color="CBD5E1"/>
              <w:right w:val="none"/>
            </w:tcBorders>
          </w:tcPr>
          <w:p>
            <w:pPr>
              <w:spacing w:before="0" w:after="0"/>
            </w:pPr>
            <w:r>
              <w:rPr>
                <w:rFonts w:ascii="Calibri" w:hAnsi="Calibri"/>
                <w:color w:val="1E293B"/>
                <w:sz w:val="19"/>
              </w:rPr>
              <w:t>Title, Genre, Language, Duration (CHECK &gt; 0), ReleaseDate</w:t>
            </w:r>
          </w:p>
        </w:tc>
        <w:tc>
          <w:tcPr>
            <w:tcW w:type="dxa" w:w="1008"/>
            <w:shd w:fill="F8FAFC"/>
            <w:tcMar>
              <w:top w:w="80" w:type="dxa"/>
              <w:bottom w:w="80" w:type="dxa"/>
              <w:left w:w="120" w:type="dxa"/>
              <w:right w:w="120" w:type="dxa"/>
            </w:tcMar>
            <w:tcBorders>
              <w:top w:val="single" w:sz="4" w:space="0" w:color="CBD5E1"/>
              <w:left w:val="none"/>
              <w:bottom w:val="single" w:sz="4" w:space="0" w:color="CBD5E1"/>
              <w:right w:val="none"/>
            </w:tcBorders>
          </w:tcPr>
          <w:p>
            <w:pPr>
              <w:spacing w:before="0" w:after="0"/>
            </w:pPr>
            <w:r>
              <w:rPr>
                <w:rFonts w:ascii="Calibri" w:hAnsi="Calibri"/>
                <w:color w:val="1E293B"/>
                <w:sz w:val="19"/>
              </w:rPr>
              <w:t>InnoDB</w:t>
            </w:r>
          </w:p>
        </w:tc>
      </w:tr>
      <w:tr>
        <w:tc>
          <w:tcPr>
            <w:tcW w:type="dxa" w:w="1584"/>
            <w:shd w:fill="FFFFFF"/>
            <w:tcMar>
              <w:top w:w="80" w:type="dxa"/>
              <w:bottom w:w="80" w:type="dxa"/>
              <w:left w:w="120" w:type="dxa"/>
              <w:right w:w="120" w:type="dxa"/>
            </w:tcMar>
            <w:tcBorders>
              <w:top w:val="single" w:sz="4" w:space="0" w:color="CBD5E1"/>
              <w:left w:val="none"/>
              <w:bottom w:val="single" w:sz="4" w:space="0" w:color="CBD5E1"/>
              <w:right w:val="none"/>
            </w:tcBorders>
          </w:tcPr>
          <w:p>
            <w:pPr>
              <w:spacing w:before="0" w:after="0"/>
            </w:pPr>
            <w:r>
              <w:rPr>
                <w:rFonts w:ascii="Calibri" w:hAnsi="Calibri"/>
                <w:color w:val="1E293B"/>
                <w:sz w:val="19"/>
              </w:rPr>
              <w:t>SHOW</w:t>
            </w:r>
          </w:p>
        </w:tc>
        <w:tc>
          <w:tcPr>
            <w:tcW w:type="dxa" w:w="1728"/>
            <w:shd w:fill="FFFFFF"/>
            <w:tcMar>
              <w:top w:w="80" w:type="dxa"/>
              <w:bottom w:w="80" w:type="dxa"/>
              <w:left w:w="120" w:type="dxa"/>
              <w:right w:w="120" w:type="dxa"/>
            </w:tcMar>
            <w:tcBorders>
              <w:top w:val="single" w:sz="4" w:space="0" w:color="CBD5E1"/>
              <w:left w:val="none"/>
              <w:bottom w:val="single" w:sz="4" w:space="0" w:color="CBD5E1"/>
              <w:right w:val="none"/>
            </w:tcBorders>
          </w:tcPr>
          <w:p>
            <w:pPr>
              <w:spacing w:before="0" w:after="0"/>
            </w:pPr>
            <w:r>
              <w:rPr>
                <w:rFonts w:ascii="Calibri" w:hAnsi="Calibri"/>
                <w:color w:val="1E293B"/>
                <w:sz w:val="19"/>
              </w:rPr>
              <w:t>ShowID (PK)</w:t>
            </w:r>
          </w:p>
        </w:tc>
        <w:tc>
          <w:tcPr>
            <w:tcW w:type="dxa" w:w="2160"/>
            <w:shd w:fill="FFFFFF"/>
            <w:tcMar>
              <w:top w:w="80" w:type="dxa"/>
              <w:bottom w:w="80" w:type="dxa"/>
              <w:left w:w="120" w:type="dxa"/>
              <w:right w:w="120" w:type="dxa"/>
            </w:tcMar>
            <w:tcBorders>
              <w:top w:val="single" w:sz="4" w:space="0" w:color="CBD5E1"/>
              <w:left w:val="none"/>
              <w:bottom w:val="single" w:sz="4" w:space="0" w:color="CBD5E1"/>
              <w:right w:val="none"/>
            </w:tcBorders>
          </w:tcPr>
          <w:p>
            <w:pPr>
              <w:spacing w:before="0" w:after="0"/>
            </w:pPr>
            <w:r>
              <w:rPr>
                <w:rFonts w:ascii="Calibri" w:hAnsi="Calibri"/>
                <w:color w:val="1E293B"/>
                <w:sz w:val="19"/>
              </w:rPr>
              <w:t>MovieID -&gt; MOVIE, ScreenID -&gt; SCREEN</w:t>
            </w:r>
          </w:p>
        </w:tc>
        <w:tc>
          <w:tcPr>
            <w:tcW w:type="dxa" w:w="2880"/>
            <w:shd w:fill="FFFFFF"/>
            <w:tcMar>
              <w:top w:w="80" w:type="dxa"/>
              <w:bottom w:w="80" w:type="dxa"/>
              <w:left w:w="120" w:type="dxa"/>
              <w:right w:w="120" w:type="dxa"/>
            </w:tcMar>
            <w:tcBorders>
              <w:top w:val="single" w:sz="4" w:space="0" w:color="CBD5E1"/>
              <w:left w:val="none"/>
              <w:bottom w:val="single" w:sz="4" w:space="0" w:color="CBD5E1"/>
              <w:right w:val="none"/>
            </w:tcBorders>
          </w:tcPr>
          <w:p>
            <w:pPr>
              <w:spacing w:before="0" w:after="0"/>
            </w:pPr>
            <w:r>
              <w:rPr>
                <w:rFonts w:ascii="Calibri" w:hAnsi="Calibri"/>
                <w:color w:val="1E293B"/>
                <w:sz w:val="19"/>
              </w:rPr>
              <w:t>ShowDate, ShowTime, Price (CHECK &gt;= 0)</w:t>
            </w:r>
          </w:p>
        </w:tc>
        <w:tc>
          <w:tcPr>
            <w:tcW w:type="dxa" w:w="1008"/>
            <w:shd w:fill="FFFFFF"/>
            <w:tcMar>
              <w:top w:w="80" w:type="dxa"/>
              <w:bottom w:w="80" w:type="dxa"/>
              <w:left w:w="120" w:type="dxa"/>
              <w:right w:w="120" w:type="dxa"/>
            </w:tcMar>
            <w:tcBorders>
              <w:top w:val="single" w:sz="4" w:space="0" w:color="CBD5E1"/>
              <w:left w:val="none"/>
              <w:bottom w:val="single" w:sz="4" w:space="0" w:color="CBD5E1"/>
              <w:right w:val="none"/>
            </w:tcBorders>
          </w:tcPr>
          <w:p>
            <w:pPr>
              <w:spacing w:before="0" w:after="0"/>
            </w:pPr>
            <w:r>
              <w:rPr>
                <w:rFonts w:ascii="Calibri" w:hAnsi="Calibri"/>
                <w:color w:val="1E293B"/>
                <w:sz w:val="19"/>
              </w:rPr>
              <w:t>InnoDB</w:t>
            </w:r>
          </w:p>
        </w:tc>
      </w:tr>
      <w:tr>
        <w:tc>
          <w:tcPr>
            <w:tcW w:type="dxa" w:w="1584"/>
            <w:shd w:fill="F8FAFC"/>
            <w:tcMar>
              <w:top w:w="80" w:type="dxa"/>
              <w:bottom w:w="80" w:type="dxa"/>
              <w:left w:w="120" w:type="dxa"/>
              <w:right w:w="120" w:type="dxa"/>
            </w:tcMar>
            <w:tcBorders>
              <w:top w:val="single" w:sz="4" w:space="0" w:color="CBD5E1"/>
              <w:left w:val="none"/>
              <w:bottom w:val="single" w:sz="4" w:space="0" w:color="CBD5E1"/>
              <w:right w:val="none"/>
            </w:tcBorders>
          </w:tcPr>
          <w:p>
            <w:pPr>
              <w:spacing w:before="0" w:after="0"/>
            </w:pPr>
            <w:r>
              <w:rPr>
                <w:rFonts w:ascii="Calibri" w:hAnsi="Calibri"/>
                <w:color w:val="1E293B"/>
                <w:sz w:val="19"/>
              </w:rPr>
              <w:t>CUSTOMER</w:t>
            </w:r>
          </w:p>
        </w:tc>
        <w:tc>
          <w:tcPr>
            <w:tcW w:type="dxa" w:w="1728"/>
            <w:shd w:fill="F8FAFC"/>
            <w:tcMar>
              <w:top w:w="80" w:type="dxa"/>
              <w:bottom w:w="80" w:type="dxa"/>
              <w:left w:w="120" w:type="dxa"/>
              <w:right w:w="120" w:type="dxa"/>
            </w:tcMar>
            <w:tcBorders>
              <w:top w:val="single" w:sz="4" w:space="0" w:color="CBD5E1"/>
              <w:left w:val="none"/>
              <w:bottom w:val="single" w:sz="4" w:space="0" w:color="CBD5E1"/>
              <w:right w:val="none"/>
            </w:tcBorders>
          </w:tcPr>
          <w:p>
            <w:pPr>
              <w:spacing w:before="0" w:after="0"/>
            </w:pPr>
            <w:r>
              <w:rPr>
                <w:rFonts w:ascii="Calibri" w:hAnsi="Calibri"/>
                <w:color w:val="1E293B"/>
                <w:sz w:val="19"/>
              </w:rPr>
              <w:t>CustomerID (PK)</w:t>
            </w:r>
          </w:p>
        </w:tc>
        <w:tc>
          <w:tcPr>
            <w:tcW w:type="dxa" w:w="2160"/>
            <w:shd w:fill="F8FAFC"/>
            <w:tcMar>
              <w:top w:w="80" w:type="dxa"/>
              <w:bottom w:w="80" w:type="dxa"/>
              <w:left w:w="120" w:type="dxa"/>
              <w:right w:w="120" w:type="dxa"/>
            </w:tcMar>
            <w:tcBorders>
              <w:top w:val="single" w:sz="4" w:space="0" w:color="CBD5E1"/>
              <w:left w:val="none"/>
              <w:bottom w:val="single" w:sz="4" w:space="0" w:color="CBD5E1"/>
              <w:right w:val="none"/>
            </w:tcBorders>
          </w:tcPr>
          <w:p>
            <w:pPr>
              <w:spacing w:before="0" w:after="0"/>
            </w:pPr>
            <w:r>
              <w:rPr>
                <w:rFonts w:ascii="Calibri" w:hAnsi="Calibri"/>
                <w:color w:val="1E293B"/>
                <w:sz w:val="19"/>
              </w:rPr>
              <w:t>None</w:t>
            </w:r>
          </w:p>
        </w:tc>
        <w:tc>
          <w:tcPr>
            <w:tcW w:type="dxa" w:w="2880"/>
            <w:shd w:fill="F8FAFC"/>
            <w:tcMar>
              <w:top w:w="80" w:type="dxa"/>
              <w:bottom w:w="80" w:type="dxa"/>
              <w:left w:w="120" w:type="dxa"/>
              <w:right w:w="120" w:type="dxa"/>
            </w:tcMar>
            <w:tcBorders>
              <w:top w:val="single" w:sz="4" w:space="0" w:color="CBD5E1"/>
              <w:left w:val="none"/>
              <w:bottom w:val="single" w:sz="4" w:space="0" w:color="CBD5E1"/>
              <w:right w:val="none"/>
            </w:tcBorders>
          </w:tcPr>
          <w:p>
            <w:pPr>
              <w:spacing w:before="0" w:after="0"/>
            </w:pPr>
            <w:r>
              <w:rPr>
                <w:rFonts w:ascii="Calibri" w:hAnsi="Calibri"/>
                <w:color w:val="1E293B"/>
                <w:sz w:val="19"/>
              </w:rPr>
              <w:t>Name, Email (UNIQUE), Phone, Password</w:t>
            </w:r>
          </w:p>
        </w:tc>
        <w:tc>
          <w:tcPr>
            <w:tcW w:type="dxa" w:w="1008"/>
            <w:shd w:fill="F8FAFC"/>
            <w:tcMar>
              <w:top w:w="80" w:type="dxa"/>
              <w:bottom w:w="80" w:type="dxa"/>
              <w:left w:w="120" w:type="dxa"/>
              <w:right w:w="120" w:type="dxa"/>
            </w:tcMar>
            <w:tcBorders>
              <w:top w:val="single" w:sz="4" w:space="0" w:color="CBD5E1"/>
              <w:left w:val="none"/>
              <w:bottom w:val="single" w:sz="4" w:space="0" w:color="CBD5E1"/>
              <w:right w:val="none"/>
            </w:tcBorders>
          </w:tcPr>
          <w:p>
            <w:pPr>
              <w:spacing w:before="0" w:after="0"/>
            </w:pPr>
            <w:r>
              <w:rPr>
                <w:rFonts w:ascii="Calibri" w:hAnsi="Calibri"/>
                <w:color w:val="1E293B"/>
                <w:sz w:val="19"/>
              </w:rPr>
              <w:t>InnoDB</w:t>
            </w:r>
          </w:p>
        </w:tc>
      </w:tr>
      <w:tr>
        <w:tc>
          <w:tcPr>
            <w:tcW w:type="dxa" w:w="1584"/>
            <w:shd w:fill="FFFFFF"/>
            <w:tcMar>
              <w:top w:w="80" w:type="dxa"/>
              <w:bottom w:w="80" w:type="dxa"/>
              <w:left w:w="120" w:type="dxa"/>
              <w:right w:w="120" w:type="dxa"/>
            </w:tcMar>
            <w:tcBorders>
              <w:top w:val="single" w:sz="4" w:space="0" w:color="CBD5E1"/>
              <w:left w:val="none"/>
              <w:bottom w:val="single" w:sz="4" w:space="0" w:color="CBD5E1"/>
              <w:right w:val="none"/>
            </w:tcBorders>
          </w:tcPr>
          <w:p>
            <w:pPr>
              <w:spacing w:before="0" w:after="0"/>
            </w:pPr>
            <w:r>
              <w:rPr>
                <w:rFonts w:ascii="Calibri" w:hAnsi="Calibri"/>
                <w:color w:val="1E293B"/>
                <w:sz w:val="19"/>
              </w:rPr>
              <w:t>BOOKING</w:t>
            </w:r>
          </w:p>
        </w:tc>
        <w:tc>
          <w:tcPr>
            <w:tcW w:type="dxa" w:w="1728"/>
            <w:shd w:fill="FFFFFF"/>
            <w:tcMar>
              <w:top w:w="80" w:type="dxa"/>
              <w:bottom w:w="80" w:type="dxa"/>
              <w:left w:w="120" w:type="dxa"/>
              <w:right w:w="120" w:type="dxa"/>
            </w:tcMar>
            <w:tcBorders>
              <w:top w:val="single" w:sz="4" w:space="0" w:color="CBD5E1"/>
              <w:left w:val="none"/>
              <w:bottom w:val="single" w:sz="4" w:space="0" w:color="CBD5E1"/>
              <w:right w:val="none"/>
            </w:tcBorders>
          </w:tcPr>
          <w:p>
            <w:pPr>
              <w:spacing w:before="0" w:after="0"/>
            </w:pPr>
            <w:r>
              <w:rPr>
                <w:rFonts w:ascii="Calibri" w:hAnsi="Calibri"/>
                <w:color w:val="1E293B"/>
                <w:sz w:val="19"/>
              </w:rPr>
              <w:t>BookingID (PK)</w:t>
            </w:r>
          </w:p>
        </w:tc>
        <w:tc>
          <w:tcPr>
            <w:tcW w:type="dxa" w:w="2160"/>
            <w:shd w:fill="FFFFFF"/>
            <w:tcMar>
              <w:top w:w="80" w:type="dxa"/>
              <w:bottom w:w="80" w:type="dxa"/>
              <w:left w:w="120" w:type="dxa"/>
              <w:right w:w="120" w:type="dxa"/>
            </w:tcMar>
            <w:tcBorders>
              <w:top w:val="single" w:sz="4" w:space="0" w:color="CBD5E1"/>
              <w:left w:val="none"/>
              <w:bottom w:val="single" w:sz="4" w:space="0" w:color="CBD5E1"/>
              <w:right w:val="none"/>
            </w:tcBorders>
          </w:tcPr>
          <w:p>
            <w:pPr>
              <w:spacing w:before="0" w:after="0"/>
            </w:pPr>
            <w:r>
              <w:rPr>
                <w:rFonts w:ascii="Calibri" w:hAnsi="Calibri"/>
                <w:color w:val="1E293B"/>
                <w:sz w:val="19"/>
              </w:rPr>
              <w:t>CustomerID -&gt; CUSTOMER, ShowID -&gt; SHOW</w:t>
            </w:r>
          </w:p>
        </w:tc>
        <w:tc>
          <w:tcPr>
            <w:tcW w:type="dxa" w:w="2880"/>
            <w:shd w:fill="FFFFFF"/>
            <w:tcMar>
              <w:top w:w="80" w:type="dxa"/>
              <w:bottom w:w="80" w:type="dxa"/>
              <w:left w:w="120" w:type="dxa"/>
              <w:right w:w="120" w:type="dxa"/>
            </w:tcMar>
            <w:tcBorders>
              <w:top w:val="single" w:sz="4" w:space="0" w:color="CBD5E1"/>
              <w:left w:val="none"/>
              <w:bottom w:val="single" w:sz="4" w:space="0" w:color="CBD5E1"/>
              <w:right w:val="none"/>
            </w:tcBorders>
          </w:tcPr>
          <w:p>
            <w:pPr>
              <w:spacing w:before="0" w:after="0"/>
            </w:pPr>
            <w:r>
              <w:rPr>
                <w:rFonts w:ascii="Calibri" w:hAnsi="Calibri"/>
                <w:color w:val="1E293B"/>
                <w:sz w:val="19"/>
              </w:rPr>
              <w:t>BookingDate, TotalAmount, Status (ENUM)</w:t>
            </w:r>
          </w:p>
        </w:tc>
        <w:tc>
          <w:tcPr>
            <w:tcW w:type="dxa" w:w="1008"/>
            <w:shd w:fill="FFFFFF"/>
            <w:tcMar>
              <w:top w:w="80" w:type="dxa"/>
              <w:bottom w:w="80" w:type="dxa"/>
              <w:left w:w="120" w:type="dxa"/>
              <w:right w:w="120" w:type="dxa"/>
            </w:tcMar>
            <w:tcBorders>
              <w:top w:val="single" w:sz="4" w:space="0" w:color="CBD5E1"/>
              <w:left w:val="none"/>
              <w:bottom w:val="single" w:sz="4" w:space="0" w:color="CBD5E1"/>
              <w:right w:val="none"/>
            </w:tcBorders>
          </w:tcPr>
          <w:p>
            <w:pPr>
              <w:spacing w:before="0" w:after="0"/>
            </w:pPr>
            <w:r>
              <w:rPr>
                <w:rFonts w:ascii="Calibri" w:hAnsi="Calibri"/>
                <w:color w:val="1E293B"/>
                <w:sz w:val="19"/>
              </w:rPr>
              <w:t>InnoDB</w:t>
            </w:r>
          </w:p>
        </w:tc>
      </w:tr>
      <w:tr>
        <w:tc>
          <w:tcPr>
            <w:tcW w:type="dxa" w:w="1584"/>
            <w:shd w:fill="F8FAFC"/>
            <w:tcMar>
              <w:top w:w="80" w:type="dxa"/>
              <w:bottom w:w="80" w:type="dxa"/>
              <w:left w:w="120" w:type="dxa"/>
              <w:right w:w="120" w:type="dxa"/>
            </w:tcMar>
            <w:tcBorders>
              <w:top w:val="single" w:sz="4" w:space="0" w:color="CBD5E1"/>
              <w:left w:val="none"/>
              <w:bottom w:val="single" w:sz="4" w:space="0" w:color="CBD5E1"/>
              <w:right w:val="none"/>
            </w:tcBorders>
          </w:tcPr>
          <w:p>
            <w:pPr>
              <w:spacing w:before="0" w:after="0"/>
            </w:pPr>
            <w:r>
              <w:rPr>
                <w:rFonts w:ascii="Calibri" w:hAnsi="Calibri"/>
                <w:color w:val="1E293B"/>
                <w:sz w:val="19"/>
              </w:rPr>
              <w:t>BOOKING_SEAT</w:t>
            </w:r>
          </w:p>
        </w:tc>
        <w:tc>
          <w:tcPr>
            <w:tcW w:type="dxa" w:w="1728"/>
            <w:shd w:fill="F8FAFC"/>
            <w:tcMar>
              <w:top w:w="80" w:type="dxa"/>
              <w:bottom w:w="80" w:type="dxa"/>
              <w:left w:w="120" w:type="dxa"/>
              <w:right w:w="120" w:type="dxa"/>
            </w:tcMar>
            <w:tcBorders>
              <w:top w:val="single" w:sz="4" w:space="0" w:color="CBD5E1"/>
              <w:left w:val="none"/>
              <w:bottom w:val="single" w:sz="4" w:space="0" w:color="CBD5E1"/>
              <w:right w:val="none"/>
            </w:tcBorders>
          </w:tcPr>
          <w:p>
            <w:pPr>
              <w:spacing w:before="0" w:after="0"/>
            </w:pPr>
            <w:r>
              <w:rPr>
                <w:rFonts w:ascii="Calibri" w:hAnsi="Calibri"/>
                <w:color w:val="1E293B"/>
                <w:sz w:val="19"/>
              </w:rPr>
              <w:t>(BookingID, SeatID) (PK)</w:t>
            </w:r>
          </w:p>
        </w:tc>
        <w:tc>
          <w:tcPr>
            <w:tcW w:type="dxa" w:w="2160"/>
            <w:shd w:fill="F8FAFC"/>
            <w:tcMar>
              <w:top w:w="80" w:type="dxa"/>
              <w:bottom w:w="80" w:type="dxa"/>
              <w:left w:w="120" w:type="dxa"/>
              <w:right w:w="120" w:type="dxa"/>
            </w:tcMar>
            <w:tcBorders>
              <w:top w:val="single" w:sz="4" w:space="0" w:color="CBD5E1"/>
              <w:left w:val="none"/>
              <w:bottom w:val="single" w:sz="4" w:space="0" w:color="CBD5E1"/>
              <w:right w:val="none"/>
            </w:tcBorders>
          </w:tcPr>
          <w:p>
            <w:pPr>
              <w:spacing w:before="0" w:after="0"/>
            </w:pPr>
            <w:r>
              <w:rPr>
                <w:rFonts w:ascii="Calibri" w:hAnsi="Calibri"/>
                <w:color w:val="1E293B"/>
                <w:sz w:val="19"/>
              </w:rPr>
              <w:t>BookingID, ShowID, SeatID</w:t>
            </w:r>
          </w:p>
        </w:tc>
        <w:tc>
          <w:tcPr>
            <w:tcW w:type="dxa" w:w="2880"/>
            <w:shd w:fill="F8FAFC"/>
            <w:tcMar>
              <w:top w:w="80" w:type="dxa"/>
              <w:bottom w:w="80" w:type="dxa"/>
              <w:left w:w="120" w:type="dxa"/>
              <w:right w:w="120" w:type="dxa"/>
            </w:tcMar>
            <w:tcBorders>
              <w:top w:val="single" w:sz="4" w:space="0" w:color="CBD5E1"/>
              <w:left w:val="none"/>
              <w:bottom w:val="single" w:sz="4" w:space="0" w:color="CBD5E1"/>
              <w:right w:val="none"/>
            </w:tcBorders>
          </w:tcPr>
          <w:p>
            <w:pPr>
              <w:spacing w:before="0" w:after="0"/>
            </w:pPr>
            <w:r>
              <w:rPr>
                <w:rFonts w:ascii="Calibri" w:hAnsi="Calibri"/>
                <w:color w:val="1E293B"/>
                <w:sz w:val="19"/>
              </w:rPr>
              <w:t>UNIQUE(ShowID, SeatID) [Concurrency Fix]</w:t>
            </w:r>
          </w:p>
        </w:tc>
        <w:tc>
          <w:tcPr>
            <w:tcW w:type="dxa" w:w="1008"/>
            <w:shd w:fill="F8FAFC"/>
            <w:tcMar>
              <w:top w:w="80" w:type="dxa"/>
              <w:bottom w:w="80" w:type="dxa"/>
              <w:left w:w="120" w:type="dxa"/>
              <w:right w:w="120" w:type="dxa"/>
            </w:tcMar>
            <w:tcBorders>
              <w:top w:val="single" w:sz="4" w:space="0" w:color="CBD5E1"/>
              <w:left w:val="none"/>
              <w:bottom w:val="single" w:sz="4" w:space="0" w:color="CBD5E1"/>
              <w:right w:val="none"/>
            </w:tcBorders>
          </w:tcPr>
          <w:p>
            <w:pPr>
              <w:spacing w:before="0" w:after="0"/>
            </w:pPr>
            <w:r>
              <w:rPr>
                <w:rFonts w:ascii="Calibri" w:hAnsi="Calibri"/>
                <w:color w:val="1E293B"/>
                <w:sz w:val="19"/>
              </w:rPr>
              <w:t>InnoDB</w:t>
            </w:r>
          </w:p>
        </w:tc>
      </w:tr>
      <w:tr>
        <w:tc>
          <w:tcPr>
            <w:tcW w:type="dxa" w:w="1584"/>
            <w:shd w:fill="FFFFFF"/>
            <w:tcMar>
              <w:top w:w="80" w:type="dxa"/>
              <w:bottom w:w="80" w:type="dxa"/>
              <w:left w:w="120" w:type="dxa"/>
              <w:right w:w="120" w:type="dxa"/>
            </w:tcMar>
            <w:tcBorders>
              <w:top w:val="single" w:sz="4" w:space="0" w:color="CBD5E1"/>
              <w:left w:val="none"/>
              <w:bottom w:val="single" w:sz="4" w:space="0" w:color="CBD5E1"/>
              <w:right w:val="none"/>
            </w:tcBorders>
          </w:tcPr>
          <w:p>
            <w:pPr>
              <w:spacing w:before="0" w:after="0"/>
            </w:pPr>
            <w:r>
              <w:rPr>
                <w:rFonts w:ascii="Calibri" w:hAnsi="Calibri"/>
                <w:color w:val="1E293B"/>
                <w:sz w:val="19"/>
              </w:rPr>
              <w:t>PAYMENT</w:t>
            </w:r>
          </w:p>
        </w:tc>
        <w:tc>
          <w:tcPr>
            <w:tcW w:type="dxa" w:w="1728"/>
            <w:shd w:fill="FFFFFF"/>
            <w:tcMar>
              <w:top w:w="80" w:type="dxa"/>
              <w:bottom w:w="80" w:type="dxa"/>
              <w:left w:w="120" w:type="dxa"/>
              <w:right w:w="120" w:type="dxa"/>
            </w:tcMar>
            <w:tcBorders>
              <w:top w:val="single" w:sz="4" w:space="0" w:color="CBD5E1"/>
              <w:left w:val="none"/>
              <w:bottom w:val="single" w:sz="4" w:space="0" w:color="CBD5E1"/>
              <w:right w:val="none"/>
            </w:tcBorders>
          </w:tcPr>
          <w:p>
            <w:pPr>
              <w:spacing w:before="0" w:after="0"/>
            </w:pPr>
            <w:r>
              <w:rPr>
                <w:rFonts w:ascii="Calibri" w:hAnsi="Calibri"/>
                <w:color w:val="1E293B"/>
                <w:sz w:val="19"/>
              </w:rPr>
              <w:t>PaymentID (PK)</w:t>
            </w:r>
          </w:p>
        </w:tc>
        <w:tc>
          <w:tcPr>
            <w:tcW w:type="dxa" w:w="2160"/>
            <w:shd w:fill="FFFFFF"/>
            <w:tcMar>
              <w:top w:w="80" w:type="dxa"/>
              <w:bottom w:w="80" w:type="dxa"/>
              <w:left w:w="120" w:type="dxa"/>
              <w:right w:w="120" w:type="dxa"/>
            </w:tcMar>
            <w:tcBorders>
              <w:top w:val="single" w:sz="4" w:space="0" w:color="CBD5E1"/>
              <w:left w:val="none"/>
              <w:bottom w:val="single" w:sz="4" w:space="0" w:color="CBD5E1"/>
              <w:right w:val="none"/>
            </w:tcBorders>
          </w:tcPr>
          <w:p>
            <w:pPr>
              <w:spacing w:before="0" w:after="0"/>
            </w:pPr>
            <w:r>
              <w:rPr>
                <w:rFonts w:ascii="Calibri" w:hAnsi="Calibri"/>
                <w:color w:val="1E293B"/>
                <w:sz w:val="19"/>
              </w:rPr>
              <w:t>BookingID (UNIQUE) -&gt; BOOKING</w:t>
            </w:r>
          </w:p>
        </w:tc>
        <w:tc>
          <w:tcPr>
            <w:tcW w:type="dxa" w:w="2880"/>
            <w:shd w:fill="FFFFFF"/>
            <w:tcMar>
              <w:top w:w="80" w:type="dxa"/>
              <w:bottom w:w="80" w:type="dxa"/>
              <w:left w:w="120" w:type="dxa"/>
              <w:right w:w="120" w:type="dxa"/>
            </w:tcMar>
            <w:tcBorders>
              <w:top w:val="single" w:sz="4" w:space="0" w:color="CBD5E1"/>
              <w:left w:val="none"/>
              <w:bottom w:val="single" w:sz="4" w:space="0" w:color="CBD5E1"/>
              <w:right w:val="none"/>
            </w:tcBorders>
          </w:tcPr>
          <w:p>
            <w:pPr>
              <w:spacing w:before="0" w:after="0"/>
            </w:pPr>
            <w:r>
              <w:rPr>
                <w:rFonts w:ascii="Calibri" w:hAnsi="Calibri"/>
                <w:color w:val="1E293B"/>
                <w:sz w:val="19"/>
              </w:rPr>
              <w:t>Amount, PaymentMode (ENUM), PaymentStatus (ENUM)</w:t>
            </w:r>
          </w:p>
        </w:tc>
        <w:tc>
          <w:tcPr>
            <w:tcW w:type="dxa" w:w="1008"/>
            <w:shd w:fill="FFFFFF"/>
            <w:tcMar>
              <w:top w:w="80" w:type="dxa"/>
              <w:bottom w:w="80" w:type="dxa"/>
              <w:left w:w="120" w:type="dxa"/>
              <w:right w:w="120" w:type="dxa"/>
            </w:tcMar>
            <w:tcBorders>
              <w:top w:val="single" w:sz="4" w:space="0" w:color="CBD5E1"/>
              <w:left w:val="none"/>
              <w:bottom w:val="single" w:sz="4" w:space="0" w:color="CBD5E1"/>
              <w:right w:val="none"/>
            </w:tcBorders>
          </w:tcPr>
          <w:p>
            <w:pPr>
              <w:spacing w:before="0" w:after="0"/>
            </w:pPr>
            <w:r>
              <w:rPr>
                <w:rFonts w:ascii="Calibri" w:hAnsi="Calibri"/>
                <w:color w:val="1E293B"/>
                <w:sz w:val="19"/>
              </w:rPr>
              <w:t>InnoDB</w:t>
            </w:r>
          </w:p>
        </w:tc>
      </w:tr>
    </w:tbl>
    <w:p>
      <w:pPr>
        <w:spacing w:after="120"/>
      </w:pPr>
    </w:p>
    <w:p>
      <w:pPr>
        <w:keepNext/>
        <w:spacing w:before="440" w:after="160"/>
      </w:pPr>
      <w:r>
        <w:rPr>
          <w:rFonts w:ascii="Arial" w:hAnsi="Arial"/>
          <w:b/>
          <w:color w:val="0F172A"/>
          <w:sz w:val="36"/>
        </w:rPr>
        <w:t>4. Database Normalization Analysis (1NF to BCNF)</w:t>
      </w:r>
    </w:p>
    <w:p>
      <w:pPr>
        <w:spacing w:before="0" w:after="120" w:line="276" w:lineRule="auto"/>
      </w:pPr>
      <w:r>
        <w:rPr>
          <w:rFonts w:ascii="Calibri" w:hAnsi="Calibri"/>
          <w:i w:val="0"/>
          <w:color w:val="1E293B"/>
          <w:sz w:val="22"/>
        </w:rPr>
        <w:t>Normalization is a systematic technique of decomposing tables to eliminate data redundancy and undesirable anomalies (Insertion, Update, and Deletion anomalies). Below is the mathematical and architectural proof that CineTicket satisfies Boyce-Codd Normal Form (BCNF).</w:t>
      </w:r>
    </w:p>
    <w:p>
      <w:pPr>
        <w:keepNext/>
        <w:spacing w:before="280" w:after="120"/>
      </w:pPr>
      <w:r>
        <w:rPr>
          <w:rFonts w:ascii="Arial" w:hAnsi="Arial"/>
          <w:b/>
          <w:color w:val="831843"/>
          <w:sz w:val="28"/>
        </w:rPr>
        <w:t>4.1 First Normal Form (1NF) — Atomicity of Attributes</w:t>
      </w:r>
    </w:p>
    <w:p>
      <w:pPr>
        <w:pStyle w:val="ListBullet"/>
        <w:spacing w:before="0" w:after="60" w:line="276" w:lineRule="auto"/>
      </w:pPr>
      <w:r>
        <w:rPr>
          <w:rFonts w:ascii="Calibri" w:hAnsi="Calibri"/>
          <w:b/>
          <w:color w:val="0F172A"/>
          <w:sz w:val="22"/>
        </w:rPr>
        <w:t xml:space="preserve">1NF Definition: </w:t>
      </w:r>
      <w:r>
        <w:rPr>
          <w:rFonts w:ascii="Calibri" w:hAnsi="Calibri"/>
          <w:color w:val="1E293B"/>
          <w:sz w:val="22"/>
        </w:rPr>
        <w:t>Rule: Each column must contain only atomic (indivisible) values, and there must be no repeating groups or arrays.</w:t>
      </w:r>
    </w:p>
    <w:p>
      <w:pPr>
        <w:pStyle w:val="ListBullet"/>
        <w:spacing w:before="0" w:after="60" w:line="276" w:lineRule="auto"/>
      </w:pPr>
      <w:r>
        <w:rPr>
          <w:rFonts w:ascii="Calibri" w:hAnsi="Calibri"/>
          <w:b/>
          <w:color w:val="0F172A"/>
          <w:sz w:val="22"/>
        </w:rPr>
        <w:t xml:space="preserve">How CineTicket Satisfies 1NF: </w:t>
      </w:r>
      <w:r>
        <w:rPr>
          <w:rFonts w:ascii="Calibri" w:hAnsi="Calibri"/>
          <w:color w:val="1E293B"/>
          <w:sz w:val="22"/>
        </w:rPr>
        <w:t>Negative Example (Violating 1NF): If BOOKING contained a column `Seats: 'A1, A2, A3'`, searching or locking a single seat would require fragile string parsing.</w:t>
      </w:r>
    </w:p>
    <w:p>
      <w:pPr>
        <w:pStyle w:val="ListBullet"/>
        <w:spacing w:before="0" w:after="60" w:line="276" w:lineRule="auto"/>
      </w:pPr>
      <w:r>
        <w:rPr>
          <w:rFonts w:ascii="Calibri" w:hAnsi="Calibri"/>
          <w:b/>
          <w:color w:val="0F172A"/>
          <w:sz w:val="22"/>
        </w:rPr>
        <w:t xml:space="preserve">Validation: </w:t>
      </w:r>
      <w:r>
        <w:rPr>
          <w:rFonts w:ascii="Calibri" w:hAnsi="Calibri"/>
          <w:color w:val="1E293B"/>
          <w:sz w:val="22"/>
        </w:rPr>
        <w:t>Implementation: Every attribute in all 9 tables holds scalar data (atomic strings, integers, timestamps, decimals). Individual seat reservations are decomposed into separate rows in `BOOKING_SEAT`.</w:t>
      </w:r>
    </w:p>
    <w:p>
      <w:pPr>
        <w:keepNext/>
        <w:spacing w:before="280" w:after="120"/>
      </w:pPr>
      <w:r>
        <w:rPr>
          <w:rFonts w:ascii="Arial" w:hAnsi="Arial"/>
          <w:b/>
          <w:color w:val="831843"/>
          <w:sz w:val="28"/>
        </w:rPr>
        <w:t>4.2 Second Normal Form (2NF) — Elimination of Partial Dependencies</w:t>
      </w:r>
    </w:p>
    <w:p>
      <w:pPr>
        <w:pStyle w:val="ListBullet"/>
        <w:spacing w:before="0" w:after="60" w:line="276" w:lineRule="auto"/>
      </w:pPr>
      <w:r>
        <w:rPr>
          <w:rFonts w:ascii="Calibri" w:hAnsi="Calibri"/>
          <w:b/>
          <w:color w:val="0F172A"/>
          <w:sz w:val="22"/>
        </w:rPr>
        <w:t xml:space="preserve">2NF Definition: </w:t>
      </w:r>
      <w:r>
        <w:rPr>
          <w:rFonts w:ascii="Calibri" w:hAnsi="Calibri"/>
          <w:color w:val="1E293B"/>
          <w:sz w:val="22"/>
        </w:rPr>
        <w:t>Rule: Table must be in 1NF, and no non-prime attribute may be functionally dependent on a proper subset of any candidate key (applies to composite keys).</w:t>
      </w:r>
    </w:p>
    <w:p>
      <w:pPr>
        <w:pStyle w:val="ListBullet"/>
        <w:spacing w:before="0" w:after="60" w:line="276" w:lineRule="auto"/>
      </w:pPr>
      <w:r>
        <w:rPr>
          <w:rFonts w:ascii="Calibri" w:hAnsi="Calibri"/>
          <w:b/>
          <w:color w:val="0F172A"/>
          <w:sz w:val="22"/>
        </w:rPr>
        <w:t xml:space="preserve">How CineTicket Satisfies 2NF: </w:t>
      </w:r>
      <w:r>
        <w:rPr>
          <w:rFonts w:ascii="Calibri" w:hAnsi="Calibri"/>
          <w:color w:val="1E293B"/>
          <w:sz w:val="22"/>
        </w:rPr>
        <w:t>Analysis of `BOOKING_SEAT`: The composite primary key is `(BookingID, SeatID)`. The only other column is `ShowID`, which is inherently required to tie the seat reservation to a specific temporal schedule. Attributes describing the seat (e.g., SeatNumber, SeatType) are strictly separated in `SEAT`, dependent solely on `SeatID`. Attributes describing the booking (TotalAmount, Status) reside solely in `BOOKING`. Thus, zero partial dependencies exist.</w:t>
      </w:r>
    </w:p>
    <w:p>
      <w:pPr>
        <w:keepNext/>
        <w:spacing w:before="280" w:after="120"/>
      </w:pPr>
      <w:r>
        <w:rPr>
          <w:rFonts w:ascii="Arial" w:hAnsi="Arial"/>
          <w:b/>
          <w:color w:val="831843"/>
          <w:sz w:val="28"/>
        </w:rPr>
        <w:t>4.3 Third Normal Form (3NF) — Elimination of Transitive Dependencies</w:t>
      </w:r>
    </w:p>
    <w:p>
      <w:pPr>
        <w:pStyle w:val="ListBullet"/>
        <w:spacing w:before="0" w:after="60" w:line="276" w:lineRule="auto"/>
      </w:pPr>
      <w:r>
        <w:rPr>
          <w:rFonts w:ascii="Calibri" w:hAnsi="Calibri"/>
          <w:b/>
          <w:color w:val="0F172A"/>
          <w:sz w:val="22"/>
        </w:rPr>
        <w:t xml:space="preserve">3NF Definition: </w:t>
      </w:r>
      <w:r>
        <w:rPr>
          <w:rFonts w:ascii="Calibri" w:hAnsi="Calibri"/>
          <w:color w:val="1E293B"/>
          <w:sz w:val="22"/>
        </w:rPr>
        <w:t>Rule: Table must be in 2NF, and every non-prime attribute must be non-transitively dependent on the primary key ($X \rightarrow Y$ and $Y \rightarrow Z$ is forbidden).</w:t>
      </w:r>
    </w:p>
    <w:p>
      <w:pPr>
        <w:pStyle w:val="ListBullet"/>
        <w:spacing w:before="0" w:after="60" w:line="276" w:lineRule="auto"/>
      </w:pPr>
      <w:r>
        <w:rPr>
          <w:rFonts w:ascii="Calibri" w:hAnsi="Calibri"/>
          <w:b/>
          <w:color w:val="0F172A"/>
          <w:sz w:val="22"/>
        </w:rPr>
        <w:t xml:space="preserve">How CineTicket Satisfies 3NF: </w:t>
      </w:r>
      <w:r>
        <w:rPr>
          <w:rFonts w:ascii="Calibri" w:hAnsi="Calibri"/>
          <w:color w:val="1E293B"/>
          <w:sz w:val="22"/>
        </w:rPr>
        <w:t>Analysis of `SHOW`: `SHOW` stores `MovieID` and `ScreenID`. It does NOT store `TheatreID` or `MovieTitle`. To know the theatre name, MySQL traverses `SHOW -&gt; SCREEN -&gt; THEATRE`. If `SHOW` stored `TheatreID`, a transitive dependency (`ShowID -&gt; ScreenID -&gt; TheatreID`) would occur, causing update anomalies if a screen were reassigned. By removing transitive columns, 3NF is strictly preserved.</w:t>
      </w:r>
    </w:p>
    <w:p>
      <w:pPr>
        <w:keepNext/>
        <w:spacing w:before="280" w:after="120"/>
      </w:pPr>
      <w:r>
        <w:rPr>
          <w:rFonts w:ascii="Arial" w:hAnsi="Arial"/>
          <w:b/>
          <w:color w:val="831843"/>
          <w:sz w:val="28"/>
        </w:rPr>
        <w:t>4.4 Boyce-Codd Normal Form (BCNF) — Determinant Key Rule</w:t>
      </w:r>
    </w:p>
    <w:p>
      <w:pPr>
        <w:pStyle w:val="ListBullet"/>
        <w:spacing w:before="0" w:after="60" w:line="276" w:lineRule="auto"/>
      </w:pPr>
      <w:r>
        <w:rPr>
          <w:rFonts w:ascii="Calibri" w:hAnsi="Calibri"/>
          <w:b/>
          <w:color w:val="0F172A"/>
          <w:sz w:val="22"/>
        </w:rPr>
        <w:t xml:space="preserve">BCNF Definition: </w:t>
      </w:r>
      <w:r>
        <w:rPr>
          <w:rFonts w:ascii="Calibri" w:hAnsi="Calibri"/>
          <w:color w:val="1E293B"/>
          <w:sz w:val="22"/>
        </w:rPr>
        <w:t>Rule: A relation is in BCNF if and only if for every functional dependency $X \rightarrow Y$, $X$ is a superkey.</w:t>
      </w:r>
    </w:p>
    <w:p>
      <w:pPr>
        <w:pStyle w:val="ListBullet"/>
        <w:spacing w:before="0" w:after="60" w:line="276" w:lineRule="auto"/>
      </w:pPr>
      <w:r>
        <w:rPr>
          <w:rFonts w:ascii="Calibri" w:hAnsi="Calibri"/>
          <w:b/>
          <w:color w:val="0F172A"/>
          <w:sz w:val="22"/>
        </w:rPr>
        <w:t xml:space="preserve">Proof: </w:t>
      </w:r>
      <w:r>
        <w:rPr>
          <w:rFonts w:ascii="Calibri" w:hAnsi="Calibri"/>
          <w:color w:val="1E293B"/>
          <w:sz w:val="22"/>
        </w:rPr>
        <w:t>Validation: In all tables, every functional determinant is either the primary key or a verified unique candidate key (e.g., `Email` in `CUSTOMER`, `(ScreenID, SeatNumber)` in `SEAT`, `(ShowID, SeatID)` in `BOOKING_SEAT`, and `BookingID` in `PAYMENT`).</w:t>
      </w:r>
    </w:p>
    <w:p>
      <w:pPr>
        <w:keepNext/>
        <w:spacing w:before="440" w:after="160"/>
      </w:pPr>
      <w:r>
        <w:rPr>
          <w:rFonts w:ascii="Arial" w:hAnsi="Arial"/>
          <w:b/>
          <w:color w:val="0F172A"/>
          <w:sz w:val="36"/>
        </w:rPr>
        <w:t>5. Integrity Constraints &amp; Referential Actions</w:t>
      </w:r>
    </w:p>
    <w:p>
      <w:pPr>
        <w:spacing w:before="0" w:after="120" w:line="276" w:lineRule="auto"/>
      </w:pPr>
      <w:r>
        <w:rPr>
          <w:rFonts w:ascii="Calibri" w:hAnsi="Calibri"/>
          <w:i w:val="0"/>
          <w:color w:val="1E293B"/>
          <w:sz w:val="22"/>
        </w:rPr>
        <w:t>A relational database's primary advantage over NoSQL databases is the ability to enforce business rules deterministically at the storage layer rather than relying solely on fallible application code.</w:t>
      </w:r>
    </w:p>
    <w:p>
      <w:pPr>
        <w:keepNext/>
        <w:spacing w:before="280" w:after="120"/>
      </w:pPr>
      <w:r>
        <w:rPr>
          <w:rFonts w:ascii="Arial" w:hAnsi="Arial"/>
          <w:b/>
          <w:color w:val="831843"/>
          <w:sz w:val="28"/>
        </w:rPr>
        <w:t>5.1 Referential Integrity &amp; Cascading Deletes (ON DELETE CASCADE)</w:t>
      </w:r>
    </w:p>
    <w:p>
      <w:pPr>
        <w:spacing w:before="0" w:after="120" w:line="276" w:lineRule="auto"/>
      </w:pPr>
      <w:r>
        <w:rPr>
          <w:rFonts w:ascii="Calibri" w:hAnsi="Calibri"/>
          <w:i w:val="0"/>
          <w:color w:val="1E293B"/>
          <w:sz w:val="22"/>
        </w:rPr>
        <w:t>In CineTicket, parent-child relationships are strictly bound via foreign keys with `ON DELETE CASCADE`. For instance:</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top w:val="none"/>
              <w:left w:val="single" w:sz="24" w:space="0" w:color="0F172A"/>
              <w:bottom w:val="none"/>
              <w:right w:val="none"/>
            </w:tcBorders>
          </w:tcPr>
          <w:p>
            <w:pPr>
              <w:spacing w:before="0" w:after="0" w:line="252" w:lineRule="auto"/>
            </w:pPr>
            <w:r>
              <w:rPr>
                <w:rFonts w:ascii="Consolas" w:hAnsi="Consolas"/>
                <w:b/>
                <w:color w:val="831843"/>
                <w:sz w:val="17"/>
              </w:rPr>
              <w:t>[SQL DDL]</w:t>
              <w:br/>
            </w:r>
            <w:r>
              <w:rPr>
                <w:rFonts w:ascii="Consolas" w:hAnsi="Consolas"/>
                <w:color w:val="0F172A"/>
                <w:sz w:val="19"/>
              </w:rPr>
              <w:t>-- In SCREEN table:</w:t>
              <w:br/>
              <w:t>FOREIGN KEY (TheatreID) REFERENCES THEATRE(TheatreID) ON DELETE CASCADE</w:t>
              <w:br/>
              <w:br/>
              <w:t>-- In SHOW table:</w:t>
              <w:br/>
              <w:t>FOREIGN KEY (MovieID) REFERENCES MOVIE(MovieID) ON DELETE CASCADE</w:t>
              <w:br/>
              <w:t>FOREIGN KEY (ScreenID) REFERENCES SCREEN(ScreenID) ON DELETE CASCADE</w:t>
              <w:br/>
              <w:br/>
              <w:t>-- In BOOKING_SEAT table:</w:t>
              <w:br/>
              <w:t>FOREIGN KEY (BookingID) REFERENCES BOOKING(BookingID) ON DELETE CASCADE</w:t>
              <w:br/>
              <w:t>FOREIGN KEY (ShowID) REFERENCES `SHOW`(ShowID) ON DELETE CASCADE</w:t>
              <w:br/>
              <w:t>FOREIGN KEY (SeatID) REFERENCES SEAT(SeatID) ON DELETE CASCADE</w:t>
            </w:r>
          </w:p>
        </w:tc>
      </w:tr>
    </w:tbl>
    <w:p>
      <w:pPr>
        <w:spacing w:after="80"/>
      </w:pP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none"/>
              <w:left w:val="single" w:sz="24" w:space="0" w:color="0F172A"/>
              <w:bottom w:val="none"/>
              <w:right w:val="none"/>
            </w:tcBorders>
          </w:tcPr>
          <w:p>
            <w:pPr>
              <w:spacing w:before="0" w:after="40"/>
            </w:pPr>
            <w:r>
              <w:rPr>
                <w:rFonts w:ascii="Arial" w:hAnsi="Arial"/>
                <w:b/>
                <w:color w:val="0F172A"/>
                <w:sz w:val="21"/>
              </w:rPr>
              <w:t>★ Why Cascading Deletes are Essential for Cinema Operations</w:t>
              <w:br/>
            </w:r>
            <w:r>
              <w:rPr>
                <w:rFonts w:ascii="Calibri" w:hAnsi="Calibri"/>
                <w:color w:val="1E293B"/>
                <w:sz w:val="20"/>
              </w:rPr>
              <w:t>If a multiplex administrator deletes an old Movie or decommissions a damaged Screen, InnoDB automatically purges all associated dependent shows, ticket reservations, and seat mappings in one atomic internal cascade. This prevents orphan records and eliminates referential corruption.</w:t>
            </w:r>
          </w:p>
        </w:tc>
      </w:tr>
    </w:tbl>
    <w:p>
      <w:pPr>
        <w:spacing w:after="80"/>
      </w:pPr>
    </w:p>
    <w:p>
      <w:pPr>
        <w:keepNext/>
        <w:spacing w:before="280" w:after="120"/>
      </w:pPr>
      <w:r>
        <w:rPr>
          <w:rFonts w:ascii="Arial" w:hAnsi="Arial"/>
          <w:b/>
          <w:color w:val="831843"/>
          <w:sz w:val="28"/>
        </w:rPr>
        <w:t>5.2 Domain Constraints (CHECK, ENUM, and NOT NULL)</w:t>
      </w:r>
    </w:p>
    <w:p>
      <w:pPr>
        <w:pStyle w:val="ListBullet"/>
        <w:spacing w:before="0" w:after="60" w:line="276" w:lineRule="auto"/>
      </w:pPr>
      <w:r>
        <w:rPr>
          <w:rFonts w:ascii="Calibri" w:hAnsi="Calibri"/>
          <w:b/>
          <w:color w:val="0F172A"/>
          <w:sz w:val="22"/>
        </w:rPr>
        <w:t xml:space="preserve">Business Logic at Storage Level: </w:t>
      </w:r>
      <w:r>
        <w:rPr>
          <w:rFonts w:ascii="Calibri" w:hAnsi="Calibri"/>
          <w:color w:val="1E293B"/>
          <w:sz w:val="22"/>
        </w:rPr>
        <w:t>CHECK Constraints: `CHECK (Duration &gt; 0)`, `CHECK (Price &gt;= 0)`, and `CHECK (SeatCapacity &gt; 0)` prevent negative numbers or invalid physical realities from ever corrupting financial reports.</w:t>
      </w:r>
    </w:p>
    <w:p>
      <w:pPr>
        <w:pStyle w:val="ListBullet"/>
        <w:spacing w:before="0" w:after="60" w:line="276" w:lineRule="auto"/>
      </w:pPr>
      <w:r>
        <w:rPr>
          <w:rFonts w:ascii="Calibri" w:hAnsi="Calibri"/>
          <w:b/>
          <w:color w:val="0F172A"/>
          <w:sz w:val="22"/>
        </w:rPr>
        <w:t xml:space="preserve">Finite State Integrity: </w:t>
      </w:r>
      <w:r>
        <w:rPr>
          <w:rFonts w:ascii="Calibri" w:hAnsi="Calibri"/>
          <w:color w:val="1E293B"/>
          <w:sz w:val="22"/>
        </w:rPr>
        <w:t>ENUM Datatypes: Restricts input values to finite allowable sets: `SeatType ENUM('REGULAR', 'PREMIUM', 'VIP')`, `Status ENUM('PENDING', 'CONFIRMED', 'CANCELLED', 'FAILED')`, and `PaymentMode ENUM('UPI', 'CARD', 'NET_BANKING')`.</w:t>
      </w:r>
    </w:p>
    <w:p>
      <w:pPr>
        <w:pStyle w:val="ListBullet"/>
        <w:spacing w:before="0" w:after="60" w:line="276" w:lineRule="auto"/>
      </w:pPr>
      <w:r>
        <w:rPr>
          <w:rFonts w:ascii="Calibri" w:hAnsi="Calibri"/>
          <w:b/>
          <w:color w:val="0F172A"/>
          <w:sz w:val="22"/>
        </w:rPr>
        <w:t xml:space="preserve">Data Completeness: </w:t>
      </w:r>
      <w:r>
        <w:rPr>
          <w:rFonts w:ascii="Calibri" w:hAnsi="Calibri"/>
          <w:color w:val="1E293B"/>
          <w:sz w:val="22"/>
        </w:rPr>
        <w:t>NOT NULL Declarations: Applied to all mandatory attributes to ensure database rows never lack identity or pricing essentials.</w:t>
      </w:r>
    </w:p>
    <w:p>
      <w:pPr>
        <w:keepNext/>
        <w:spacing w:before="440" w:after="160"/>
      </w:pPr>
      <w:r>
        <w:rPr>
          <w:rFonts w:ascii="Arial" w:hAnsi="Arial"/>
          <w:b/>
          <w:color w:val="0F172A"/>
          <w:sz w:val="36"/>
        </w:rPr>
        <w:t>6. Concurrency Control &amp; Double-Booking Prevention</w:t>
      </w:r>
    </w:p>
    <w:p>
      <w:pPr>
        <w:spacing w:before="0" w:after="120" w:line="276" w:lineRule="auto"/>
      </w:pPr>
      <w:r>
        <w:rPr>
          <w:rFonts w:ascii="Calibri" w:hAnsi="Calibri"/>
          <w:i w:val="0"/>
          <w:color w:val="1E293B"/>
          <w:sz w:val="22"/>
        </w:rPr>
        <w:t>The most critical real-world database problem in a ticketing system is preventing the Double-Booking Race Condition (Lost Update / Write Skew). When a blockbuster movie opens booking, thousands of concurrent requests attempt to reserve the exact same premium seats at the same millisecond.</w:t>
      </w:r>
    </w:p>
    <w:p>
      <w:pPr>
        <w:keepNext/>
        <w:spacing w:before="280" w:after="120"/>
      </w:pPr>
      <w:r>
        <w:rPr>
          <w:rFonts w:ascii="Arial" w:hAnsi="Arial"/>
          <w:b/>
          <w:color w:val="831843"/>
          <w:sz w:val="28"/>
        </w:rPr>
        <w:t>6.1 The Double-Booking Vulnerability Without Concurrency Control</w:t>
      </w:r>
    </w:p>
    <w:p>
      <w:pPr>
        <w:spacing w:before="0" w:after="120" w:line="276" w:lineRule="auto"/>
      </w:pPr>
      <w:r>
        <w:rPr>
          <w:rFonts w:ascii="Calibri" w:hAnsi="Calibri"/>
          <w:i w:val="0"/>
          <w:color w:val="1E293B"/>
          <w:sz w:val="22"/>
        </w:rPr>
        <w:t>Consider two concurrent transactions, T1 (User A) and T2 (User B), both trying to book Seat #15 for Show #1 without locking:</w:t>
      </w:r>
    </w:p>
    <w:p>
      <w:pPr>
        <w:pStyle w:val="ListBullet"/>
        <w:spacing w:before="0" w:after="60" w:line="276" w:lineRule="auto"/>
      </w:pPr>
      <w:r>
        <w:rPr>
          <w:rFonts w:ascii="Calibri" w:hAnsi="Calibri"/>
          <w:b/>
          <w:color w:val="0F172A"/>
          <w:sz w:val="22"/>
        </w:rPr>
        <w:t xml:space="preserve">Step 1: </w:t>
      </w:r>
      <w:r>
        <w:rPr>
          <w:rFonts w:ascii="Calibri" w:hAnsi="Calibri"/>
          <w:color w:val="1E293B"/>
          <w:sz w:val="22"/>
        </w:rPr>
        <w:t>T1 reads seat availability: Query returns 'AVAILABLE'.</w:t>
      </w:r>
    </w:p>
    <w:p>
      <w:pPr>
        <w:pStyle w:val="ListBullet"/>
        <w:spacing w:before="0" w:after="60" w:line="276" w:lineRule="auto"/>
      </w:pPr>
      <w:r>
        <w:rPr>
          <w:rFonts w:ascii="Calibri" w:hAnsi="Calibri"/>
          <w:b/>
          <w:color w:val="0F172A"/>
          <w:sz w:val="22"/>
        </w:rPr>
        <w:t xml:space="preserve">Step 2: </w:t>
      </w:r>
      <w:r>
        <w:rPr>
          <w:rFonts w:ascii="Calibri" w:hAnsi="Calibri"/>
          <w:color w:val="1E293B"/>
          <w:sz w:val="22"/>
        </w:rPr>
        <w:t>T2 reads seat availability: Query ALSO returns 'AVAILABLE' (before T1 has written).</w:t>
      </w:r>
    </w:p>
    <w:p>
      <w:pPr>
        <w:pStyle w:val="ListBullet"/>
        <w:spacing w:before="0" w:after="60" w:line="276" w:lineRule="auto"/>
      </w:pPr>
      <w:r>
        <w:rPr>
          <w:rFonts w:ascii="Calibri" w:hAnsi="Calibri"/>
          <w:b/>
          <w:color w:val="0F172A"/>
          <w:sz w:val="22"/>
        </w:rPr>
        <w:t xml:space="preserve">Step 3: </w:t>
      </w:r>
      <w:r>
        <w:rPr>
          <w:rFonts w:ascii="Calibri" w:hAnsi="Calibri"/>
          <w:color w:val="1E293B"/>
          <w:sz w:val="22"/>
        </w:rPr>
        <w:t>T1 inserts booking for Seat #15 and commits.</w:t>
      </w:r>
    </w:p>
    <w:p>
      <w:pPr>
        <w:pStyle w:val="ListBullet"/>
        <w:spacing w:before="0" w:after="60" w:line="276" w:lineRule="auto"/>
      </w:pPr>
      <w:r>
        <w:rPr>
          <w:rFonts w:ascii="Calibri" w:hAnsi="Calibri"/>
          <w:b/>
          <w:color w:val="0F172A"/>
          <w:sz w:val="22"/>
        </w:rPr>
        <w:t xml:space="preserve">Step 4: </w:t>
      </w:r>
      <w:r>
        <w:rPr>
          <w:rFonts w:ascii="Calibri" w:hAnsi="Calibri"/>
          <w:color w:val="1E293B"/>
          <w:sz w:val="22"/>
        </w:rPr>
        <w:t>T2 inserts booking for Seat #15 and commits. (Double booking has occurred!).</w:t>
      </w:r>
    </w:p>
    <w:p>
      <w:pPr>
        <w:keepNext/>
        <w:spacing w:before="280" w:after="120"/>
      </w:pPr>
      <w:r>
        <w:rPr>
          <w:rFonts w:ascii="Arial" w:hAnsi="Arial"/>
          <w:b/>
          <w:color w:val="831843"/>
          <w:sz w:val="28"/>
        </w:rPr>
        <w:t>6.2 The Three-Layer Defense Architecture in CineTicket</w:t>
      </w:r>
    </w:p>
    <w:p>
      <w:pPr>
        <w:spacing w:before="0" w:after="120" w:line="276" w:lineRule="auto"/>
      </w:pPr>
      <w:r>
        <w:rPr>
          <w:rFonts w:ascii="Calibri" w:hAnsi="Calibri"/>
          <w:i w:val="0"/>
          <w:color w:val="1E293B"/>
          <w:sz w:val="22"/>
        </w:rPr>
        <w:t>CineTicket implements a defense-in-depth model utilizing three complementary layers:</w:t>
      </w:r>
    </w:p>
    <w:tbl>
      <w:tblPr>
        <w:tblW w:type="auto" w:w="0"/>
        <w:jc w:val="center"/>
        <w:tblLayout w:type="fixed"/>
        <w:tblLook w:firstColumn="1" w:firstRow="1" w:lastColumn="0" w:lastRow="0" w:noHBand="0" w:noVBand="1" w:val="04A0"/>
      </w:tblPr>
      <w:tblGrid>
        <w:gridCol w:w="3120"/>
        <w:gridCol w:w="3120"/>
        <w:gridCol w:w="3120"/>
      </w:tblGrid>
      <w:tr>
        <w:tc>
          <w:tcPr>
            <w:tcW w:type="dxa" w:w="2304"/>
            <w:shd w:fill="0F172A"/>
            <w:tcMar>
              <w:top w:w="100" w:type="dxa"/>
              <w:bottom w:w="100" w:type="dxa"/>
              <w:left w:w="120" w:type="dxa"/>
              <w:right w:w="120" w:type="dxa"/>
            </w:tcMar>
          </w:tcPr>
          <w:p>
            <w:pPr>
              <w:spacing w:before="0" w:after="0"/>
            </w:pPr>
            <w:r>
              <w:rPr>
                <w:rFonts w:ascii="Arial" w:hAnsi="Arial"/>
                <w:b/>
                <w:color w:val="FFFFFF"/>
                <w:sz w:val="19"/>
              </w:rPr>
              <w:t>Layer / Defense</w:t>
            </w:r>
          </w:p>
        </w:tc>
        <w:tc>
          <w:tcPr>
            <w:tcW w:type="dxa" w:w="2592"/>
            <w:shd w:fill="0F172A"/>
            <w:tcMar>
              <w:top w:w="100" w:type="dxa"/>
              <w:bottom w:w="100" w:type="dxa"/>
              <w:left w:w="120" w:type="dxa"/>
              <w:right w:w="120" w:type="dxa"/>
            </w:tcMar>
          </w:tcPr>
          <w:p>
            <w:pPr>
              <w:spacing w:before="0" w:after="0"/>
            </w:pPr>
            <w:r>
              <w:rPr>
                <w:rFonts w:ascii="Arial" w:hAnsi="Arial"/>
                <w:b/>
                <w:color w:val="FFFFFF"/>
                <w:sz w:val="19"/>
              </w:rPr>
              <w:t>Implementation Mechanism</w:t>
            </w:r>
          </w:p>
        </w:tc>
        <w:tc>
          <w:tcPr>
            <w:tcW w:type="dxa" w:w="4464"/>
            <w:shd w:fill="0F172A"/>
            <w:tcMar>
              <w:top w:w="100" w:type="dxa"/>
              <w:bottom w:w="100" w:type="dxa"/>
              <w:left w:w="120" w:type="dxa"/>
              <w:right w:w="120" w:type="dxa"/>
            </w:tcMar>
          </w:tcPr>
          <w:p>
            <w:pPr>
              <w:spacing w:before="0" w:after="0"/>
            </w:pPr>
            <w:r>
              <w:rPr>
                <w:rFonts w:ascii="Arial" w:hAnsi="Arial"/>
                <w:b/>
                <w:color w:val="FFFFFF"/>
                <w:sz w:val="19"/>
              </w:rPr>
              <w:t>DBMS Protection Scope &amp; Function</w:t>
            </w:r>
          </w:p>
        </w:tc>
      </w:tr>
      <w:tr>
        <w:tc>
          <w:tcPr>
            <w:tcW w:type="dxa" w:w="2304"/>
            <w:shd w:fill="FFFFFF"/>
            <w:tcMar>
              <w:top w:w="80" w:type="dxa"/>
              <w:bottom w:w="80" w:type="dxa"/>
              <w:left w:w="120" w:type="dxa"/>
              <w:right w:w="120" w:type="dxa"/>
            </w:tcMar>
            <w:tcBorders>
              <w:top w:val="single" w:sz="4" w:space="0" w:color="CBD5E1"/>
              <w:left w:val="none"/>
              <w:bottom w:val="single" w:sz="4" w:space="0" w:color="CBD5E1"/>
              <w:right w:val="none"/>
            </w:tcBorders>
          </w:tcPr>
          <w:p>
            <w:pPr>
              <w:spacing w:before="0" w:after="0"/>
            </w:pPr>
            <w:r>
              <w:rPr>
                <w:rFonts w:ascii="Calibri" w:hAnsi="Calibri"/>
                <w:color w:val="1E293B"/>
                <w:sz w:val="19"/>
              </w:rPr>
              <w:t>Tier 1: Express Rate Limiting</w:t>
            </w:r>
          </w:p>
        </w:tc>
        <w:tc>
          <w:tcPr>
            <w:tcW w:type="dxa" w:w="2592"/>
            <w:shd w:fill="FFFFFF"/>
            <w:tcMar>
              <w:top w:w="80" w:type="dxa"/>
              <w:bottom w:w="80" w:type="dxa"/>
              <w:left w:w="120" w:type="dxa"/>
              <w:right w:w="120" w:type="dxa"/>
            </w:tcMar>
            <w:tcBorders>
              <w:top w:val="single" w:sz="4" w:space="0" w:color="CBD5E1"/>
              <w:left w:val="none"/>
              <w:bottom w:val="single" w:sz="4" w:space="0" w:color="CBD5E1"/>
              <w:right w:val="none"/>
            </w:tcBorders>
          </w:tcPr>
          <w:p>
            <w:pPr>
              <w:spacing w:before="0" w:after="0"/>
            </w:pPr>
            <w:r>
              <w:rPr>
                <w:rFonts w:ascii="Calibri" w:hAnsi="Calibri"/>
                <w:color w:val="1E293B"/>
                <w:sz w:val="19"/>
              </w:rPr>
              <w:t>Express Middleware (`express-rate-limit`)</w:t>
            </w:r>
          </w:p>
        </w:tc>
        <w:tc>
          <w:tcPr>
            <w:tcW w:type="dxa" w:w="4464"/>
            <w:shd w:fill="FFFFFF"/>
            <w:tcMar>
              <w:top w:w="80" w:type="dxa"/>
              <w:bottom w:w="80" w:type="dxa"/>
              <w:left w:w="120" w:type="dxa"/>
              <w:right w:w="120" w:type="dxa"/>
            </w:tcMar>
            <w:tcBorders>
              <w:top w:val="single" w:sz="4" w:space="0" w:color="CBD5E1"/>
              <w:left w:val="none"/>
              <w:bottom w:val="single" w:sz="4" w:space="0" w:color="CBD5E1"/>
              <w:right w:val="none"/>
            </w:tcBorders>
          </w:tcPr>
          <w:p>
            <w:pPr>
              <w:spacing w:before="0" w:after="0"/>
            </w:pPr>
            <w:r>
              <w:rPr>
                <w:rFonts w:ascii="Calibri" w:hAnsi="Calibri"/>
                <w:color w:val="1E293B"/>
                <w:sz w:val="19"/>
              </w:rPr>
              <w:t>Protects Server &amp; Network. Limits any single client IP to a maximum of 10 booking requests per 5 minutes, preventing automated bots and brute-force DDoS flooding.</w:t>
            </w:r>
          </w:p>
        </w:tc>
      </w:tr>
      <w:tr>
        <w:tc>
          <w:tcPr>
            <w:tcW w:type="dxa" w:w="2304"/>
            <w:shd w:fill="F8FAFC"/>
            <w:tcMar>
              <w:top w:w="80" w:type="dxa"/>
              <w:bottom w:w="80" w:type="dxa"/>
              <w:left w:w="120" w:type="dxa"/>
              <w:right w:w="120" w:type="dxa"/>
            </w:tcMar>
            <w:tcBorders>
              <w:top w:val="single" w:sz="4" w:space="0" w:color="CBD5E1"/>
              <w:left w:val="none"/>
              <w:bottom w:val="single" w:sz="4" w:space="0" w:color="CBD5E1"/>
              <w:right w:val="none"/>
            </w:tcBorders>
          </w:tcPr>
          <w:p>
            <w:pPr>
              <w:spacing w:before="0" w:after="0"/>
            </w:pPr>
            <w:r>
              <w:rPr>
                <w:rFonts w:ascii="Calibri" w:hAnsi="Calibri"/>
                <w:color w:val="1E293B"/>
                <w:sz w:val="19"/>
              </w:rPr>
              <w:t>Tier 2: In-Memory FIFO Queue</w:t>
            </w:r>
          </w:p>
        </w:tc>
        <w:tc>
          <w:tcPr>
            <w:tcW w:type="dxa" w:w="2592"/>
            <w:shd w:fill="F8FAFC"/>
            <w:tcMar>
              <w:top w:w="80" w:type="dxa"/>
              <w:bottom w:w="80" w:type="dxa"/>
              <w:left w:w="120" w:type="dxa"/>
              <w:right w:w="120" w:type="dxa"/>
            </w:tcMar>
            <w:tcBorders>
              <w:top w:val="single" w:sz="4" w:space="0" w:color="CBD5E1"/>
              <w:left w:val="none"/>
              <w:bottom w:val="single" w:sz="4" w:space="0" w:color="CBD5E1"/>
              <w:right w:val="none"/>
            </w:tcBorders>
          </w:tcPr>
          <w:p>
            <w:pPr>
              <w:spacing w:before="0" w:after="0"/>
            </w:pPr>
            <w:r>
              <w:rPr>
                <w:rFonts w:ascii="Calibri" w:hAnsi="Calibri"/>
                <w:color w:val="1E293B"/>
                <w:sz w:val="19"/>
              </w:rPr>
              <w:t>Queue Service (`p-queue`)</w:t>
            </w:r>
          </w:p>
        </w:tc>
        <w:tc>
          <w:tcPr>
            <w:tcW w:type="dxa" w:w="4464"/>
            <w:shd w:fill="F8FAFC"/>
            <w:tcMar>
              <w:top w:w="80" w:type="dxa"/>
              <w:bottom w:w="80" w:type="dxa"/>
              <w:left w:w="120" w:type="dxa"/>
              <w:right w:w="120" w:type="dxa"/>
            </w:tcMar>
            <w:tcBorders>
              <w:top w:val="single" w:sz="4" w:space="0" w:color="CBD5E1"/>
              <w:left w:val="none"/>
              <w:bottom w:val="single" w:sz="4" w:space="0" w:color="CBD5E1"/>
              <w:right w:val="none"/>
            </w:tcBorders>
          </w:tcPr>
          <w:p>
            <w:pPr>
              <w:spacing w:before="0" w:after="0"/>
            </w:pPr>
            <w:r>
              <w:rPr>
                <w:rFonts w:ascii="Calibri" w:hAnsi="Calibri"/>
                <w:color w:val="1E293B"/>
                <w:sz w:val="19"/>
              </w:rPr>
              <w:t>Protects Database against Deadlocks. Organizes incoming requests targeting the SAME `ShowID` into a serialized FIFO queue with `concurrency: 1`. Eliminates high-volume lock contention.</w:t>
            </w:r>
          </w:p>
        </w:tc>
      </w:tr>
      <w:tr>
        <w:tc>
          <w:tcPr>
            <w:tcW w:type="dxa" w:w="2304"/>
            <w:shd w:fill="FFFFFF"/>
            <w:tcMar>
              <w:top w:w="80" w:type="dxa"/>
              <w:bottom w:w="80" w:type="dxa"/>
              <w:left w:w="120" w:type="dxa"/>
              <w:right w:w="120" w:type="dxa"/>
            </w:tcMar>
            <w:tcBorders>
              <w:top w:val="single" w:sz="4" w:space="0" w:color="CBD5E1"/>
              <w:left w:val="none"/>
              <w:bottom w:val="single" w:sz="4" w:space="0" w:color="CBD5E1"/>
              <w:right w:val="none"/>
            </w:tcBorders>
          </w:tcPr>
          <w:p>
            <w:pPr>
              <w:spacing w:before="0" w:after="0"/>
            </w:pPr>
            <w:r>
              <w:rPr>
                <w:rFonts w:ascii="Calibri" w:hAnsi="Calibri"/>
                <w:color w:val="1E293B"/>
                <w:sz w:val="19"/>
              </w:rPr>
              <w:t>Tier 3: MySQL Row-Level Locking</w:t>
            </w:r>
          </w:p>
        </w:tc>
        <w:tc>
          <w:tcPr>
            <w:tcW w:type="dxa" w:w="2592"/>
            <w:shd w:fill="FFFFFF"/>
            <w:tcMar>
              <w:top w:w="80" w:type="dxa"/>
              <w:bottom w:w="80" w:type="dxa"/>
              <w:left w:w="120" w:type="dxa"/>
              <w:right w:w="120" w:type="dxa"/>
            </w:tcMar>
            <w:tcBorders>
              <w:top w:val="single" w:sz="4" w:space="0" w:color="CBD5E1"/>
              <w:left w:val="none"/>
              <w:bottom w:val="single" w:sz="4" w:space="0" w:color="CBD5E1"/>
              <w:right w:val="none"/>
            </w:tcBorders>
          </w:tcPr>
          <w:p>
            <w:pPr>
              <w:spacing w:before="0" w:after="0"/>
            </w:pPr>
            <w:r>
              <w:rPr>
                <w:rFonts w:ascii="Calibri" w:hAnsi="Calibri"/>
                <w:color w:val="1E293B"/>
                <w:sz w:val="19"/>
              </w:rPr>
              <w:t>InnoDB Transaction (`SELECT ... FOR UPDATE`)</w:t>
            </w:r>
          </w:p>
        </w:tc>
        <w:tc>
          <w:tcPr>
            <w:tcW w:type="dxa" w:w="4464"/>
            <w:shd w:fill="FFFFFF"/>
            <w:tcMar>
              <w:top w:w="80" w:type="dxa"/>
              <w:bottom w:w="80" w:type="dxa"/>
              <w:left w:w="120" w:type="dxa"/>
              <w:right w:w="120" w:type="dxa"/>
            </w:tcMar>
            <w:tcBorders>
              <w:top w:val="single" w:sz="4" w:space="0" w:color="CBD5E1"/>
              <w:left w:val="none"/>
              <w:bottom w:val="single" w:sz="4" w:space="0" w:color="CBD5E1"/>
              <w:right w:val="none"/>
            </w:tcBorders>
          </w:tcPr>
          <w:p>
            <w:pPr>
              <w:spacing w:before="0" w:after="0"/>
            </w:pPr>
            <w:r>
              <w:rPr>
                <w:rFonts w:ascii="Calibri" w:hAnsi="Calibri"/>
                <w:color w:val="1E293B"/>
                <w:sz w:val="19"/>
              </w:rPr>
              <w:t>Protects Data Integrity. Locks the requested seat rows exclusively. Forces concurrent transactions attempting to read/write the same seats to block until the holding transaction commits or rolls back.</w:t>
            </w:r>
          </w:p>
        </w:tc>
      </w:tr>
      <w:tr>
        <w:tc>
          <w:tcPr>
            <w:tcW w:type="dxa" w:w="2304"/>
            <w:shd w:fill="F8FAFC"/>
            <w:tcMar>
              <w:top w:w="80" w:type="dxa"/>
              <w:bottom w:w="80" w:type="dxa"/>
              <w:left w:w="120" w:type="dxa"/>
              <w:right w:w="120" w:type="dxa"/>
            </w:tcMar>
            <w:tcBorders>
              <w:top w:val="single" w:sz="4" w:space="0" w:color="CBD5E1"/>
              <w:left w:val="none"/>
              <w:bottom w:val="single" w:sz="4" w:space="0" w:color="CBD5E1"/>
              <w:right w:val="none"/>
            </w:tcBorders>
          </w:tcPr>
          <w:p>
            <w:pPr>
              <w:spacing w:before="0" w:after="0"/>
            </w:pPr>
            <w:r>
              <w:rPr>
                <w:rFonts w:ascii="Calibri" w:hAnsi="Calibri"/>
                <w:color w:val="1E293B"/>
                <w:sz w:val="19"/>
              </w:rPr>
              <w:t>Fail-Safe: Composite Constraint</w:t>
            </w:r>
          </w:p>
        </w:tc>
        <w:tc>
          <w:tcPr>
            <w:tcW w:type="dxa" w:w="2592"/>
            <w:shd w:fill="F8FAFC"/>
            <w:tcMar>
              <w:top w:w="80" w:type="dxa"/>
              <w:bottom w:w="80" w:type="dxa"/>
              <w:left w:w="120" w:type="dxa"/>
              <w:right w:w="120" w:type="dxa"/>
            </w:tcMar>
            <w:tcBorders>
              <w:top w:val="single" w:sz="4" w:space="0" w:color="CBD5E1"/>
              <w:left w:val="none"/>
              <w:bottom w:val="single" w:sz="4" w:space="0" w:color="CBD5E1"/>
              <w:right w:val="none"/>
            </w:tcBorders>
          </w:tcPr>
          <w:p>
            <w:pPr>
              <w:spacing w:before="0" w:after="0"/>
            </w:pPr>
            <w:r>
              <w:rPr>
                <w:rFonts w:ascii="Calibri" w:hAnsi="Calibri"/>
                <w:color w:val="1E293B"/>
                <w:sz w:val="19"/>
              </w:rPr>
              <w:t>DDL Table Constraint (`UNIQUE(ShowID, SeatID)`)</w:t>
            </w:r>
          </w:p>
        </w:tc>
        <w:tc>
          <w:tcPr>
            <w:tcW w:type="dxa" w:w="4464"/>
            <w:shd w:fill="F8FAFC"/>
            <w:tcMar>
              <w:top w:w="80" w:type="dxa"/>
              <w:bottom w:w="80" w:type="dxa"/>
              <w:left w:w="120" w:type="dxa"/>
              <w:right w:w="120" w:type="dxa"/>
            </w:tcMar>
            <w:tcBorders>
              <w:top w:val="single" w:sz="4" w:space="0" w:color="CBD5E1"/>
              <w:left w:val="none"/>
              <w:bottom w:val="single" w:sz="4" w:space="0" w:color="CBD5E1"/>
              <w:right w:val="none"/>
            </w:tcBorders>
          </w:tcPr>
          <w:p>
            <w:pPr>
              <w:spacing w:before="0" w:after="0"/>
            </w:pPr>
            <w:r>
              <w:rPr>
                <w:rFonts w:ascii="Calibri" w:hAnsi="Calibri"/>
                <w:color w:val="1E293B"/>
                <w:sz w:val="19"/>
              </w:rPr>
              <w:t>The Final Immovable Barrier. Even if application logic fails, MySQL kernel rejects duplicate insertions with an `ER_DUP_ENTRY` error (MySQL Error Code 1062).</w:t>
            </w:r>
          </w:p>
        </w:tc>
      </w:tr>
    </w:tbl>
    <w:p>
      <w:pPr>
        <w:spacing w:after="120"/>
      </w:pPr>
    </w:p>
    <w:p>
      <w:pPr>
        <w:keepNext/>
        <w:spacing w:before="280" w:after="120"/>
      </w:pPr>
      <w:r>
        <w:rPr>
          <w:rFonts w:ascii="Arial" w:hAnsi="Arial"/>
          <w:b/>
          <w:color w:val="831843"/>
          <w:sz w:val="28"/>
        </w:rPr>
        <w:t>6.3 Detailed Code Analysis: The Transaction Workflow</w:t>
      </w:r>
    </w:p>
    <w:p>
      <w:pPr>
        <w:spacing w:before="0" w:after="120" w:line="276" w:lineRule="auto"/>
      </w:pPr>
      <w:r>
        <w:rPr>
          <w:rFonts w:ascii="Calibri" w:hAnsi="Calibri"/>
          <w:i w:val="0"/>
          <w:color w:val="1E293B"/>
          <w:sz w:val="22"/>
        </w:rPr>
        <w:t>The core transaction logic is encapsulated in `backend/src/services/bookingService.js`. Here is how the sequence unfolds:</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top w:val="none"/>
              <w:left w:val="single" w:sz="24" w:space="0" w:color="0F172A"/>
              <w:bottom w:val="none"/>
              <w:right w:val="none"/>
            </w:tcBorders>
          </w:tcPr>
          <w:p>
            <w:pPr>
              <w:spacing w:before="0" w:after="0" w:line="252" w:lineRule="auto"/>
            </w:pPr>
            <w:r>
              <w:rPr>
                <w:rFonts w:ascii="Consolas" w:hAnsi="Consolas"/>
                <w:b/>
                <w:color w:val="831843"/>
                <w:sz w:val="17"/>
              </w:rPr>
              <w:t>[JAVASCRIPT + SQL]</w:t>
              <w:br/>
            </w:r>
            <w:r>
              <w:rPr>
                <w:rFonts w:ascii="Consolas" w:hAnsi="Consolas"/>
                <w:color w:val="0F172A"/>
                <w:sz w:val="19"/>
              </w:rPr>
              <w:t>// Step 1: Acquire exclusive connection from the pool and start atomic transaction</w:t>
              <w:br/>
              <w:t>const connection = await pool.getConnection();</w:t>
              <w:br/>
              <w:t>await connection.beginTransaction();</w:t>
              <w:br/>
              <w:br/>
              <w:t>// Step 2: Shared lock on Show (ensures show schedule is not modified during booking)</w:t>
              <w:br/>
              <w:t>const [shows] = await connection.query(</w:t>
              <w:br/>
              <w:t xml:space="preserve">    'SELECT * FROM `SHOW` WHERE ShowID = ? FOR SHARE', </w:t>
              <w:br/>
              <w:t xml:space="preserve">    [showId]</w:t>
              <w:br/>
              <w:t>);</w:t>
              <w:br/>
              <w:br/>
              <w:t>// Step 3: CRUCIAL: Exclusive Row-Level Lock on requested seats</w:t>
              <w:br/>
              <w:t>// Any concurrent transaction attempting to select these seats FOR UPDATE will wait</w:t>
              <w:br/>
              <w:t>const [seats] = await connection.query(</w:t>
              <w:br/>
              <w:t xml:space="preserve">    'SELECT SeatID, SeatType FROM SEAT WHERE SeatID IN (?) AND ScreenID = ? FOR UPDATE',</w:t>
              <w:br/>
              <w:t xml:space="preserve">    [seatIds, show.ScreenID]</w:t>
              <w:br/>
              <w:t>);</w:t>
              <w:br/>
              <w:br/>
              <w:t>// Step 4: Verify that none of the seats are currently assigned to an active booking for this show</w:t>
              <w:br/>
              <w:t>const [existingBookings] = await connection.query(</w:t>
              <w:br/>
              <w:t xml:space="preserve">    'SELECT SeatID FROM BOOKING_SEAT WHERE ShowID = ? AND SeatID IN (?)',</w:t>
              <w:br/>
              <w:t xml:space="preserve">    [showId, seatIds]</w:t>
              <w:br/>
              <w:t>);</w:t>
              <w:br/>
              <w:t>if (existingBookings.length &gt; 0) {</w:t>
              <w:br/>
              <w:t xml:space="preserve">    throw new Error('SEAT_UNAVAILABLE'); // Triggers rollback</w:t>
              <w:br/>
              <w:t>}</w:t>
              <w:br/>
              <w:br/>
              <w:t>// Step 5: Insert Booking Header</w:t>
              <w:br/>
              <w:t>const [bookingResult] = await connection.query(</w:t>
              <w:br/>
              <w:t xml:space="preserve">    'INSERT INTO BOOKING (TotalAmount, Status, CustomerID, ShowID) VALUES (?, ?, ?, ?)',</w:t>
              <w:br/>
              <w:t xml:space="preserve">    [totalAmount, 'PENDING', customerId, showId]</w:t>
              <w:br/>
              <w:t>);</w:t>
              <w:br/>
              <w:t>const bookingId = bookingResult.insertId;</w:t>
              <w:br/>
              <w:br/>
              <w:t>// Step 6: Insert into Junction Table (UNIQUE constraint guards here)</w:t>
              <w:br/>
              <w:t>const bookingSeatValues = seatIds.map(seatId =&gt; [bookingId, showId, seatId]);</w:t>
              <w:br/>
              <w:t>await connection.query(</w:t>
              <w:br/>
              <w:t xml:space="preserve">    'INSERT INTO BOOKING_SEAT (BookingID, ShowID, SeatID) VALUES ?',</w:t>
              <w:br/>
              <w:t xml:space="preserve">    [bookingSeatValues]</w:t>
              <w:br/>
              <w:t>);</w:t>
              <w:br/>
              <w:br/>
              <w:t>// Step 7: Settle Payment &amp; Update Status</w:t>
              <w:br/>
              <w:t>await connection.query(</w:t>
              <w:br/>
              <w:t xml:space="preserve">    'INSERT INTO PAYMENT (Amount, PaymentMode, PaymentStatus, BookingID) VALUES (?, ?, ?, ?)',</w:t>
              <w:br/>
              <w:t xml:space="preserve">    [totalAmount, paymentMode || 'UPI', 'SUCCESS', bookingId]</w:t>
              <w:br/>
              <w:t>);</w:t>
              <w:br/>
              <w:t>await connection.query('UPDATE BOOKING SET Status = ? WHERE BookingID = ?', ['CONFIRMED', bookingId]);</w:t>
              <w:br/>
              <w:br/>
              <w:t>// Step 8: Commit atomically, releasing all row locks</w:t>
              <w:br/>
              <w:t>await connection.commit();</w:t>
            </w:r>
          </w:p>
        </w:tc>
      </w:tr>
    </w:tbl>
    <w:p>
      <w:pPr>
        <w:spacing w:after="80"/>
      </w:pPr>
    </w:p>
    <w:p>
      <w:pPr>
        <w:keepNext/>
        <w:spacing w:before="440" w:after="160"/>
      </w:pPr>
      <w:r>
        <w:rPr>
          <w:rFonts w:ascii="Arial" w:hAnsi="Arial"/>
          <w:b/>
          <w:color w:val="0F172A"/>
          <w:sz w:val="36"/>
        </w:rPr>
        <w:t>7. ACID Properties in CineTicket</w:t>
      </w:r>
    </w:p>
    <w:p>
      <w:pPr>
        <w:spacing w:before="0" w:after="120" w:line="276" w:lineRule="auto"/>
      </w:pPr>
      <w:r>
        <w:rPr>
          <w:rFonts w:ascii="Calibri" w:hAnsi="Calibri"/>
          <w:i w:val="0"/>
          <w:color w:val="1E293B"/>
          <w:sz w:val="22"/>
        </w:rPr>
        <w:t>Every database review features questions on ACID properties. Here is how CineTicket rigorously implements all four pillars:</w:t>
      </w:r>
    </w:p>
    <w:tbl>
      <w:tblPr>
        <w:tblW w:type="auto" w:w="0"/>
        <w:jc w:val="center"/>
        <w:tblLayout w:type="fixed"/>
        <w:tblLook w:firstColumn="1" w:firstRow="1" w:lastColumn="0" w:lastRow="0" w:noHBand="0" w:noVBand="1" w:val="04A0"/>
      </w:tblPr>
      <w:tblGrid>
        <w:gridCol w:w="4680"/>
        <w:gridCol w:w="4680"/>
      </w:tblGrid>
      <w:tr>
        <w:tc>
          <w:tcPr>
            <w:tcW w:type="dxa" w:w="2592"/>
            <w:shd w:fill="0F172A"/>
            <w:tcMar>
              <w:top w:w="100" w:type="dxa"/>
              <w:bottom w:w="100" w:type="dxa"/>
              <w:left w:w="120" w:type="dxa"/>
              <w:right w:w="120" w:type="dxa"/>
            </w:tcMar>
          </w:tcPr>
          <w:p>
            <w:pPr>
              <w:spacing w:before="0" w:after="0"/>
            </w:pPr>
            <w:r>
              <w:rPr>
                <w:rFonts w:ascii="Arial" w:hAnsi="Arial"/>
                <w:b/>
                <w:color w:val="FFFFFF"/>
                <w:sz w:val="19"/>
              </w:rPr>
              <w:t>ACID Property</w:t>
            </w:r>
          </w:p>
        </w:tc>
        <w:tc>
          <w:tcPr>
            <w:tcW w:type="dxa" w:w="6768"/>
            <w:shd w:fill="0F172A"/>
            <w:tcMar>
              <w:top w:w="100" w:type="dxa"/>
              <w:bottom w:w="100" w:type="dxa"/>
              <w:left w:w="120" w:type="dxa"/>
              <w:right w:w="120" w:type="dxa"/>
            </w:tcMar>
          </w:tcPr>
          <w:p>
            <w:pPr>
              <w:spacing w:before="0" w:after="0"/>
            </w:pPr>
            <w:r>
              <w:rPr>
                <w:rFonts w:ascii="Arial" w:hAnsi="Arial"/>
                <w:b/>
                <w:color w:val="FFFFFF"/>
                <w:sz w:val="19"/>
              </w:rPr>
              <w:t>Concrete Implementation in CineTicket</w:t>
            </w:r>
          </w:p>
        </w:tc>
      </w:tr>
      <w:tr>
        <w:tc>
          <w:tcPr>
            <w:tcW w:type="dxa" w:w="2592"/>
            <w:shd w:fill="FFFFFF"/>
            <w:tcMar>
              <w:top w:w="80" w:type="dxa"/>
              <w:bottom w:w="80" w:type="dxa"/>
              <w:left w:w="120" w:type="dxa"/>
              <w:right w:w="120" w:type="dxa"/>
            </w:tcMar>
            <w:tcBorders>
              <w:top w:val="single" w:sz="4" w:space="0" w:color="CBD5E1"/>
              <w:left w:val="none"/>
              <w:bottom w:val="single" w:sz="4" w:space="0" w:color="CBD5E1"/>
              <w:right w:val="none"/>
            </w:tcBorders>
          </w:tcPr>
          <w:p>
            <w:pPr>
              <w:spacing w:before="0" w:after="0"/>
            </w:pPr>
            <w:r>
              <w:rPr>
                <w:rFonts w:ascii="Calibri" w:hAnsi="Calibri"/>
                <w:color w:val="1E293B"/>
                <w:sz w:val="19"/>
              </w:rPr>
              <w:t>Atomicity (All-or-Nothing)</w:t>
            </w:r>
          </w:p>
        </w:tc>
        <w:tc>
          <w:tcPr>
            <w:tcW w:type="dxa" w:w="6768"/>
            <w:shd w:fill="FFFFFF"/>
            <w:tcMar>
              <w:top w:w="80" w:type="dxa"/>
              <w:bottom w:w="80" w:type="dxa"/>
              <w:left w:w="120" w:type="dxa"/>
              <w:right w:w="120" w:type="dxa"/>
            </w:tcMar>
            <w:tcBorders>
              <w:top w:val="single" w:sz="4" w:space="0" w:color="CBD5E1"/>
              <w:left w:val="none"/>
              <w:bottom w:val="single" w:sz="4" w:space="0" w:color="CBD5E1"/>
              <w:right w:val="none"/>
            </w:tcBorders>
          </w:tcPr>
          <w:p>
            <w:pPr>
              <w:spacing w:before="0" w:after="0"/>
            </w:pPr>
            <w:r>
              <w:rPr>
                <w:rFonts w:ascii="Calibri" w:hAnsi="Calibri"/>
                <w:color w:val="1E293B"/>
                <w:sz w:val="19"/>
              </w:rPr>
              <w:t>A ticket booking involves 4 distinct SQL writes: inserting BOOKING, inserting line items into BOOKING_SEAT, recording PAYMENT, and updating status to CONFIRMED. If any failure occurs (e.g., payment gateway error, duplicate seat constraint), the `catch` block invokes `connection.rollback()`. Zero partial bookings can ever exist.</w:t>
            </w:r>
          </w:p>
        </w:tc>
      </w:tr>
      <w:tr>
        <w:tc>
          <w:tcPr>
            <w:tcW w:type="dxa" w:w="2592"/>
            <w:shd w:fill="F8FAFC"/>
            <w:tcMar>
              <w:top w:w="80" w:type="dxa"/>
              <w:bottom w:w="80" w:type="dxa"/>
              <w:left w:w="120" w:type="dxa"/>
              <w:right w:w="120" w:type="dxa"/>
            </w:tcMar>
            <w:tcBorders>
              <w:top w:val="single" w:sz="4" w:space="0" w:color="CBD5E1"/>
              <w:left w:val="none"/>
              <w:bottom w:val="single" w:sz="4" w:space="0" w:color="CBD5E1"/>
              <w:right w:val="none"/>
            </w:tcBorders>
          </w:tcPr>
          <w:p>
            <w:pPr>
              <w:spacing w:before="0" w:after="0"/>
            </w:pPr>
            <w:r>
              <w:rPr>
                <w:rFonts w:ascii="Calibri" w:hAnsi="Calibri"/>
                <w:color w:val="1E293B"/>
                <w:sz w:val="19"/>
              </w:rPr>
              <w:t>Consistency (Rule Enforcement)</w:t>
            </w:r>
          </w:p>
        </w:tc>
        <w:tc>
          <w:tcPr>
            <w:tcW w:type="dxa" w:w="6768"/>
            <w:shd w:fill="F8FAFC"/>
            <w:tcMar>
              <w:top w:w="80" w:type="dxa"/>
              <w:bottom w:w="80" w:type="dxa"/>
              <w:left w:w="120" w:type="dxa"/>
              <w:right w:w="120" w:type="dxa"/>
            </w:tcMar>
            <w:tcBorders>
              <w:top w:val="single" w:sz="4" w:space="0" w:color="CBD5E1"/>
              <w:left w:val="none"/>
              <w:bottom w:val="single" w:sz="4" w:space="0" w:color="CBD5E1"/>
              <w:right w:val="none"/>
            </w:tcBorders>
          </w:tcPr>
          <w:p>
            <w:pPr>
              <w:spacing w:before="0" w:after="0"/>
            </w:pPr>
            <w:r>
              <w:rPr>
                <w:rFonts w:ascii="Calibri" w:hAnsi="Calibri"/>
                <w:color w:val="1E293B"/>
                <w:sz w:val="19"/>
              </w:rPr>
              <w:t>Before and after transaction execution, all database invariants remain valid. Foreign keys guarantee seats belong to legitimate screens, CHECK constraints prevent negative sums, and UNIQUE constraints guarantee that total booked seats never exceed auditorium capacity.</w:t>
            </w:r>
          </w:p>
        </w:tc>
      </w:tr>
      <w:tr>
        <w:tc>
          <w:tcPr>
            <w:tcW w:type="dxa" w:w="2592"/>
            <w:shd w:fill="FFFFFF"/>
            <w:tcMar>
              <w:top w:w="80" w:type="dxa"/>
              <w:bottom w:w="80" w:type="dxa"/>
              <w:left w:w="120" w:type="dxa"/>
              <w:right w:w="120" w:type="dxa"/>
            </w:tcMar>
            <w:tcBorders>
              <w:top w:val="single" w:sz="4" w:space="0" w:color="CBD5E1"/>
              <w:left w:val="none"/>
              <w:bottom w:val="single" w:sz="4" w:space="0" w:color="CBD5E1"/>
              <w:right w:val="none"/>
            </w:tcBorders>
          </w:tcPr>
          <w:p>
            <w:pPr>
              <w:spacing w:before="0" w:after="0"/>
            </w:pPr>
            <w:r>
              <w:rPr>
                <w:rFonts w:ascii="Calibri" w:hAnsi="Calibri"/>
                <w:color w:val="1E293B"/>
                <w:sz w:val="19"/>
              </w:rPr>
              <w:t>Isolation (Independent Execution)</w:t>
            </w:r>
          </w:p>
        </w:tc>
        <w:tc>
          <w:tcPr>
            <w:tcW w:type="dxa" w:w="6768"/>
            <w:shd w:fill="FFFFFF"/>
            <w:tcMar>
              <w:top w:w="80" w:type="dxa"/>
              <w:bottom w:w="80" w:type="dxa"/>
              <w:left w:w="120" w:type="dxa"/>
              <w:right w:w="120" w:type="dxa"/>
            </w:tcMar>
            <w:tcBorders>
              <w:top w:val="single" w:sz="4" w:space="0" w:color="CBD5E1"/>
              <w:left w:val="none"/>
              <w:bottom w:val="single" w:sz="4" w:space="0" w:color="CBD5E1"/>
              <w:right w:val="none"/>
            </w:tcBorders>
          </w:tcPr>
          <w:p>
            <w:pPr>
              <w:spacing w:before="0" w:after="0"/>
            </w:pPr>
            <w:r>
              <w:rPr>
                <w:rFonts w:ascii="Calibri" w:hAnsi="Calibri"/>
                <w:color w:val="1E293B"/>
                <w:sz w:val="19"/>
              </w:rPr>
              <w:t>MySQL InnoDB defaults to REPEATABLE READ isolation. By explicitly pairing it with `SELECT ... FOR UPDATE`, CineTicket creates an exclusive locking environment. Transaction T2 cannot read or modify the rows locked by T1 until T1 reaches COMMIT or ROLLBACK.</w:t>
            </w:r>
          </w:p>
        </w:tc>
      </w:tr>
      <w:tr>
        <w:tc>
          <w:tcPr>
            <w:tcW w:type="dxa" w:w="2592"/>
            <w:shd w:fill="F8FAFC"/>
            <w:tcMar>
              <w:top w:w="80" w:type="dxa"/>
              <w:bottom w:w="80" w:type="dxa"/>
              <w:left w:w="120" w:type="dxa"/>
              <w:right w:w="120" w:type="dxa"/>
            </w:tcMar>
            <w:tcBorders>
              <w:top w:val="single" w:sz="4" w:space="0" w:color="CBD5E1"/>
              <w:left w:val="none"/>
              <w:bottom w:val="single" w:sz="4" w:space="0" w:color="CBD5E1"/>
              <w:right w:val="none"/>
            </w:tcBorders>
          </w:tcPr>
          <w:p>
            <w:pPr>
              <w:spacing w:before="0" w:after="0"/>
            </w:pPr>
            <w:r>
              <w:rPr>
                <w:rFonts w:ascii="Calibri" w:hAnsi="Calibri"/>
                <w:color w:val="1E293B"/>
                <w:sz w:val="19"/>
              </w:rPr>
              <w:t>Durability (Permanent Storage)</w:t>
            </w:r>
          </w:p>
        </w:tc>
        <w:tc>
          <w:tcPr>
            <w:tcW w:type="dxa" w:w="6768"/>
            <w:shd w:fill="F8FAFC"/>
            <w:tcMar>
              <w:top w:w="80" w:type="dxa"/>
              <w:bottom w:w="80" w:type="dxa"/>
              <w:left w:w="120" w:type="dxa"/>
              <w:right w:w="120" w:type="dxa"/>
            </w:tcMar>
            <w:tcBorders>
              <w:top w:val="single" w:sz="4" w:space="0" w:color="CBD5E1"/>
              <w:left w:val="none"/>
              <w:bottom w:val="single" w:sz="4" w:space="0" w:color="CBD5E1"/>
              <w:right w:val="none"/>
            </w:tcBorders>
          </w:tcPr>
          <w:p>
            <w:pPr>
              <w:spacing w:before="0" w:after="0"/>
            </w:pPr>
            <w:r>
              <w:rPr>
                <w:rFonts w:ascii="Calibri" w:hAnsi="Calibri"/>
                <w:color w:val="1E293B"/>
                <w:sz w:val="19"/>
              </w:rPr>
              <w:t>Once `connection.commit()` resolves, InnoDB writes all transaction logs to non-volatile disk storage via the Write-Ahead Log (WAL / Redo Log). Even in the event of an abrupt power outage or server crash, committed bookings persist.</w:t>
            </w:r>
          </w:p>
        </w:tc>
      </w:tr>
    </w:tbl>
    <w:p>
      <w:pPr>
        <w:spacing w:after="120"/>
      </w:pPr>
    </w:p>
    <w:p>
      <w:pPr>
        <w:keepNext/>
        <w:spacing w:before="440" w:after="160"/>
      </w:pPr>
      <w:r>
        <w:rPr>
          <w:rFonts w:ascii="Arial" w:hAnsi="Arial"/>
          <w:b/>
          <w:color w:val="0F172A"/>
          <w:sz w:val="36"/>
        </w:rPr>
        <w:t>8. Advanced SQL Features &amp; Database Views</w:t>
      </w:r>
    </w:p>
    <w:p>
      <w:pPr>
        <w:spacing w:before="0" w:after="120" w:line="276" w:lineRule="auto"/>
      </w:pPr>
      <w:r>
        <w:rPr>
          <w:rFonts w:ascii="Calibri" w:hAnsi="Calibri"/>
          <w:i w:val="0"/>
          <w:color w:val="1E293B"/>
          <w:sz w:val="22"/>
        </w:rPr>
        <w:t>A Database View is a virtual table defined by an underlying SQL query. Rather than duplicating availability data or running complex queries repeatedly across controllers, CineTicket encapsulates seat computation inside `view_show_seats`.</w:t>
      </w:r>
    </w:p>
    <w:p>
      <w:pPr>
        <w:keepNext/>
        <w:spacing w:before="280" w:after="120"/>
      </w:pPr>
      <w:r>
        <w:rPr>
          <w:rFonts w:ascii="Arial" w:hAnsi="Arial"/>
          <w:b/>
          <w:color w:val="831843"/>
          <w:sz w:val="28"/>
        </w:rPr>
        <w:t>8.1 The Seat Availability View Definition</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top w:val="none"/>
              <w:left w:val="single" w:sz="24" w:space="0" w:color="0F172A"/>
              <w:bottom w:val="none"/>
              <w:right w:val="none"/>
            </w:tcBorders>
          </w:tcPr>
          <w:p>
            <w:pPr>
              <w:spacing w:before="0" w:after="0" w:line="252" w:lineRule="auto"/>
            </w:pPr>
            <w:r>
              <w:rPr>
                <w:rFonts w:ascii="Consolas" w:hAnsi="Consolas"/>
                <w:b/>
                <w:color w:val="831843"/>
                <w:sz w:val="17"/>
              </w:rPr>
              <w:t>[SQL DDL]</w:t>
              <w:br/>
            </w:r>
            <w:r>
              <w:rPr>
                <w:rFonts w:ascii="Consolas" w:hAnsi="Consolas"/>
                <w:color w:val="0F172A"/>
                <w:sz w:val="19"/>
              </w:rPr>
              <w:t>-- backend/sql/schema.sql</w:t>
              <w:br/>
              <w:t>CREATE OR REPLACE VIEW view_show_seats AS</w:t>
              <w:br/>
              <w:t xml:space="preserve">SELECT </w:t>
              <w:br/>
              <w:t xml:space="preserve">    s.SeatID,</w:t>
              <w:br/>
              <w:t xml:space="preserve">    s.SeatNumber,</w:t>
              <w:br/>
              <w:t xml:space="preserve">    s.SeatType,</w:t>
              <w:br/>
              <w:t xml:space="preserve">    sh.ShowID,</w:t>
              <w:br/>
              <w:t xml:space="preserve">    sh.Price,</w:t>
              <w:br/>
              <w:t xml:space="preserve">    CASE </w:t>
              <w:br/>
              <w:t xml:space="preserve">        WHEN b.Status = 'CANCELLED' OR b.Status = 'FAILED' THEN 'AVAILABLE'</w:t>
              <w:br/>
              <w:t xml:space="preserve">        WHEN bs.SeatID IS NULL THEN 'AVAILABLE'</w:t>
              <w:br/>
              <w:t xml:space="preserve">        ELSE 'BOOKED'</w:t>
              <w:br/>
              <w:t xml:space="preserve">    END AS Status</w:t>
              <w:br/>
              <w:t>FROM SEAT s</w:t>
              <w:br/>
              <w:t>JOIN `SHOW` sh ON s.ScreenID = sh.ScreenID</w:t>
              <w:br/>
              <w:t>LEFT JOIN BOOKING_SEAT bs ON s.SeatID = bs.SeatID AND sh.ShowID = bs.ShowID</w:t>
              <w:br/>
              <w:t>LEFT JOIN BOOKING b ON bs.BookingID = b.BookingID;</w:t>
            </w:r>
          </w:p>
        </w:tc>
      </w:tr>
    </w:tbl>
    <w:p>
      <w:pPr>
        <w:spacing w:after="80"/>
      </w:pPr>
    </w:p>
    <w:p>
      <w:pPr>
        <w:keepNext/>
        <w:spacing w:before="280" w:after="120"/>
      </w:pPr>
      <w:r>
        <w:rPr>
          <w:rFonts w:ascii="Arial" w:hAnsi="Arial"/>
          <w:b/>
          <w:color w:val="831843"/>
          <w:sz w:val="28"/>
        </w:rPr>
        <w:t>8.2 In-Depth SQL Dissection of the View</w:t>
      </w:r>
    </w:p>
    <w:p>
      <w:pPr>
        <w:pStyle w:val="ListBullet"/>
        <w:spacing w:before="0" w:after="60" w:line="276" w:lineRule="auto"/>
      </w:pPr>
      <w:r>
        <w:rPr>
          <w:rFonts w:ascii="Calibri" w:hAnsi="Calibri"/>
          <w:b/>
          <w:color w:val="0F172A"/>
          <w:sz w:val="22"/>
        </w:rPr>
        <w:t xml:space="preserve">1. The LEFT JOIN Strategy: </w:t>
      </w:r>
      <w:r>
        <w:rPr>
          <w:rFonts w:ascii="Calibri" w:hAnsi="Calibri"/>
          <w:color w:val="1E293B"/>
          <w:sz w:val="22"/>
        </w:rPr>
        <w:t>Why LEFT JOIN is Mandatory: If an `INNER JOIN` were used, MySQL would only return seats that currently exist inside `BOOKING_SEAT` (i.e., booked seats). By performing a `LEFT JOIN` starting from `SEAT s`, every single physical seat in that auditorium is returned.</w:t>
      </w:r>
    </w:p>
    <w:p>
      <w:pPr>
        <w:pStyle w:val="ListBullet"/>
        <w:spacing w:before="0" w:after="60" w:line="276" w:lineRule="auto"/>
      </w:pPr>
      <w:r>
        <w:rPr>
          <w:rFonts w:ascii="Calibri" w:hAnsi="Calibri"/>
          <w:b/>
          <w:color w:val="0F172A"/>
          <w:sz w:val="22"/>
        </w:rPr>
        <w:t xml:space="preserve">2. Dynamic State Derivation: </w:t>
      </w:r>
      <w:r>
        <w:rPr>
          <w:rFonts w:ascii="Calibri" w:hAnsi="Calibri"/>
          <w:color w:val="1E293B"/>
          <w:sz w:val="22"/>
        </w:rPr>
        <w:t>The CASE Expression: Evaluates whether a seat reservation is active. If `bs.SeatID IS NULL`, no customer has reserved that seat for this show yet, so it is labeled 'AVAILABLE'. Furthermore, if a booking was 'CANCELLED' or 'FAILED', the seat is immediately recycled back to 'AVAILABLE'.</w:t>
      </w:r>
    </w:p>
    <w:p>
      <w:pPr>
        <w:pStyle w:val="ListBullet"/>
        <w:spacing w:before="0" w:after="60" w:line="276" w:lineRule="auto"/>
      </w:pPr>
      <w:r>
        <w:rPr>
          <w:rFonts w:ascii="Calibri" w:hAnsi="Calibri"/>
          <w:b/>
          <w:color w:val="0F172A"/>
          <w:sz w:val="22"/>
        </w:rPr>
        <w:t xml:space="preserve">3. Abstraction Advantage: </w:t>
      </w:r>
      <w:r>
        <w:rPr>
          <w:rFonts w:ascii="Calibri" w:hAnsi="Calibri"/>
          <w:color w:val="1E293B"/>
          <w:sz w:val="22"/>
        </w:rPr>
        <w:t>Security &amp; Simplification: The frontend API controller simply queries `SELECT * FROM view_show_seats WHERE ShowID = ?` without needing to know the complex internal relationships between bookings, payments, and seats.</w:t>
      </w:r>
    </w:p>
    <w:p>
      <w:pPr>
        <w:keepNext/>
        <w:spacing w:before="440" w:after="160"/>
      </w:pPr>
      <w:r>
        <w:rPr>
          <w:rFonts w:ascii="Arial" w:hAnsi="Arial"/>
          <w:b/>
          <w:color w:val="0F172A"/>
          <w:sz w:val="36"/>
        </w:rPr>
        <w:t>9. Query Performance &amp; Indexing Strategy</w:t>
      </w:r>
    </w:p>
    <w:p>
      <w:pPr>
        <w:spacing w:before="0" w:after="120" w:line="276" w:lineRule="auto"/>
      </w:pPr>
      <w:r>
        <w:rPr>
          <w:rFonts w:ascii="Calibri" w:hAnsi="Calibri"/>
          <w:i w:val="0"/>
          <w:color w:val="1E293B"/>
          <w:sz w:val="22"/>
        </w:rPr>
        <w:t>Without indexes, a database must perform an expensive Full Table Scan ($O(N)$), inspecting every row on disk to satisfy a `WHERE` or `JOIN` condition. As booking logs grow to hundreds of thousands of records, performance degrades exponentially.</w:t>
      </w:r>
    </w:p>
    <w:p>
      <w:pPr>
        <w:keepNext/>
        <w:spacing w:before="280" w:after="120"/>
      </w:pPr>
      <w:r>
        <w:rPr>
          <w:rFonts w:ascii="Arial" w:hAnsi="Arial"/>
          <w:b/>
          <w:color w:val="831843"/>
          <w:sz w:val="28"/>
        </w:rPr>
        <w:t>9.1 Implemented Indexes in CineTicket</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04"/>
            <w:shd w:fill="0F172A"/>
            <w:tcMar>
              <w:top w:w="100" w:type="dxa"/>
              <w:bottom w:w="100" w:type="dxa"/>
              <w:left w:w="120" w:type="dxa"/>
              <w:right w:w="120" w:type="dxa"/>
            </w:tcMar>
          </w:tcPr>
          <w:p>
            <w:pPr>
              <w:spacing w:before="0" w:after="0"/>
            </w:pPr>
            <w:r>
              <w:rPr>
                <w:rFonts w:ascii="Arial" w:hAnsi="Arial"/>
                <w:b/>
                <w:color w:val="FFFFFF"/>
                <w:sz w:val="19"/>
              </w:rPr>
              <w:t>Index Name</w:t>
            </w:r>
          </w:p>
        </w:tc>
        <w:tc>
          <w:tcPr>
            <w:tcW w:type="dxa" w:w="2592"/>
            <w:shd w:fill="0F172A"/>
            <w:tcMar>
              <w:top w:w="100" w:type="dxa"/>
              <w:bottom w:w="100" w:type="dxa"/>
              <w:left w:w="120" w:type="dxa"/>
              <w:right w:w="120" w:type="dxa"/>
            </w:tcMar>
          </w:tcPr>
          <w:p>
            <w:pPr>
              <w:spacing w:before="0" w:after="0"/>
            </w:pPr>
            <w:r>
              <w:rPr>
                <w:rFonts w:ascii="Arial" w:hAnsi="Arial"/>
                <w:b/>
                <w:color w:val="FFFFFF"/>
                <w:sz w:val="19"/>
              </w:rPr>
              <w:t>Target Table &amp; Column(s)</w:t>
            </w:r>
          </w:p>
        </w:tc>
        <w:tc>
          <w:tcPr>
            <w:tcW w:type="dxa" w:w="1440"/>
            <w:shd w:fill="0F172A"/>
            <w:tcMar>
              <w:top w:w="100" w:type="dxa"/>
              <w:bottom w:w="100" w:type="dxa"/>
              <w:left w:w="120" w:type="dxa"/>
              <w:right w:w="120" w:type="dxa"/>
            </w:tcMar>
          </w:tcPr>
          <w:p>
            <w:pPr>
              <w:spacing w:before="0" w:after="0"/>
            </w:pPr>
            <w:r>
              <w:rPr>
                <w:rFonts w:ascii="Arial" w:hAnsi="Arial"/>
                <w:b/>
                <w:color w:val="FFFFFF"/>
                <w:sz w:val="19"/>
              </w:rPr>
              <w:t>Index Type</w:t>
            </w:r>
          </w:p>
        </w:tc>
        <w:tc>
          <w:tcPr>
            <w:tcW w:type="dxa" w:w="3024"/>
            <w:shd w:fill="0F172A"/>
            <w:tcMar>
              <w:top w:w="100" w:type="dxa"/>
              <w:bottom w:w="100" w:type="dxa"/>
              <w:left w:w="120" w:type="dxa"/>
              <w:right w:w="120" w:type="dxa"/>
            </w:tcMar>
          </w:tcPr>
          <w:p>
            <w:pPr>
              <w:spacing w:before="0" w:after="0"/>
            </w:pPr>
            <w:r>
              <w:rPr>
                <w:rFonts w:ascii="Arial" w:hAnsi="Arial"/>
                <w:b/>
                <w:color w:val="FFFFFF"/>
                <w:sz w:val="19"/>
              </w:rPr>
              <w:t>Optimized Query Path</w:t>
            </w:r>
          </w:p>
        </w:tc>
      </w:tr>
      <w:tr>
        <w:tc>
          <w:tcPr>
            <w:tcW w:type="dxa" w:w="2304"/>
            <w:shd w:fill="FFFFFF"/>
            <w:tcMar>
              <w:top w:w="80" w:type="dxa"/>
              <w:bottom w:w="80" w:type="dxa"/>
              <w:left w:w="120" w:type="dxa"/>
              <w:right w:w="120" w:type="dxa"/>
            </w:tcMar>
            <w:tcBorders>
              <w:top w:val="single" w:sz="4" w:space="0" w:color="CBD5E1"/>
              <w:left w:val="none"/>
              <w:bottom w:val="single" w:sz="4" w:space="0" w:color="CBD5E1"/>
              <w:right w:val="none"/>
            </w:tcBorders>
          </w:tcPr>
          <w:p>
            <w:pPr>
              <w:spacing w:before="0" w:after="0"/>
            </w:pPr>
            <w:r>
              <w:rPr>
                <w:rFonts w:ascii="Calibri" w:hAnsi="Calibri"/>
                <w:color w:val="1E293B"/>
                <w:sz w:val="19"/>
              </w:rPr>
              <w:t>idx_show_movie</w:t>
            </w:r>
          </w:p>
        </w:tc>
        <w:tc>
          <w:tcPr>
            <w:tcW w:type="dxa" w:w="2592"/>
            <w:shd w:fill="FFFFFF"/>
            <w:tcMar>
              <w:top w:w="80" w:type="dxa"/>
              <w:bottom w:w="80" w:type="dxa"/>
              <w:left w:w="120" w:type="dxa"/>
              <w:right w:w="120" w:type="dxa"/>
            </w:tcMar>
            <w:tcBorders>
              <w:top w:val="single" w:sz="4" w:space="0" w:color="CBD5E1"/>
              <w:left w:val="none"/>
              <w:bottom w:val="single" w:sz="4" w:space="0" w:color="CBD5E1"/>
              <w:right w:val="none"/>
            </w:tcBorders>
          </w:tcPr>
          <w:p>
            <w:pPr>
              <w:spacing w:before="0" w:after="0"/>
            </w:pPr>
            <w:r>
              <w:rPr>
                <w:rFonts w:ascii="Calibri" w:hAnsi="Calibri"/>
                <w:color w:val="1E293B"/>
                <w:sz w:val="19"/>
              </w:rPr>
              <w:t>SHOW (MovieID)</w:t>
            </w:r>
          </w:p>
        </w:tc>
        <w:tc>
          <w:tcPr>
            <w:tcW w:type="dxa" w:w="1440"/>
            <w:shd w:fill="FFFFFF"/>
            <w:tcMar>
              <w:top w:w="80" w:type="dxa"/>
              <w:bottom w:w="80" w:type="dxa"/>
              <w:left w:w="120" w:type="dxa"/>
              <w:right w:w="120" w:type="dxa"/>
            </w:tcMar>
            <w:tcBorders>
              <w:top w:val="single" w:sz="4" w:space="0" w:color="CBD5E1"/>
              <w:left w:val="none"/>
              <w:bottom w:val="single" w:sz="4" w:space="0" w:color="CBD5E1"/>
              <w:right w:val="none"/>
            </w:tcBorders>
          </w:tcPr>
          <w:p>
            <w:pPr>
              <w:spacing w:before="0" w:after="0"/>
            </w:pPr>
            <w:r>
              <w:rPr>
                <w:rFonts w:ascii="Calibri" w:hAnsi="Calibri"/>
                <w:color w:val="1E293B"/>
                <w:sz w:val="19"/>
              </w:rPr>
              <w:t>B-Tree</w:t>
            </w:r>
          </w:p>
        </w:tc>
        <w:tc>
          <w:tcPr>
            <w:tcW w:type="dxa" w:w="3024"/>
            <w:shd w:fill="FFFFFF"/>
            <w:tcMar>
              <w:top w:w="80" w:type="dxa"/>
              <w:bottom w:w="80" w:type="dxa"/>
              <w:left w:w="120" w:type="dxa"/>
              <w:right w:w="120" w:type="dxa"/>
            </w:tcMar>
            <w:tcBorders>
              <w:top w:val="single" w:sz="4" w:space="0" w:color="CBD5E1"/>
              <w:left w:val="none"/>
              <w:bottom w:val="single" w:sz="4" w:space="0" w:color="CBD5E1"/>
              <w:right w:val="none"/>
            </w:tcBorders>
          </w:tcPr>
          <w:p>
            <w:pPr>
              <w:spacing w:before="0" w:after="0"/>
            </w:pPr>
            <w:r>
              <w:rPr>
                <w:rFonts w:ascii="Calibri" w:hAnsi="Calibri"/>
                <w:color w:val="1E293B"/>
                <w:sz w:val="19"/>
              </w:rPr>
              <w:t>Accelerates filtering shows for a specific movie: `WHERE MovieID = ?`.</w:t>
            </w:r>
          </w:p>
        </w:tc>
      </w:tr>
      <w:tr>
        <w:tc>
          <w:tcPr>
            <w:tcW w:type="dxa" w:w="2304"/>
            <w:shd w:fill="F8FAFC"/>
            <w:tcMar>
              <w:top w:w="80" w:type="dxa"/>
              <w:bottom w:w="80" w:type="dxa"/>
              <w:left w:w="120" w:type="dxa"/>
              <w:right w:w="120" w:type="dxa"/>
            </w:tcMar>
            <w:tcBorders>
              <w:top w:val="single" w:sz="4" w:space="0" w:color="CBD5E1"/>
              <w:left w:val="none"/>
              <w:bottom w:val="single" w:sz="4" w:space="0" w:color="CBD5E1"/>
              <w:right w:val="none"/>
            </w:tcBorders>
          </w:tcPr>
          <w:p>
            <w:pPr>
              <w:spacing w:before="0" w:after="0"/>
            </w:pPr>
            <w:r>
              <w:rPr>
                <w:rFonts w:ascii="Calibri" w:hAnsi="Calibri"/>
                <w:color w:val="1E293B"/>
                <w:sz w:val="19"/>
              </w:rPr>
              <w:t>idx_show_screen</w:t>
            </w:r>
          </w:p>
        </w:tc>
        <w:tc>
          <w:tcPr>
            <w:tcW w:type="dxa" w:w="2592"/>
            <w:shd w:fill="F8FAFC"/>
            <w:tcMar>
              <w:top w:w="80" w:type="dxa"/>
              <w:bottom w:w="80" w:type="dxa"/>
              <w:left w:w="120" w:type="dxa"/>
              <w:right w:w="120" w:type="dxa"/>
            </w:tcMar>
            <w:tcBorders>
              <w:top w:val="single" w:sz="4" w:space="0" w:color="CBD5E1"/>
              <w:left w:val="none"/>
              <w:bottom w:val="single" w:sz="4" w:space="0" w:color="CBD5E1"/>
              <w:right w:val="none"/>
            </w:tcBorders>
          </w:tcPr>
          <w:p>
            <w:pPr>
              <w:spacing w:before="0" w:after="0"/>
            </w:pPr>
            <w:r>
              <w:rPr>
                <w:rFonts w:ascii="Calibri" w:hAnsi="Calibri"/>
                <w:color w:val="1E293B"/>
                <w:sz w:val="19"/>
              </w:rPr>
              <w:t>SHOW (ScreenID)</w:t>
            </w:r>
          </w:p>
        </w:tc>
        <w:tc>
          <w:tcPr>
            <w:tcW w:type="dxa" w:w="1440"/>
            <w:shd w:fill="F8FAFC"/>
            <w:tcMar>
              <w:top w:w="80" w:type="dxa"/>
              <w:bottom w:w="80" w:type="dxa"/>
              <w:left w:w="120" w:type="dxa"/>
              <w:right w:w="120" w:type="dxa"/>
            </w:tcMar>
            <w:tcBorders>
              <w:top w:val="single" w:sz="4" w:space="0" w:color="CBD5E1"/>
              <w:left w:val="none"/>
              <w:bottom w:val="single" w:sz="4" w:space="0" w:color="CBD5E1"/>
              <w:right w:val="none"/>
            </w:tcBorders>
          </w:tcPr>
          <w:p>
            <w:pPr>
              <w:spacing w:before="0" w:after="0"/>
            </w:pPr>
            <w:r>
              <w:rPr>
                <w:rFonts w:ascii="Calibri" w:hAnsi="Calibri"/>
                <w:color w:val="1E293B"/>
                <w:sz w:val="19"/>
              </w:rPr>
              <w:t>B-Tree</w:t>
            </w:r>
          </w:p>
        </w:tc>
        <w:tc>
          <w:tcPr>
            <w:tcW w:type="dxa" w:w="3024"/>
            <w:shd w:fill="F8FAFC"/>
            <w:tcMar>
              <w:top w:w="80" w:type="dxa"/>
              <w:bottom w:w="80" w:type="dxa"/>
              <w:left w:w="120" w:type="dxa"/>
              <w:right w:w="120" w:type="dxa"/>
            </w:tcMar>
            <w:tcBorders>
              <w:top w:val="single" w:sz="4" w:space="0" w:color="CBD5E1"/>
              <w:left w:val="none"/>
              <w:bottom w:val="single" w:sz="4" w:space="0" w:color="CBD5E1"/>
              <w:right w:val="none"/>
            </w:tcBorders>
          </w:tcPr>
          <w:p>
            <w:pPr>
              <w:spacing w:before="0" w:after="0"/>
            </w:pPr>
            <w:r>
              <w:rPr>
                <w:rFonts w:ascii="Calibri" w:hAnsi="Calibri"/>
                <w:color w:val="1E293B"/>
                <w:sz w:val="19"/>
              </w:rPr>
              <w:t>Optimizes internal screen schedule lookups and collision checks.</w:t>
            </w:r>
          </w:p>
        </w:tc>
      </w:tr>
      <w:tr>
        <w:tc>
          <w:tcPr>
            <w:tcW w:type="dxa" w:w="2304"/>
            <w:shd w:fill="FFFFFF"/>
            <w:tcMar>
              <w:top w:w="80" w:type="dxa"/>
              <w:bottom w:w="80" w:type="dxa"/>
              <w:left w:w="120" w:type="dxa"/>
              <w:right w:w="120" w:type="dxa"/>
            </w:tcMar>
            <w:tcBorders>
              <w:top w:val="single" w:sz="4" w:space="0" w:color="CBD5E1"/>
              <w:left w:val="none"/>
              <w:bottom w:val="single" w:sz="4" w:space="0" w:color="CBD5E1"/>
              <w:right w:val="none"/>
            </w:tcBorders>
          </w:tcPr>
          <w:p>
            <w:pPr>
              <w:spacing w:before="0" w:after="0"/>
            </w:pPr>
            <w:r>
              <w:rPr>
                <w:rFonts w:ascii="Calibri" w:hAnsi="Calibri"/>
                <w:color w:val="1E293B"/>
                <w:sz w:val="19"/>
              </w:rPr>
              <w:t>idx_show_date</w:t>
            </w:r>
          </w:p>
        </w:tc>
        <w:tc>
          <w:tcPr>
            <w:tcW w:type="dxa" w:w="2592"/>
            <w:shd w:fill="FFFFFF"/>
            <w:tcMar>
              <w:top w:w="80" w:type="dxa"/>
              <w:bottom w:w="80" w:type="dxa"/>
              <w:left w:w="120" w:type="dxa"/>
              <w:right w:w="120" w:type="dxa"/>
            </w:tcMar>
            <w:tcBorders>
              <w:top w:val="single" w:sz="4" w:space="0" w:color="CBD5E1"/>
              <w:left w:val="none"/>
              <w:bottom w:val="single" w:sz="4" w:space="0" w:color="CBD5E1"/>
              <w:right w:val="none"/>
            </w:tcBorders>
          </w:tcPr>
          <w:p>
            <w:pPr>
              <w:spacing w:before="0" w:after="0"/>
            </w:pPr>
            <w:r>
              <w:rPr>
                <w:rFonts w:ascii="Calibri" w:hAnsi="Calibri"/>
                <w:color w:val="1E293B"/>
                <w:sz w:val="19"/>
              </w:rPr>
              <w:t>SHOW (ShowDate)</w:t>
            </w:r>
          </w:p>
        </w:tc>
        <w:tc>
          <w:tcPr>
            <w:tcW w:type="dxa" w:w="1440"/>
            <w:shd w:fill="FFFFFF"/>
            <w:tcMar>
              <w:top w:w="80" w:type="dxa"/>
              <w:bottom w:w="80" w:type="dxa"/>
              <w:left w:w="120" w:type="dxa"/>
              <w:right w:w="120" w:type="dxa"/>
            </w:tcMar>
            <w:tcBorders>
              <w:top w:val="single" w:sz="4" w:space="0" w:color="CBD5E1"/>
              <w:left w:val="none"/>
              <w:bottom w:val="single" w:sz="4" w:space="0" w:color="CBD5E1"/>
              <w:right w:val="none"/>
            </w:tcBorders>
          </w:tcPr>
          <w:p>
            <w:pPr>
              <w:spacing w:before="0" w:after="0"/>
            </w:pPr>
            <w:r>
              <w:rPr>
                <w:rFonts w:ascii="Calibri" w:hAnsi="Calibri"/>
                <w:color w:val="1E293B"/>
                <w:sz w:val="19"/>
              </w:rPr>
              <w:t>B-Tree</w:t>
            </w:r>
          </w:p>
        </w:tc>
        <w:tc>
          <w:tcPr>
            <w:tcW w:type="dxa" w:w="3024"/>
            <w:shd w:fill="FFFFFF"/>
            <w:tcMar>
              <w:top w:w="80" w:type="dxa"/>
              <w:bottom w:w="80" w:type="dxa"/>
              <w:left w:w="120" w:type="dxa"/>
              <w:right w:w="120" w:type="dxa"/>
            </w:tcMar>
            <w:tcBorders>
              <w:top w:val="single" w:sz="4" w:space="0" w:color="CBD5E1"/>
              <w:left w:val="none"/>
              <w:bottom w:val="single" w:sz="4" w:space="0" w:color="CBD5E1"/>
              <w:right w:val="none"/>
            </w:tcBorders>
          </w:tcPr>
          <w:p>
            <w:pPr>
              <w:spacing w:before="0" w:after="0"/>
            </w:pPr>
            <w:r>
              <w:rPr>
                <w:rFonts w:ascii="Calibri" w:hAnsi="Calibri"/>
                <w:color w:val="1E293B"/>
                <w:sz w:val="19"/>
              </w:rPr>
              <w:t>Speeds up calendar date range queries and daily schedule listings.</w:t>
            </w:r>
          </w:p>
        </w:tc>
      </w:tr>
      <w:tr>
        <w:tc>
          <w:tcPr>
            <w:tcW w:type="dxa" w:w="2304"/>
            <w:shd w:fill="F8FAFC"/>
            <w:tcMar>
              <w:top w:w="80" w:type="dxa"/>
              <w:bottom w:w="80" w:type="dxa"/>
              <w:left w:w="120" w:type="dxa"/>
              <w:right w:w="120" w:type="dxa"/>
            </w:tcMar>
            <w:tcBorders>
              <w:top w:val="single" w:sz="4" w:space="0" w:color="CBD5E1"/>
              <w:left w:val="none"/>
              <w:bottom w:val="single" w:sz="4" w:space="0" w:color="CBD5E1"/>
              <w:right w:val="none"/>
            </w:tcBorders>
          </w:tcPr>
          <w:p>
            <w:pPr>
              <w:spacing w:before="0" w:after="0"/>
            </w:pPr>
            <w:r>
              <w:rPr>
                <w:rFonts w:ascii="Calibri" w:hAnsi="Calibri"/>
                <w:color w:val="1E293B"/>
                <w:sz w:val="19"/>
              </w:rPr>
              <w:t>idx_booking_customer</w:t>
            </w:r>
          </w:p>
        </w:tc>
        <w:tc>
          <w:tcPr>
            <w:tcW w:type="dxa" w:w="2592"/>
            <w:shd w:fill="F8FAFC"/>
            <w:tcMar>
              <w:top w:w="80" w:type="dxa"/>
              <w:bottom w:w="80" w:type="dxa"/>
              <w:left w:w="120" w:type="dxa"/>
              <w:right w:w="120" w:type="dxa"/>
            </w:tcMar>
            <w:tcBorders>
              <w:top w:val="single" w:sz="4" w:space="0" w:color="CBD5E1"/>
              <w:left w:val="none"/>
              <w:bottom w:val="single" w:sz="4" w:space="0" w:color="CBD5E1"/>
              <w:right w:val="none"/>
            </w:tcBorders>
          </w:tcPr>
          <w:p>
            <w:pPr>
              <w:spacing w:before="0" w:after="0"/>
            </w:pPr>
            <w:r>
              <w:rPr>
                <w:rFonts w:ascii="Calibri" w:hAnsi="Calibri"/>
                <w:color w:val="1E293B"/>
                <w:sz w:val="19"/>
              </w:rPr>
              <w:t>BOOKING (CustomerID)</w:t>
            </w:r>
          </w:p>
        </w:tc>
        <w:tc>
          <w:tcPr>
            <w:tcW w:type="dxa" w:w="1440"/>
            <w:shd w:fill="F8FAFC"/>
            <w:tcMar>
              <w:top w:w="80" w:type="dxa"/>
              <w:bottom w:w="80" w:type="dxa"/>
              <w:left w:w="120" w:type="dxa"/>
              <w:right w:w="120" w:type="dxa"/>
            </w:tcMar>
            <w:tcBorders>
              <w:top w:val="single" w:sz="4" w:space="0" w:color="CBD5E1"/>
              <w:left w:val="none"/>
              <w:bottom w:val="single" w:sz="4" w:space="0" w:color="CBD5E1"/>
              <w:right w:val="none"/>
            </w:tcBorders>
          </w:tcPr>
          <w:p>
            <w:pPr>
              <w:spacing w:before="0" w:after="0"/>
            </w:pPr>
            <w:r>
              <w:rPr>
                <w:rFonts w:ascii="Calibri" w:hAnsi="Calibri"/>
                <w:color w:val="1E293B"/>
                <w:sz w:val="19"/>
              </w:rPr>
              <w:t>B-Tree</w:t>
            </w:r>
          </w:p>
        </w:tc>
        <w:tc>
          <w:tcPr>
            <w:tcW w:type="dxa" w:w="3024"/>
            <w:shd w:fill="F8FAFC"/>
            <w:tcMar>
              <w:top w:w="80" w:type="dxa"/>
              <w:bottom w:w="80" w:type="dxa"/>
              <w:left w:w="120" w:type="dxa"/>
              <w:right w:w="120" w:type="dxa"/>
            </w:tcMar>
            <w:tcBorders>
              <w:top w:val="single" w:sz="4" w:space="0" w:color="CBD5E1"/>
              <w:left w:val="none"/>
              <w:bottom w:val="single" w:sz="4" w:space="0" w:color="CBD5E1"/>
              <w:right w:val="none"/>
            </w:tcBorders>
          </w:tcPr>
          <w:p>
            <w:pPr>
              <w:spacing w:before="0" w:after="0"/>
            </w:pPr>
            <w:r>
              <w:rPr>
                <w:rFonts w:ascii="Calibri" w:hAnsi="Calibri"/>
                <w:color w:val="1E293B"/>
                <w:sz w:val="19"/>
              </w:rPr>
              <w:t>Instant retrieval of user booking history: `WHERE CustomerID = ?`.</w:t>
            </w:r>
          </w:p>
        </w:tc>
      </w:tr>
      <w:tr>
        <w:tc>
          <w:tcPr>
            <w:tcW w:type="dxa" w:w="2304"/>
            <w:shd w:fill="FFFFFF"/>
            <w:tcMar>
              <w:top w:w="80" w:type="dxa"/>
              <w:bottom w:w="80" w:type="dxa"/>
              <w:left w:w="120" w:type="dxa"/>
              <w:right w:w="120" w:type="dxa"/>
            </w:tcMar>
            <w:tcBorders>
              <w:top w:val="single" w:sz="4" w:space="0" w:color="CBD5E1"/>
              <w:left w:val="none"/>
              <w:bottom w:val="single" w:sz="4" w:space="0" w:color="CBD5E1"/>
              <w:right w:val="none"/>
            </w:tcBorders>
          </w:tcPr>
          <w:p>
            <w:pPr>
              <w:spacing w:before="0" w:after="0"/>
            </w:pPr>
            <w:r>
              <w:rPr>
                <w:rFonts w:ascii="Calibri" w:hAnsi="Calibri"/>
                <w:color w:val="1E293B"/>
                <w:sz w:val="19"/>
              </w:rPr>
              <w:t>idx_booking_show</w:t>
            </w:r>
          </w:p>
        </w:tc>
        <w:tc>
          <w:tcPr>
            <w:tcW w:type="dxa" w:w="2592"/>
            <w:shd w:fill="FFFFFF"/>
            <w:tcMar>
              <w:top w:w="80" w:type="dxa"/>
              <w:bottom w:w="80" w:type="dxa"/>
              <w:left w:w="120" w:type="dxa"/>
              <w:right w:w="120" w:type="dxa"/>
            </w:tcMar>
            <w:tcBorders>
              <w:top w:val="single" w:sz="4" w:space="0" w:color="CBD5E1"/>
              <w:left w:val="none"/>
              <w:bottom w:val="single" w:sz="4" w:space="0" w:color="CBD5E1"/>
              <w:right w:val="none"/>
            </w:tcBorders>
          </w:tcPr>
          <w:p>
            <w:pPr>
              <w:spacing w:before="0" w:after="0"/>
            </w:pPr>
            <w:r>
              <w:rPr>
                <w:rFonts w:ascii="Calibri" w:hAnsi="Calibri"/>
                <w:color w:val="1E293B"/>
                <w:sz w:val="19"/>
              </w:rPr>
              <w:t>BOOKING (ShowID)</w:t>
            </w:r>
          </w:p>
        </w:tc>
        <w:tc>
          <w:tcPr>
            <w:tcW w:type="dxa" w:w="1440"/>
            <w:shd w:fill="FFFFFF"/>
            <w:tcMar>
              <w:top w:w="80" w:type="dxa"/>
              <w:bottom w:w="80" w:type="dxa"/>
              <w:left w:w="120" w:type="dxa"/>
              <w:right w:w="120" w:type="dxa"/>
            </w:tcMar>
            <w:tcBorders>
              <w:top w:val="single" w:sz="4" w:space="0" w:color="CBD5E1"/>
              <w:left w:val="none"/>
              <w:bottom w:val="single" w:sz="4" w:space="0" w:color="CBD5E1"/>
              <w:right w:val="none"/>
            </w:tcBorders>
          </w:tcPr>
          <w:p>
            <w:pPr>
              <w:spacing w:before="0" w:after="0"/>
            </w:pPr>
            <w:r>
              <w:rPr>
                <w:rFonts w:ascii="Calibri" w:hAnsi="Calibri"/>
                <w:color w:val="1E293B"/>
                <w:sz w:val="19"/>
              </w:rPr>
              <w:t>B-Tree</w:t>
            </w:r>
          </w:p>
        </w:tc>
        <w:tc>
          <w:tcPr>
            <w:tcW w:type="dxa" w:w="3024"/>
            <w:shd w:fill="FFFFFF"/>
            <w:tcMar>
              <w:top w:w="80" w:type="dxa"/>
              <w:bottom w:w="80" w:type="dxa"/>
              <w:left w:w="120" w:type="dxa"/>
              <w:right w:w="120" w:type="dxa"/>
            </w:tcMar>
            <w:tcBorders>
              <w:top w:val="single" w:sz="4" w:space="0" w:color="CBD5E1"/>
              <w:left w:val="none"/>
              <w:bottom w:val="single" w:sz="4" w:space="0" w:color="CBD5E1"/>
              <w:right w:val="none"/>
            </w:tcBorders>
          </w:tcPr>
          <w:p>
            <w:pPr>
              <w:spacing w:before="0" w:after="0"/>
            </w:pPr>
            <w:r>
              <w:rPr>
                <w:rFonts w:ascii="Calibri" w:hAnsi="Calibri"/>
                <w:color w:val="1E293B"/>
                <w:sz w:val="19"/>
              </w:rPr>
              <w:t>Optimizes show occupancy computations and analytics.</w:t>
            </w:r>
          </w:p>
        </w:tc>
      </w:tr>
      <w:tr>
        <w:tc>
          <w:tcPr>
            <w:tcW w:type="dxa" w:w="2304"/>
            <w:shd w:fill="F8FAFC"/>
            <w:tcMar>
              <w:top w:w="80" w:type="dxa"/>
              <w:bottom w:w="80" w:type="dxa"/>
              <w:left w:w="120" w:type="dxa"/>
              <w:right w:w="120" w:type="dxa"/>
            </w:tcMar>
            <w:tcBorders>
              <w:top w:val="single" w:sz="4" w:space="0" w:color="CBD5E1"/>
              <w:left w:val="none"/>
              <w:bottom w:val="single" w:sz="4" w:space="0" w:color="CBD5E1"/>
              <w:right w:val="none"/>
            </w:tcBorders>
          </w:tcPr>
          <w:p>
            <w:pPr>
              <w:spacing w:before="0" w:after="0"/>
            </w:pPr>
            <w:r>
              <w:rPr>
                <w:rFonts w:ascii="Calibri" w:hAnsi="Calibri"/>
                <w:color w:val="1E293B"/>
                <w:sz w:val="19"/>
              </w:rPr>
              <w:t>idx_booking_seat_show_seat</w:t>
            </w:r>
          </w:p>
        </w:tc>
        <w:tc>
          <w:tcPr>
            <w:tcW w:type="dxa" w:w="2592"/>
            <w:shd w:fill="F8FAFC"/>
            <w:tcMar>
              <w:top w:w="80" w:type="dxa"/>
              <w:bottom w:w="80" w:type="dxa"/>
              <w:left w:w="120" w:type="dxa"/>
              <w:right w:w="120" w:type="dxa"/>
            </w:tcMar>
            <w:tcBorders>
              <w:top w:val="single" w:sz="4" w:space="0" w:color="CBD5E1"/>
              <w:left w:val="none"/>
              <w:bottom w:val="single" w:sz="4" w:space="0" w:color="CBD5E1"/>
              <w:right w:val="none"/>
            </w:tcBorders>
          </w:tcPr>
          <w:p>
            <w:pPr>
              <w:spacing w:before="0" w:after="0"/>
            </w:pPr>
            <w:r>
              <w:rPr>
                <w:rFonts w:ascii="Calibri" w:hAnsi="Calibri"/>
                <w:color w:val="1E293B"/>
                <w:sz w:val="19"/>
              </w:rPr>
              <w:t>BOOKING_SEAT (ShowID, SeatID)</w:t>
            </w:r>
          </w:p>
        </w:tc>
        <w:tc>
          <w:tcPr>
            <w:tcW w:type="dxa" w:w="1440"/>
            <w:shd w:fill="F8FAFC"/>
            <w:tcMar>
              <w:top w:w="80" w:type="dxa"/>
              <w:bottom w:w="80" w:type="dxa"/>
              <w:left w:w="120" w:type="dxa"/>
              <w:right w:w="120" w:type="dxa"/>
            </w:tcMar>
            <w:tcBorders>
              <w:top w:val="single" w:sz="4" w:space="0" w:color="CBD5E1"/>
              <w:left w:val="none"/>
              <w:bottom w:val="single" w:sz="4" w:space="0" w:color="CBD5E1"/>
              <w:right w:val="none"/>
            </w:tcBorders>
          </w:tcPr>
          <w:p>
            <w:pPr>
              <w:spacing w:before="0" w:after="0"/>
            </w:pPr>
            <w:r>
              <w:rPr>
                <w:rFonts w:ascii="Calibri" w:hAnsi="Calibri"/>
                <w:color w:val="1E293B"/>
                <w:sz w:val="19"/>
              </w:rPr>
              <w:t>Composite B-Tree</w:t>
            </w:r>
          </w:p>
        </w:tc>
        <w:tc>
          <w:tcPr>
            <w:tcW w:type="dxa" w:w="3024"/>
            <w:shd w:fill="F8FAFC"/>
            <w:tcMar>
              <w:top w:w="80" w:type="dxa"/>
              <w:bottom w:w="80" w:type="dxa"/>
              <w:left w:w="120" w:type="dxa"/>
              <w:right w:w="120" w:type="dxa"/>
            </w:tcMar>
            <w:tcBorders>
              <w:top w:val="single" w:sz="4" w:space="0" w:color="CBD5E1"/>
              <w:left w:val="none"/>
              <w:bottom w:val="single" w:sz="4" w:space="0" w:color="CBD5E1"/>
              <w:right w:val="none"/>
            </w:tcBorders>
          </w:tcPr>
          <w:p>
            <w:pPr>
              <w:spacing w:before="0" w:after="0"/>
            </w:pPr>
            <w:r>
              <w:rPr>
                <w:rFonts w:ascii="Calibri" w:hAnsi="Calibri"/>
                <w:color w:val="1E293B"/>
                <w:sz w:val="19"/>
              </w:rPr>
              <w:t>Critical index for instant seat availability verification and collision detection.</w:t>
            </w:r>
          </w:p>
        </w:tc>
      </w:tr>
    </w:tbl>
    <w:p>
      <w:pPr>
        <w:spacing w:after="120"/>
      </w:pPr>
    </w:p>
    <w:p>
      <w:pPr>
        <w:keepNext/>
        <w:spacing w:before="280" w:after="120"/>
      </w:pPr>
      <w:r>
        <w:rPr>
          <w:rFonts w:ascii="Arial" w:hAnsi="Arial"/>
          <w:b/>
          <w:color w:val="831843"/>
          <w:sz w:val="28"/>
        </w:rPr>
        <w:t>9.2 B-Tree Mechanics &amp; Composite Index Rule</w:t>
      </w:r>
    </w:p>
    <w:p>
      <w:pPr>
        <w:spacing w:before="0" w:after="120" w:line="276" w:lineRule="auto"/>
      </w:pPr>
      <w:r>
        <w:rPr>
          <w:rFonts w:ascii="Calibri" w:hAnsi="Calibri"/>
          <w:i w:val="0"/>
          <w:color w:val="1E293B"/>
          <w:sz w:val="22"/>
        </w:rPr>
        <w:t>MySQL InnoDB organizes indexes as balanced search trees (B-Trees). A lookup on a B-Tree scales logarithmically at $O(\log N)$ instead of linear $O(N)$.</w:t>
      </w:r>
    </w:p>
    <w:p>
      <w:pPr>
        <w:spacing w:before="0" w:after="120" w:line="276" w:lineRule="auto"/>
      </w:pPr>
      <w:r>
        <w:rPr>
          <w:rFonts w:ascii="Calibri" w:hAnsi="Calibri"/>
          <w:i w:val="0"/>
          <w:color w:val="1E293B"/>
          <w:sz w:val="22"/>
        </w:rPr>
        <w:t>In `idx_booking_seat_show_seat (ShowID, SeatID)`, the Leftmost Prefix Rule applies. MySQL can use this index for queries filtering by `ShowID` alone, or by both `ShowID` and `SeatID` together, delivering maximum query execution efficiency.</w:t>
      </w:r>
    </w:p>
    <w:p>
      <w:pPr>
        <w:keepNext/>
        <w:spacing w:before="440" w:after="160"/>
      </w:pPr>
      <w:r>
        <w:rPr>
          <w:rFonts w:ascii="Arial" w:hAnsi="Arial"/>
          <w:b/>
          <w:color w:val="0F172A"/>
          <w:sz w:val="36"/>
        </w:rPr>
        <w:t>10. SQL Demonstration Queries (The 20 Viva Queries)</w:t>
      </w:r>
    </w:p>
    <w:p>
      <w:pPr>
        <w:spacing w:before="0" w:after="120" w:line="276" w:lineRule="auto"/>
      </w:pPr>
      <w:r>
        <w:rPr>
          <w:rFonts w:ascii="Calibri" w:hAnsi="Calibri"/>
          <w:i w:val="0"/>
          <w:color w:val="1E293B"/>
          <w:sz w:val="22"/>
        </w:rPr>
        <w:t>Below are the primary SQL queries designed to demonstrate the system during professor evaluations, categorized by relational complexity.</w:t>
      </w:r>
    </w:p>
    <w:p>
      <w:pPr>
        <w:keepNext/>
        <w:spacing w:before="280" w:after="120"/>
      </w:pPr>
      <w:r>
        <w:rPr>
          <w:rFonts w:ascii="Arial" w:hAnsi="Arial"/>
          <w:b/>
          <w:color w:val="831843"/>
          <w:sz w:val="28"/>
        </w:rPr>
        <w:t>Query 3: Shows for a Movie (Multi-Table Join)</w:t>
      </w:r>
    </w:p>
    <w:p>
      <w:pPr>
        <w:spacing w:before="0" w:after="120" w:line="276" w:lineRule="auto"/>
      </w:pPr>
      <w:r>
        <w:rPr>
          <w:rFonts w:ascii="Calibri" w:hAnsi="Calibri"/>
          <w:i w:val="0"/>
          <w:color w:val="1E293B"/>
          <w:sz w:val="22"/>
        </w:rPr>
        <w:t>Demonstrates a 4-table INNER JOIN across SHOW, MOVIE, SCREEN, and THEATRE to assemble a user-facing screening schedule.</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top w:val="none"/>
              <w:left w:val="single" w:sz="24" w:space="0" w:color="0F172A"/>
              <w:bottom w:val="none"/>
              <w:right w:val="none"/>
            </w:tcBorders>
          </w:tcPr>
          <w:p>
            <w:pPr>
              <w:spacing w:before="0" w:after="0" w:line="252" w:lineRule="auto"/>
            </w:pPr>
            <w:r>
              <w:rPr>
                <w:rFonts w:ascii="Consolas" w:hAnsi="Consolas"/>
                <w:b/>
                <w:color w:val="831843"/>
                <w:sz w:val="17"/>
              </w:rPr>
              <w:t>[SQL]</w:t>
              <w:br/>
            </w:r>
            <w:r>
              <w:rPr>
                <w:rFonts w:ascii="Consolas" w:hAnsi="Consolas"/>
                <w:color w:val="0F172A"/>
                <w:sz w:val="19"/>
              </w:rPr>
              <w:t>SELECT s.ShowID, s.ShowDate, s.ShowTime, s.Price, m.Title, sc.ScreenNumber, t.Name AS Theatre</w:t>
              <w:br/>
              <w:t>FROM `SHOW` s</w:t>
              <w:br/>
              <w:t>JOIN MOVIE m ON s.MovieID = m.MovieID</w:t>
              <w:br/>
              <w:t>JOIN SCREEN sc ON s.ScreenID = sc.ScreenID</w:t>
              <w:br/>
              <w:t>JOIN THEATRE t ON sc.TheatreID = t.TheatreID</w:t>
              <w:br/>
              <w:t>WHERE m.Title = 'Inception';</w:t>
            </w:r>
          </w:p>
        </w:tc>
      </w:tr>
    </w:tbl>
    <w:p>
      <w:pPr>
        <w:spacing w:after="80"/>
      </w:pPr>
    </w:p>
    <w:p>
      <w:pPr>
        <w:keepNext/>
        <w:spacing w:before="280" w:after="120"/>
      </w:pPr>
      <w:r>
        <w:rPr>
          <w:rFonts w:ascii="Arial" w:hAnsi="Arial"/>
          <w:b/>
          <w:color w:val="831843"/>
          <w:sz w:val="28"/>
        </w:rPr>
        <w:t>Query 8: Complete Booking Receipt (6-Table Join + GROUP_CONCAT)</w:t>
      </w:r>
    </w:p>
    <w:p>
      <w:pPr>
        <w:spacing w:before="0" w:after="120" w:line="276" w:lineRule="auto"/>
      </w:pPr>
      <w:r>
        <w:rPr>
          <w:rFonts w:ascii="Calibri" w:hAnsi="Calibri"/>
          <w:i w:val="0"/>
          <w:color w:val="1E293B"/>
          <w:sz w:val="22"/>
        </w:rPr>
        <w:t>Traverses 6 tables and aggregates multiple seat rows into a single comma-separated string (`GROUP_CONCAT`) for ticket generation.</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top w:val="none"/>
              <w:left w:val="single" w:sz="24" w:space="0" w:color="0F172A"/>
              <w:bottom w:val="none"/>
              <w:right w:val="none"/>
            </w:tcBorders>
          </w:tcPr>
          <w:p>
            <w:pPr>
              <w:spacing w:before="0" w:after="0" w:line="252" w:lineRule="auto"/>
            </w:pPr>
            <w:r>
              <w:rPr>
                <w:rFonts w:ascii="Consolas" w:hAnsi="Consolas"/>
                <w:b/>
                <w:color w:val="831843"/>
                <w:sz w:val="17"/>
              </w:rPr>
              <w:t>[SQL]</w:t>
              <w:br/>
            </w:r>
            <w:r>
              <w:rPr>
                <w:rFonts w:ascii="Consolas" w:hAnsi="Consolas"/>
                <w:color w:val="0F172A"/>
                <w:sz w:val="19"/>
              </w:rPr>
              <w:t xml:space="preserve">SELECT b.BookingID, c.Name AS CustomerName, m.Title, t.Name AS Theatre, </w:t>
              <w:br/>
              <w:t xml:space="preserve">       sc.ScreenNumber, GROUP_CONCAT(st.SeatNumber) AS Seats, b.TotalAmount</w:t>
              <w:br/>
              <w:t>FROM BOOKING b</w:t>
              <w:br/>
              <w:t>JOIN CUSTOMER c ON b.CustomerID = c.CustomerID</w:t>
              <w:br/>
              <w:t>JOIN `SHOW` s ON b.ShowID = s.ShowID</w:t>
              <w:br/>
              <w:t>JOIN MOVIE m ON s.MovieID = m.MovieID</w:t>
              <w:br/>
              <w:t>JOIN SCREEN sc ON s.ScreenID = sc.ScreenID</w:t>
              <w:br/>
              <w:t>JOIN THEATRE t ON sc.TheatreID = t.TheatreID</w:t>
              <w:br/>
              <w:t>JOIN BOOKING_SEAT bs ON b.BookingID = bs.BookingID</w:t>
              <w:br/>
              <w:t>JOIN SEAT st ON bs.SeatID = st.SeatID</w:t>
              <w:br/>
              <w:t>GROUP BY b.BookingID;</w:t>
            </w:r>
          </w:p>
        </w:tc>
      </w:tr>
    </w:tbl>
    <w:p>
      <w:pPr>
        <w:spacing w:after="80"/>
      </w:pPr>
    </w:p>
    <w:p>
      <w:pPr>
        <w:keepNext/>
        <w:spacing w:before="280" w:after="120"/>
      </w:pPr>
      <w:r>
        <w:rPr>
          <w:rFonts w:ascii="Arial" w:hAnsi="Arial"/>
          <w:b/>
          <w:color w:val="831843"/>
          <w:sz w:val="28"/>
        </w:rPr>
        <w:t>Query 10: Total Revenue Grouped by Movie (Aggregation &amp; Ordering)</w:t>
      </w:r>
    </w:p>
    <w:p>
      <w:pPr>
        <w:spacing w:before="0" w:after="120" w:line="276" w:lineRule="auto"/>
      </w:pPr>
      <w:r>
        <w:rPr>
          <w:rFonts w:ascii="Calibri" w:hAnsi="Calibri"/>
          <w:i w:val="0"/>
          <w:color w:val="1E293B"/>
          <w:sz w:val="22"/>
        </w:rPr>
        <w:t>Calculates cumulative revenue per film, ignoring cancelled bookings, sorted in descending order.</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top w:val="none"/>
              <w:left w:val="single" w:sz="24" w:space="0" w:color="0F172A"/>
              <w:bottom w:val="none"/>
              <w:right w:val="none"/>
            </w:tcBorders>
          </w:tcPr>
          <w:p>
            <w:pPr>
              <w:spacing w:before="0" w:after="0" w:line="252" w:lineRule="auto"/>
            </w:pPr>
            <w:r>
              <w:rPr>
                <w:rFonts w:ascii="Consolas" w:hAnsi="Consolas"/>
                <w:b/>
                <w:color w:val="831843"/>
                <w:sz w:val="17"/>
              </w:rPr>
              <w:t>[SQL]</w:t>
              <w:br/>
            </w:r>
            <w:r>
              <w:rPr>
                <w:rFonts w:ascii="Consolas" w:hAnsi="Consolas"/>
                <w:color w:val="0F172A"/>
                <w:sz w:val="19"/>
              </w:rPr>
              <w:t>SELECT m.Title, SUM(b.TotalAmount) AS Revenue</w:t>
              <w:br/>
              <w:t>FROM BOOKING b</w:t>
              <w:br/>
              <w:t>JOIN `SHOW` s ON b.ShowID = s.ShowID</w:t>
              <w:br/>
              <w:t>JOIN MOVIE m ON s.MovieID = m.MovieID</w:t>
              <w:br/>
              <w:t>WHERE b.Status = 'CONFIRMED'</w:t>
              <w:br/>
              <w:t>GROUP BY m.MovieID</w:t>
              <w:br/>
              <w:t>ORDER BY Revenue DESC;</w:t>
            </w:r>
          </w:p>
        </w:tc>
      </w:tr>
    </w:tbl>
    <w:p>
      <w:pPr>
        <w:spacing w:after="80"/>
      </w:pPr>
    </w:p>
    <w:p>
      <w:pPr>
        <w:keepNext/>
        <w:spacing w:before="280" w:after="120"/>
      </w:pPr>
      <w:r>
        <w:rPr>
          <w:rFonts w:ascii="Arial" w:hAnsi="Arial"/>
          <w:b/>
          <w:color w:val="831843"/>
          <w:sz w:val="28"/>
        </w:rPr>
        <w:t>Query 13: Screen Occupancy Percentage Calculation</w:t>
      </w:r>
    </w:p>
    <w:p>
      <w:pPr>
        <w:spacing w:before="0" w:after="120" w:line="276" w:lineRule="auto"/>
      </w:pPr>
      <w:r>
        <w:rPr>
          <w:rFonts w:ascii="Calibri" w:hAnsi="Calibri"/>
          <w:i w:val="0"/>
          <w:color w:val="1E293B"/>
          <w:sz w:val="22"/>
        </w:rPr>
        <w:t>Computes dynamic auditorium utilization by dividing confirmed booked seats against screen capacity.</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top w:val="none"/>
              <w:left w:val="single" w:sz="24" w:space="0" w:color="0F172A"/>
              <w:bottom w:val="none"/>
              <w:right w:val="none"/>
            </w:tcBorders>
          </w:tcPr>
          <w:p>
            <w:pPr>
              <w:spacing w:before="0" w:after="0" w:line="252" w:lineRule="auto"/>
            </w:pPr>
            <w:r>
              <w:rPr>
                <w:rFonts w:ascii="Consolas" w:hAnsi="Consolas"/>
                <w:b/>
                <w:color w:val="831843"/>
                <w:sz w:val="17"/>
              </w:rPr>
              <w:t>[SQL]</w:t>
              <w:br/>
            </w:r>
            <w:r>
              <w:rPr>
                <w:rFonts w:ascii="Consolas" w:hAnsi="Consolas"/>
                <w:color w:val="0F172A"/>
                <w:sz w:val="19"/>
              </w:rPr>
              <w:t>SELECT sc.SeatCapacity, COUNT(bs.SeatID) AS BookedSeats,</w:t>
              <w:br/>
              <w:t xml:space="preserve">       (COUNT(bs.SeatID) / sc.SeatCapacity) * 100 AS OccupancyPercentage</w:t>
              <w:br/>
              <w:t>FROM `SHOW` s</w:t>
              <w:br/>
              <w:t>JOIN SCREEN sc ON s.ScreenID = sc.ScreenID</w:t>
              <w:br/>
              <w:t>LEFT JOIN BOOKING_SEAT bs ON s.ShowID = bs.ShowID</w:t>
              <w:br/>
              <w:t>WHERE s.ShowID = 1</w:t>
              <w:br/>
              <w:t>GROUP BY s.ShowID;</w:t>
            </w:r>
          </w:p>
        </w:tc>
      </w:tr>
    </w:tbl>
    <w:p>
      <w:pPr>
        <w:spacing w:after="80"/>
      </w:pPr>
    </w:p>
    <w:p>
      <w:pPr>
        <w:keepNext/>
        <w:spacing w:before="280" w:after="120"/>
      </w:pPr>
      <w:r>
        <w:rPr>
          <w:rFonts w:ascii="Arial" w:hAnsi="Arial"/>
          <w:b/>
          <w:color w:val="831843"/>
          <w:sz w:val="28"/>
        </w:rPr>
        <w:t>Query 18: Filtering Aggregates Using HAVING</w:t>
      </w:r>
    </w:p>
    <w:p>
      <w:pPr>
        <w:spacing w:before="0" w:after="120" w:line="276" w:lineRule="auto"/>
      </w:pPr>
      <w:r>
        <w:rPr>
          <w:rFonts w:ascii="Calibri" w:hAnsi="Calibri"/>
          <w:i w:val="0"/>
          <w:color w:val="1E293B"/>
          <w:sz w:val="22"/>
        </w:rPr>
        <w:t>Demonstrates the distinction between WHERE (row filter) and HAVING (group filter) to find multi-screen cinema complexes.</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top w:val="none"/>
              <w:left w:val="single" w:sz="24" w:space="0" w:color="0F172A"/>
              <w:bottom w:val="none"/>
              <w:right w:val="none"/>
            </w:tcBorders>
          </w:tcPr>
          <w:p>
            <w:pPr>
              <w:spacing w:before="0" w:after="0" w:line="252" w:lineRule="auto"/>
            </w:pPr>
            <w:r>
              <w:rPr>
                <w:rFonts w:ascii="Consolas" w:hAnsi="Consolas"/>
                <w:b/>
                <w:color w:val="831843"/>
                <w:sz w:val="17"/>
              </w:rPr>
              <w:t>[SQL]</w:t>
              <w:br/>
            </w:r>
            <w:r>
              <w:rPr>
                <w:rFonts w:ascii="Consolas" w:hAnsi="Consolas"/>
                <w:color w:val="0F172A"/>
                <w:sz w:val="19"/>
              </w:rPr>
              <w:t>SELECT t.Name, COUNT(sc.ScreenID) AS ScreenCount</w:t>
              <w:br/>
              <w:t>FROM THEATRE t</w:t>
              <w:br/>
              <w:t>JOIN SCREEN sc ON t.TheatreID = sc.TheatreID</w:t>
              <w:br/>
              <w:t>GROUP BY t.TheatreID</w:t>
              <w:br/>
              <w:t>HAVING ScreenCount &gt; 1;</w:t>
            </w:r>
          </w:p>
        </w:tc>
      </w:tr>
    </w:tbl>
    <w:p>
      <w:pPr>
        <w:spacing w:after="80"/>
      </w:pPr>
    </w:p>
    <w:p>
      <w:pPr>
        <w:keepNext/>
        <w:spacing w:before="440" w:after="160"/>
      </w:pPr>
      <w:r>
        <w:rPr>
          <w:rFonts w:ascii="Arial" w:hAnsi="Arial"/>
          <w:b/>
          <w:color w:val="0F172A"/>
          <w:sz w:val="36"/>
        </w:rPr>
        <w:t>11. Contiguous Seat Recommendation Algorithm</w:t>
      </w:r>
    </w:p>
    <w:p>
      <w:pPr>
        <w:spacing w:before="0" w:after="120" w:line="276" w:lineRule="auto"/>
      </w:pPr>
      <w:r>
        <w:rPr>
          <w:rFonts w:ascii="Calibri" w:hAnsi="Calibri"/>
          <w:i w:val="0"/>
          <w:color w:val="1E293B"/>
          <w:sz w:val="22"/>
        </w:rPr>
        <w:t>A standout engineering feature of CineTicket is its automated seat recommendation engine (`backend/src/utils/bestSeatAlgorithm.js`). When a group of friends (e.g., 4 people) books tickets, they expect adjacent seats located centrally relative to the screen.</w:t>
      </w:r>
    </w:p>
    <w:p>
      <w:pPr>
        <w:keepNext/>
        <w:spacing w:before="280" w:after="120"/>
      </w:pPr>
      <w:r>
        <w:rPr>
          <w:rFonts w:ascii="Arial" w:hAnsi="Arial"/>
          <w:b/>
          <w:color w:val="831843"/>
          <w:sz w:val="28"/>
        </w:rPr>
        <w:t>11.1 Mathematical Formulation of Seat Scoring</w:t>
      </w:r>
    </w:p>
    <w:p>
      <w:pPr>
        <w:spacing w:before="0" w:after="120" w:line="276" w:lineRule="auto"/>
      </w:pPr>
      <w:r>
        <w:rPr>
          <w:rFonts w:ascii="Calibri" w:hAnsi="Calibri"/>
          <w:i w:val="0"/>
          <w:color w:val="1E293B"/>
          <w:sz w:val="22"/>
        </w:rPr>
        <w:t>The algorithm groups seats by row character ('A', 'B', 'C') and extracts contiguous available seat runs. Each viable block of length $K$ is assigned a score:</w:t>
      </w:r>
    </w:p>
    <w:p>
      <w:pPr>
        <w:spacing w:before="0" w:after="120" w:line="276" w:lineRule="auto"/>
      </w:pPr>
      <w:r>
        <w:rPr>
          <w:rFonts w:ascii="Calibri" w:hAnsi="Calibri"/>
          <w:b/>
          <w:color w:val="0F172A"/>
          <w:sz w:val="22"/>
        </w:rPr>
        <w:t xml:space="preserve">Scoring Formula: </w:t>
      </w:r>
      <w:r>
        <w:rPr>
          <w:rFonts w:ascii="Calibri" w:hAnsi="Calibri"/>
          <w:i/>
          <w:color w:val="1E293B"/>
          <w:sz w:val="22"/>
        </w:rPr>
        <w:t>Score = Distance_To_Center × 10 + Type_Penalty</w:t>
      </w:r>
    </w:p>
    <w:p>
      <w:pPr>
        <w:pStyle w:val="ListBullet"/>
        <w:spacing w:before="0" w:after="60" w:line="276" w:lineRule="auto"/>
      </w:pPr>
      <w:r>
        <w:rPr>
          <w:rFonts w:ascii="Calibri" w:hAnsi="Calibri"/>
          <w:color w:val="1E293B"/>
          <w:sz w:val="22"/>
        </w:rPr>
        <w:t>Where $Center_{row} = \frac{1 + MaxSeatNumber}{2}$</w:t>
      </w:r>
    </w:p>
    <w:p>
      <w:pPr>
        <w:pStyle w:val="ListBullet"/>
        <w:spacing w:before="0" w:after="60" w:line="276" w:lineRule="auto"/>
      </w:pPr>
      <w:r>
        <w:rPr>
          <w:rFonts w:ascii="Calibri" w:hAnsi="Calibri"/>
          <w:color w:val="1E293B"/>
          <w:sz w:val="22"/>
        </w:rPr>
        <w:t>Where $Center_{block} = \frac{BlockStartNumber + BlockEndNumber}{2}$</w:t>
      </w:r>
    </w:p>
    <w:p>
      <w:pPr>
        <w:pStyle w:val="ListBullet"/>
        <w:spacing w:before="0" w:after="60" w:line="276" w:lineRule="auto"/>
      </w:pPr>
      <w:r>
        <w:rPr>
          <w:rFonts w:ascii="Calibri" w:hAnsi="Calibri"/>
          <w:color w:val="1E293B"/>
          <w:sz w:val="22"/>
        </w:rPr>
        <w:t>Where $Distance = |Center_{row} - Center_{block}|$</w:t>
      </w:r>
    </w:p>
    <w:p>
      <w:pPr>
        <w:pStyle w:val="ListBullet"/>
        <w:spacing w:before="0" w:after="60" w:line="276" w:lineRule="auto"/>
      </w:pPr>
      <w:r>
        <w:rPr>
          <w:rFonts w:ascii="Calibri" w:hAnsi="Calibri"/>
          <w:color w:val="1E293B"/>
          <w:sz w:val="22"/>
        </w:rPr>
        <w:t>Type Penalty: If user requests 'PREMIUM' and block is 'REGULAR', penalty of +1000 is added.</w:t>
      </w:r>
    </w:p>
    <w:p>
      <w:pPr>
        <w:spacing w:before="0" w:after="120" w:line="276" w:lineRule="auto"/>
      </w:pPr>
      <w:r>
        <w:rPr>
          <w:rFonts w:ascii="Calibri" w:hAnsi="Calibri"/>
          <w:i w:val="0"/>
          <w:color w:val="1E293B"/>
          <w:sz w:val="22"/>
        </w:rPr>
        <w:t>The block with the minimum score is selected, ensuring the recommended seats are as close to the optical center of the auditorium as possible.</w:t>
      </w:r>
    </w:p>
    <w:p>
      <w:pPr>
        <w:keepNext/>
        <w:spacing w:before="280" w:after="120"/>
      </w:pPr>
      <w:r>
        <w:rPr>
          <w:rFonts w:ascii="Arial" w:hAnsi="Arial"/>
          <w:b/>
          <w:color w:val="831843"/>
          <w:sz w:val="28"/>
        </w:rPr>
        <w:t>11.2 Computational Complexity Analysis</w:t>
      </w:r>
    </w:p>
    <w:p>
      <w:pPr>
        <w:pStyle w:val="ListBullet"/>
        <w:spacing w:before="0" w:after="60" w:line="276" w:lineRule="auto"/>
      </w:pPr>
      <w:r>
        <w:rPr>
          <w:rFonts w:ascii="Calibri" w:hAnsi="Calibri"/>
          <w:b/>
          <w:color w:val="0F172A"/>
          <w:sz w:val="22"/>
        </w:rPr>
        <w:t xml:space="preserve">Time Complexity: </w:t>
      </w:r>
      <w:r>
        <w:rPr>
          <w:rFonts w:ascii="Calibri" w:hAnsi="Calibri"/>
          <w:color w:val="1E293B"/>
          <w:sz w:val="22"/>
        </w:rPr>
        <w:t>Grouping seats: $O(N)$ where $N$ is total seats in the screen.</w:t>
      </w:r>
    </w:p>
    <w:p>
      <w:pPr>
        <w:pStyle w:val="ListBullet"/>
        <w:spacing w:before="0" w:after="60" w:line="276" w:lineRule="auto"/>
      </w:pPr>
      <w:r>
        <w:rPr>
          <w:rFonts w:ascii="Calibri" w:hAnsi="Calibri"/>
          <w:b/>
          <w:color w:val="0F172A"/>
          <w:sz w:val="22"/>
        </w:rPr>
        <w:t xml:space="preserve">Sorting: </w:t>
      </w:r>
      <w:r>
        <w:rPr>
          <w:rFonts w:ascii="Calibri" w:hAnsi="Calibri"/>
          <w:color w:val="1E293B"/>
          <w:sz w:val="22"/>
        </w:rPr>
        <w:t>Sorting seats per row: $O(R \cdot K \log K) \approx O(N \log K)$ where $K$ is seats per row (typically small, $\le 20$).</w:t>
      </w:r>
    </w:p>
    <w:p>
      <w:pPr>
        <w:pStyle w:val="ListBullet"/>
        <w:spacing w:before="0" w:after="60" w:line="276" w:lineRule="auto"/>
      </w:pPr>
      <w:r>
        <w:rPr>
          <w:rFonts w:ascii="Calibri" w:hAnsi="Calibri"/>
          <w:b/>
          <w:color w:val="0F172A"/>
          <w:sz w:val="22"/>
        </w:rPr>
        <w:t xml:space="preserve">Net Efficiency: </w:t>
      </w:r>
      <w:r>
        <w:rPr>
          <w:rFonts w:ascii="Calibri" w:hAnsi="Calibri"/>
          <w:color w:val="1E293B"/>
          <w:sz w:val="22"/>
        </w:rPr>
        <w:t>Overall Time Complexity: $O(N)$, executing in under 2 milliseconds for standard auditoriums.</w:t>
      </w:r>
    </w:p>
    <w:p>
      <w:pPr>
        <w:keepNext/>
        <w:spacing w:before="440" w:after="160"/>
      </w:pPr>
      <w:r>
        <w:rPr>
          <w:rFonts w:ascii="Arial" w:hAnsi="Arial"/>
          <w:b/>
          <w:color w:val="0F172A"/>
          <w:sz w:val="36"/>
        </w:rPr>
        <w:t>12. Comprehensive Viva Voce &amp; Review Q&amp;A Guide</w:t>
      </w:r>
    </w:p>
    <w:p>
      <w:pPr>
        <w:spacing w:before="0" w:after="120" w:line="276" w:lineRule="auto"/>
      </w:pPr>
      <w:r>
        <w:rPr>
          <w:rFonts w:ascii="Calibri" w:hAnsi="Calibri"/>
          <w:i w:val="0"/>
          <w:color w:val="1E293B"/>
          <w:sz w:val="22"/>
        </w:rPr>
        <w:t>Below are 30+ highly technical questions frequently asked by DBMS professors during semester project examinations, complete with authoritative model answers.</w:t>
      </w: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180" w:type="dxa"/>
              <w:right w:w="180" w:type="dxa"/>
            </w:tcMar>
            <w:tcBorders>
              <w:top w:val="none"/>
              <w:left w:val="single" w:sz="24" w:space="0" w:color="831843"/>
              <w:bottom w:val="none"/>
              <w:right w:val="none"/>
            </w:tcBorders>
          </w:tcPr>
          <w:p>
            <w:pPr>
              <w:spacing w:before="0" w:after="40"/>
            </w:pPr>
            <w:r>
              <w:rPr>
                <w:rFonts w:ascii="Arial" w:hAnsi="Arial"/>
                <w:b/>
                <w:color w:val="831843"/>
                <w:sz w:val="21"/>
              </w:rPr>
              <w:t>★ Q1: What storage engine is used in MySQL, and why did you choose it?</w:t>
              <w:br/>
            </w:r>
            <w:r>
              <w:rPr>
                <w:rFonts w:ascii="Calibri" w:hAnsi="Calibri"/>
                <w:color w:val="1E293B"/>
                <w:sz w:val="20"/>
              </w:rPr>
              <w:t>We exclusively use InnoDB (`ENGINE=InnoDB`). Unlike MyISAM, InnoDB supports ACID transactions, Foreign Key constraints with cascading referential actions, and Row-Level Locking (`SELECT ... FOR UPDATE`), which is strictly required for our concurrency control mechanism.</w:t>
            </w:r>
          </w:p>
        </w:tc>
      </w:tr>
    </w:tbl>
    <w:p>
      <w:pPr>
        <w:spacing w:after="80"/>
      </w:pP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180" w:type="dxa"/>
              <w:right w:w="180" w:type="dxa"/>
            </w:tcMar>
            <w:tcBorders>
              <w:top w:val="none"/>
              <w:left w:val="single" w:sz="24" w:space="0" w:color="831843"/>
              <w:bottom w:val="none"/>
              <w:right w:val="none"/>
            </w:tcBorders>
          </w:tcPr>
          <w:p>
            <w:pPr>
              <w:spacing w:before="0" w:after="40"/>
            </w:pPr>
            <w:r>
              <w:rPr>
                <w:rFonts w:ascii="Arial" w:hAnsi="Arial"/>
                <w:b/>
                <w:color w:val="831843"/>
                <w:sz w:val="21"/>
              </w:rPr>
              <w:t>★ Q2: How do you prevent two customers from double-booking the exact same seat?</w:t>
              <w:br/>
            </w:r>
            <w:r>
              <w:rPr>
                <w:rFonts w:ascii="Calibri" w:hAnsi="Calibri"/>
                <w:color w:val="1E293B"/>
                <w:sz w:val="20"/>
              </w:rPr>
              <w:t>We use a multi-tier defense: (1) An in-memory FIFO queue (`p-queue`) serializing requests hitting the same show; (2) MySQL ACID transactions with `SELECT ... FOR UPDATE` that acquire an exclusive row-level lock on the requested seats; and (3) A composite unique constraint `UNIQUE (ShowID, SeatID)` in `BOOKING_SEAT` as an absolute fail-safe at the storage engine layer.</w:t>
            </w:r>
          </w:p>
        </w:tc>
      </w:tr>
    </w:tbl>
    <w:p>
      <w:pPr>
        <w:spacing w:after="80"/>
      </w:pP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180" w:type="dxa"/>
              <w:right w:w="180" w:type="dxa"/>
            </w:tcMar>
            <w:tcBorders>
              <w:top w:val="none"/>
              <w:left w:val="single" w:sz="24" w:space="0" w:color="831843"/>
              <w:bottom w:val="none"/>
              <w:right w:val="none"/>
            </w:tcBorders>
          </w:tcPr>
          <w:p>
            <w:pPr>
              <w:spacing w:before="0" w:after="40"/>
            </w:pPr>
            <w:r>
              <w:rPr>
                <w:rFonts w:ascii="Arial" w:hAnsi="Arial"/>
                <w:b/>
                <w:color w:val="831843"/>
                <w:sz w:val="21"/>
              </w:rPr>
              <w:t>★ Q3: What happens if two concurrent transactions execute SELECT ... FOR UPDATE on the same seats?</w:t>
              <w:br/>
            </w:r>
            <w:r>
              <w:rPr>
                <w:rFonts w:ascii="Calibri" w:hAnsi="Calibri"/>
                <w:color w:val="1E293B"/>
                <w:sz w:val="20"/>
              </w:rPr>
              <w:t>Transaction 1 acquires the exclusive write lock (X-lock). When Transaction 2 executes `SELECT ... FOR UPDATE` on those same rows, InnoDB places Transaction 2 in a lock-wait state. Transaction 2 blocks until Transaction 1 issues `COMMIT` or `ROLLBACK`.</w:t>
            </w:r>
          </w:p>
        </w:tc>
      </w:tr>
    </w:tbl>
    <w:p>
      <w:pPr>
        <w:spacing w:after="80"/>
      </w:pP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180" w:type="dxa"/>
              <w:right w:w="180" w:type="dxa"/>
            </w:tcMar>
            <w:tcBorders>
              <w:top w:val="none"/>
              <w:left w:val="single" w:sz="24" w:space="0" w:color="831843"/>
              <w:bottom w:val="none"/>
              <w:right w:val="none"/>
            </w:tcBorders>
          </w:tcPr>
          <w:p>
            <w:pPr>
              <w:spacing w:before="0" w:after="40"/>
            </w:pPr>
            <w:r>
              <w:rPr>
                <w:rFonts w:ascii="Arial" w:hAnsi="Arial"/>
                <w:b/>
                <w:color w:val="831843"/>
                <w:sz w:val="21"/>
              </w:rPr>
              <w:t>★ Q4: What is the difference between an INNER JOIN and a LEFT JOIN in your project?</w:t>
              <w:br/>
            </w:r>
            <w:r>
              <w:rPr>
                <w:rFonts w:ascii="Calibri" w:hAnsi="Calibri"/>
                <w:color w:val="1E293B"/>
                <w:sz w:val="20"/>
              </w:rPr>
              <w:t>We use INNER JOIN when every record must match across all tables (e.g., generating a receipt where a booking must have a movie, customer, and show). We use LEFT JOIN in our `view_show_seats` view to return all physical seats in an auditorium regardless of whether they have been booked or not.</w:t>
            </w:r>
          </w:p>
        </w:tc>
      </w:tr>
    </w:tbl>
    <w:p>
      <w:pPr>
        <w:spacing w:after="80"/>
      </w:pP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180" w:type="dxa"/>
              <w:right w:w="180" w:type="dxa"/>
            </w:tcMar>
            <w:tcBorders>
              <w:top w:val="none"/>
              <w:left w:val="single" w:sz="24" w:space="0" w:color="831843"/>
              <w:bottom w:val="none"/>
              <w:right w:val="none"/>
            </w:tcBorders>
          </w:tcPr>
          <w:p>
            <w:pPr>
              <w:spacing w:before="0" w:after="40"/>
            </w:pPr>
            <w:r>
              <w:rPr>
                <w:rFonts w:ascii="Arial" w:hAnsi="Arial"/>
                <w:b/>
                <w:color w:val="831843"/>
                <w:sz w:val="21"/>
              </w:rPr>
              <w:t>★ Q5: Why did you create a separate BOOKING_SEAT table instead of storing a comma-separated list of seats in BOOKING?</w:t>
              <w:br/>
            </w:r>
            <w:r>
              <w:rPr>
                <w:rFonts w:ascii="Calibri" w:hAnsi="Calibri"/>
                <w:color w:val="1E293B"/>
                <w:sz w:val="20"/>
              </w:rPr>
              <w:t>Storing comma-separated values (`'A1, A2, A3'`) violates First Normal Form (1NF), which requires all attribute values to be atomic. It prevents the database from indexing seats, enforcing foreign keys, or creating row-level locks on individual seats.</w:t>
            </w:r>
          </w:p>
        </w:tc>
      </w:tr>
    </w:tbl>
    <w:p>
      <w:pPr>
        <w:spacing w:after="80"/>
      </w:pP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180" w:type="dxa"/>
              <w:right w:w="180" w:type="dxa"/>
            </w:tcMar>
            <w:tcBorders>
              <w:top w:val="none"/>
              <w:left w:val="single" w:sz="24" w:space="0" w:color="831843"/>
              <w:bottom w:val="none"/>
              <w:right w:val="none"/>
            </w:tcBorders>
          </w:tcPr>
          <w:p>
            <w:pPr>
              <w:spacing w:before="0" w:after="40"/>
            </w:pPr>
            <w:r>
              <w:rPr>
                <w:rFonts w:ascii="Arial" w:hAnsi="Arial"/>
                <w:b/>
                <w:color w:val="831843"/>
                <w:sz w:val="21"/>
              </w:rPr>
              <w:t>★ Q6: Explain the role of the UNIQUE (ShowID, SeatID) constraint.</w:t>
              <w:br/>
            </w:r>
            <w:r>
              <w:rPr>
                <w:rFonts w:ascii="Calibri" w:hAnsi="Calibri"/>
                <w:color w:val="1E293B"/>
                <w:sz w:val="20"/>
              </w:rPr>
              <w:t>It ensures that a physical seat can only be recorded once for a given show in the `BOOKING_SEAT` table. If any concurrent transaction bypasses application logic, MySQL halts the insert and throws error code `ER_DUP_ENTRY` (Error 1062).</w:t>
            </w:r>
          </w:p>
        </w:tc>
      </w:tr>
    </w:tbl>
    <w:p>
      <w:pPr>
        <w:spacing w:after="80"/>
      </w:pP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180" w:type="dxa"/>
              <w:right w:w="180" w:type="dxa"/>
            </w:tcMar>
            <w:tcBorders>
              <w:top w:val="none"/>
              <w:left w:val="single" w:sz="24" w:space="0" w:color="831843"/>
              <w:bottom w:val="none"/>
              <w:right w:val="none"/>
            </w:tcBorders>
          </w:tcPr>
          <w:p>
            <w:pPr>
              <w:spacing w:before="0" w:after="40"/>
            </w:pPr>
            <w:r>
              <w:rPr>
                <w:rFonts w:ascii="Arial" w:hAnsi="Arial"/>
                <w:b/>
                <w:color w:val="831843"/>
                <w:sz w:val="21"/>
              </w:rPr>
              <w:t>★ Q7: What is a Database View, and why did you create view_show_seats?</w:t>
              <w:br/>
            </w:r>
            <w:r>
              <w:rPr>
                <w:rFonts w:ascii="Calibri" w:hAnsi="Calibri"/>
                <w:color w:val="1E293B"/>
                <w:sz w:val="20"/>
              </w:rPr>
              <w:t>A View is a stored virtual query that presents data like a table without duplicating data on disk. We created `view_show_seats` to abstract the complex 4-table join and CASE statement needed to compute seat availability, providing clean API consumption.</w:t>
            </w:r>
          </w:p>
        </w:tc>
      </w:tr>
    </w:tbl>
    <w:p>
      <w:pPr>
        <w:spacing w:after="80"/>
      </w:pP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180" w:type="dxa"/>
              <w:right w:w="180" w:type="dxa"/>
            </w:tcMar>
            <w:tcBorders>
              <w:top w:val="none"/>
              <w:left w:val="single" w:sz="24" w:space="0" w:color="831843"/>
              <w:bottom w:val="none"/>
              <w:right w:val="none"/>
            </w:tcBorders>
          </w:tcPr>
          <w:p>
            <w:pPr>
              <w:spacing w:before="0" w:after="40"/>
            </w:pPr>
            <w:r>
              <w:rPr>
                <w:rFonts w:ascii="Arial" w:hAnsi="Arial"/>
                <w:b/>
                <w:color w:val="831843"/>
                <w:sz w:val="21"/>
              </w:rPr>
              <w:t>★ Q8: How does your system handle deadlocks in MySQL?</w:t>
              <w:br/>
            </w:r>
            <w:r>
              <w:rPr>
                <w:rFonts w:ascii="Calibri" w:hAnsi="Calibri"/>
                <w:color w:val="1E293B"/>
                <w:sz w:val="20"/>
              </w:rPr>
              <w:t>Our application layer uses `queueService.js` to serialize bookings per show into a FIFO queue with `concurrency: 1`. Because transactions targeting the same show execute sequentially rather than competing simultaneously, deadlock probability is reduced to near zero.</w:t>
            </w:r>
          </w:p>
        </w:tc>
      </w:tr>
    </w:tbl>
    <w:p>
      <w:pPr>
        <w:spacing w:after="80"/>
      </w:pP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180" w:type="dxa"/>
              <w:right w:w="180" w:type="dxa"/>
            </w:tcMar>
            <w:tcBorders>
              <w:top w:val="none"/>
              <w:left w:val="single" w:sz="24" w:space="0" w:color="831843"/>
              <w:bottom w:val="none"/>
              <w:right w:val="none"/>
            </w:tcBorders>
          </w:tcPr>
          <w:p>
            <w:pPr>
              <w:spacing w:before="0" w:after="40"/>
            </w:pPr>
            <w:r>
              <w:rPr>
                <w:rFonts w:ascii="Arial" w:hAnsi="Arial"/>
                <w:b/>
                <w:color w:val="831843"/>
                <w:sz w:val="21"/>
              </w:rPr>
              <w:t>★ Q9: What are ACID properties, and where is Atomicity demonstrated in your code?</w:t>
              <w:br/>
            </w:r>
            <w:r>
              <w:rPr>
                <w:rFonts w:ascii="Calibri" w:hAnsi="Calibri"/>
                <w:color w:val="1E293B"/>
                <w:sz w:val="20"/>
              </w:rPr>
              <w:t>Atomicity is demonstrated in `bookingService.js`. When a user books tickets, we execute: `START TRANSACTION`, insert into `BOOKING`, insert into `BOOKING_SEAT`, insert into `PAYMENT`, and update `BOOKING` status. If any step fails, `ROLLBACK` is invoked, leaving zero orphan rows.</w:t>
            </w:r>
          </w:p>
        </w:tc>
      </w:tr>
    </w:tbl>
    <w:p>
      <w:pPr>
        <w:spacing w:after="80"/>
      </w:pP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180" w:type="dxa"/>
              <w:right w:w="180" w:type="dxa"/>
            </w:tcMar>
            <w:tcBorders>
              <w:top w:val="none"/>
              <w:left w:val="single" w:sz="24" w:space="0" w:color="831843"/>
              <w:bottom w:val="none"/>
              <w:right w:val="none"/>
            </w:tcBorders>
          </w:tcPr>
          <w:p>
            <w:pPr>
              <w:spacing w:before="0" w:after="40"/>
            </w:pPr>
            <w:r>
              <w:rPr>
                <w:rFonts w:ascii="Arial" w:hAnsi="Arial"/>
                <w:b/>
                <w:color w:val="831843"/>
                <w:sz w:val="21"/>
              </w:rPr>
              <w:t>★ Q10: What is the difference between WHERE and HAVING in SQL?</w:t>
              <w:br/>
            </w:r>
            <w:r>
              <w:rPr>
                <w:rFonts w:ascii="Calibri" w:hAnsi="Calibri"/>
                <w:color w:val="1E293B"/>
                <w:sz w:val="20"/>
              </w:rPr>
              <w:t>WHERE filters individual rows before any grouping occurs. HAVING filters aggregated groups after `GROUP BY` has processed. For example, in Query 18, we filter theatres having `COUNT(ScreenID) &gt; 1` using HAVING.</w:t>
            </w:r>
          </w:p>
        </w:tc>
      </w:tr>
    </w:tbl>
    <w:p>
      <w:pPr>
        <w:spacing w:after="80"/>
      </w:pP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180" w:type="dxa"/>
              <w:right w:w="180" w:type="dxa"/>
            </w:tcMar>
            <w:tcBorders>
              <w:top w:val="none"/>
              <w:left w:val="single" w:sz="24" w:space="0" w:color="831843"/>
              <w:bottom w:val="none"/>
              <w:right w:val="none"/>
            </w:tcBorders>
          </w:tcPr>
          <w:p>
            <w:pPr>
              <w:spacing w:before="0" w:after="40"/>
            </w:pPr>
            <w:r>
              <w:rPr>
                <w:rFonts w:ascii="Arial" w:hAnsi="Arial"/>
                <w:b/>
                <w:color w:val="831843"/>
                <w:sz w:val="21"/>
              </w:rPr>
              <w:t>★ Q11: Why did you add indexes to Foreign Keys?</w:t>
              <w:br/>
            </w:r>
            <w:r>
              <w:rPr>
                <w:rFonts w:ascii="Calibri" w:hAnsi="Calibri"/>
                <w:color w:val="1E293B"/>
                <w:sz w:val="20"/>
              </w:rPr>
              <w:t>MySQL does not automatically optimize all foreign key searches. Adding B-Tree indexes on `ShowID`, `MovieID`, and `CustomerID` ensures that multi-table JOINs and `WHERE` filtering operate in $O(\log N)$ time rather than requiring full table scans.</w:t>
            </w:r>
          </w:p>
        </w:tc>
      </w:tr>
    </w:tbl>
    <w:p>
      <w:pPr>
        <w:spacing w:after="80"/>
      </w:pP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180" w:type="dxa"/>
              <w:right w:w="180" w:type="dxa"/>
            </w:tcMar>
            <w:tcBorders>
              <w:top w:val="none"/>
              <w:left w:val="single" w:sz="24" w:space="0" w:color="831843"/>
              <w:bottom w:val="none"/>
              <w:right w:val="none"/>
            </w:tcBorders>
          </w:tcPr>
          <w:p>
            <w:pPr>
              <w:spacing w:before="0" w:after="40"/>
            </w:pPr>
            <w:r>
              <w:rPr>
                <w:rFonts w:ascii="Arial" w:hAnsi="Arial"/>
                <w:b/>
                <w:color w:val="831843"/>
                <w:sz w:val="21"/>
              </w:rPr>
              <w:t>★ Q12: What is the Leftmost Prefix Rule in composite indexing?</w:t>
              <w:br/>
            </w:r>
            <w:r>
              <w:rPr>
                <w:rFonts w:ascii="Calibri" w:hAnsi="Calibri"/>
                <w:color w:val="1E293B"/>
                <w:sz w:val="20"/>
              </w:rPr>
              <w:t>On composite index `(ShowID, SeatID)`, MySQL can utilize the index for queries that filter by `ShowID` alone, or by both `ShowID` and `SeatID`. However, a query filtering solely by `SeatID` cannot utilize the index prefix efficiently.</w:t>
            </w:r>
          </w:p>
        </w:tc>
      </w:tr>
    </w:tbl>
    <w:p>
      <w:pPr>
        <w:spacing w:after="80"/>
      </w:pP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180" w:type="dxa"/>
              <w:right w:w="180" w:type="dxa"/>
            </w:tcMar>
            <w:tcBorders>
              <w:top w:val="none"/>
              <w:left w:val="single" w:sz="24" w:space="0" w:color="831843"/>
              <w:bottom w:val="none"/>
              <w:right w:val="none"/>
            </w:tcBorders>
          </w:tcPr>
          <w:p>
            <w:pPr>
              <w:spacing w:before="0" w:after="40"/>
            </w:pPr>
            <w:r>
              <w:rPr>
                <w:rFonts w:ascii="Arial" w:hAnsi="Arial"/>
                <w:b/>
                <w:color w:val="831843"/>
                <w:sz w:val="21"/>
              </w:rPr>
              <w:t>★ Q13: How does ON DELETE CASCADE work in your schema?</w:t>
              <w:br/>
            </w:r>
            <w:r>
              <w:rPr>
                <w:rFonts w:ascii="Calibri" w:hAnsi="Calibri"/>
                <w:color w:val="1E293B"/>
                <w:sz w:val="20"/>
              </w:rPr>
              <w:t>If a parent record (such as a THEATRE) is deleted, InnoDB automatically cascades the deletion down the hierarchy to its SCREENS, SHOWS, BOOKINGS, and BOOKING_SEAT records, preventing dangling pointers and foreign key violations.</w:t>
            </w:r>
          </w:p>
        </w:tc>
      </w:tr>
    </w:tbl>
    <w:p>
      <w:pPr>
        <w:spacing w:after="80"/>
      </w:pP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180" w:type="dxa"/>
              <w:right w:w="180" w:type="dxa"/>
            </w:tcMar>
            <w:tcBorders>
              <w:top w:val="none"/>
              <w:left w:val="single" w:sz="24" w:space="0" w:color="831843"/>
              <w:bottom w:val="none"/>
              <w:right w:val="none"/>
            </w:tcBorders>
          </w:tcPr>
          <w:p>
            <w:pPr>
              <w:spacing w:before="0" w:after="40"/>
            </w:pPr>
            <w:r>
              <w:rPr>
                <w:rFonts w:ascii="Arial" w:hAnsi="Arial"/>
                <w:b/>
                <w:color w:val="831843"/>
                <w:sz w:val="21"/>
              </w:rPr>
              <w:t>★ Q14: How does connection pooling improve performance over single client connections?</w:t>
              <w:br/>
            </w:r>
            <w:r>
              <w:rPr>
                <w:rFonts w:ascii="Calibri" w:hAnsi="Calibri"/>
                <w:color w:val="1E293B"/>
                <w:sz w:val="20"/>
              </w:rPr>
              <w:t>Connection pooling eliminates the high latency and CPU overhead of establishing TCP three-way handshakes and TLS authentication on every HTTP request. Connections are pre-warmed and reused continuously across requests.</w:t>
            </w:r>
          </w:p>
        </w:tc>
      </w:tr>
    </w:tbl>
    <w:p>
      <w:pPr>
        <w:spacing w:after="80"/>
      </w:pP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180" w:type="dxa"/>
              <w:right w:w="180" w:type="dxa"/>
            </w:tcMar>
            <w:tcBorders>
              <w:top w:val="none"/>
              <w:left w:val="single" w:sz="24" w:space="0" w:color="831843"/>
              <w:bottom w:val="none"/>
              <w:right w:val="none"/>
            </w:tcBorders>
          </w:tcPr>
          <w:p>
            <w:pPr>
              <w:spacing w:before="0" w:after="40"/>
            </w:pPr>
            <w:r>
              <w:rPr>
                <w:rFonts w:ascii="Arial" w:hAnsi="Arial"/>
                <w:b/>
                <w:color w:val="831843"/>
                <w:sz w:val="21"/>
              </w:rPr>
              <w:t>★ Q15: What is the difference between optimistic and pessimistic concurrency control?</w:t>
              <w:br/>
            </w:r>
            <w:r>
              <w:rPr>
                <w:rFonts w:ascii="Calibri" w:hAnsi="Calibri"/>
                <w:color w:val="1E293B"/>
                <w:sz w:val="20"/>
              </w:rPr>
              <w:t>Optimistic concurrency assumes conflicts are rare, checking version timestamps at commit time. Pessimistic concurrency assumes conflicts will occur and acquires exclusive locks upfront. CineTicket uses Pessimistic Locking via `SELECT ... FOR UPDATE` because cinema seat contention is extremely high during peak ticket releases.</w:t>
            </w:r>
          </w:p>
        </w:tc>
      </w:tr>
    </w:tbl>
    <w:p>
      <w:pPr>
        <w:spacing w:after="80"/>
      </w:pP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180" w:type="dxa"/>
              <w:right w:w="180" w:type="dxa"/>
            </w:tcMar>
            <w:tcBorders>
              <w:top w:val="none"/>
              <w:left w:val="single" w:sz="24" w:space="0" w:color="831843"/>
              <w:bottom w:val="none"/>
              <w:right w:val="none"/>
            </w:tcBorders>
          </w:tcPr>
          <w:p>
            <w:pPr>
              <w:spacing w:before="0" w:after="40"/>
            </w:pPr>
            <w:r>
              <w:rPr>
                <w:rFonts w:ascii="Arial" w:hAnsi="Arial"/>
                <w:b/>
                <w:color w:val="831843"/>
                <w:sz w:val="21"/>
              </w:rPr>
              <w:t>★ Q16: How do parameterized queries prevent SQL injection?</w:t>
              <w:br/>
            </w:r>
            <w:r>
              <w:rPr>
                <w:rFonts w:ascii="Calibri" w:hAnsi="Calibri"/>
                <w:color w:val="1E293B"/>
                <w:sz w:val="20"/>
              </w:rPr>
              <w:t>The database compiles the SQL statement structure first with placeholders (`?`). When user parameters are sent, the database engine binds them strictly as literal scalar values, never allowing malicious characters to modify the query structure.</w:t>
            </w:r>
          </w:p>
        </w:tc>
      </w:tr>
    </w:tbl>
    <w:p>
      <w:pPr>
        <w:spacing w:after="80"/>
      </w:pP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180" w:type="dxa"/>
              <w:right w:w="180" w:type="dxa"/>
            </w:tcMar>
            <w:tcBorders>
              <w:top w:val="none"/>
              <w:left w:val="single" w:sz="24" w:space="0" w:color="831843"/>
              <w:bottom w:val="none"/>
              <w:right w:val="none"/>
            </w:tcBorders>
          </w:tcPr>
          <w:p>
            <w:pPr>
              <w:spacing w:before="0" w:after="40"/>
            </w:pPr>
            <w:r>
              <w:rPr>
                <w:rFonts w:ascii="Arial" w:hAnsi="Arial"/>
                <w:b/>
                <w:color w:val="831843"/>
                <w:sz w:val="21"/>
              </w:rPr>
              <w:t>★ Q17: What does the GROUP_CONCAT() function do in Query 8?</w:t>
              <w:br/>
            </w:r>
            <w:r>
              <w:rPr>
                <w:rFonts w:ascii="Calibri" w:hAnsi="Calibri"/>
                <w:color w:val="1E293B"/>
                <w:sz w:val="20"/>
              </w:rPr>
              <w:t>In Query 8, a single booking has multiple seat rows. `GROUP_CONCAT(st.SeatNumber)` aggregates those multiple row values into a single comma-delimited string (e.g., `'A1, A2'`) grouped by `BookingID`.</w:t>
            </w:r>
          </w:p>
        </w:tc>
      </w:tr>
    </w:tbl>
    <w:p>
      <w:pPr>
        <w:spacing w:after="80"/>
      </w:pP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180" w:type="dxa"/>
              <w:right w:w="180" w:type="dxa"/>
            </w:tcMar>
            <w:tcBorders>
              <w:top w:val="none"/>
              <w:left w:val="single" w:sz="24" w:space="0" w:color="831843"/>
              <w:bottom w:val="none"/>
              <w:right w:val="none"/>
            </w:tcBorders>
          </w:tcPr>
          <w:p>
            <w:pPr>
              <w:spacing w:before="0" w:after="40"/>
            </w:pPr>
            <w:r>
              <w:rPr>
                <w:rFonts w:ascii="Arial" w:hAnsi="Arial"/>
                <w:b/>
                <w:color w:val="831843"/>
                <w:sz w:val="21"/>
              </w:rPr>
              <w:t>★ Q18: What is 3NF, and how is it satisfied in the SHOW table?</w:t>
              <w:br/>
            </w:r>
            <w:r>
              <w:rPr>
                <w:rFonts w:ascii="Calibri" w:hAnsi="Calibri"/>
                <w:color w:val="1E293B"/>
                <w:sz w:val="20"/>
              </w:rPr>
              <w:t>`SHOW` references `ScreenID` and `MovieID`. It does not store `TheatreID`, because `TheatreID` is transitively dependent through `ScreenID` (`ShowID -&gt; ScreenID -&gt; TheatreID`). Storing only `ScreenID` eliminates transitive dependency and achieves 3NF.</w:t>
            </w:r>
          </w:p>
        </w:tc>
      </w:tr>
    </w:tbl>
    <w:p>
      <w:pPr>
        <w:spacing w:after="80"/>
      </w:pP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180" w:type="dxa"/>
              <w:right w:w="180" w:type="dxa"/>
            </w:tcMar>
            <w:tcBorders>
              <w:top w:val="none"/>
              <w:left w:val="single" w:sz="24" w:space="0" w:color="831843"/>
              <w:bottom w:val="none"/>
              <w:right w:val="none"/>
            </w:tcBorders>
          </w:tcPr>
          <w:p>
            <w:pPr>
              <w:spacing w:before="0" w:after="40"/>
            </w:pPr>
            <w:r>
              <w:rPr>
                <w:rFonts w:ascii="Arial" w:hAnsi="Arial"/>
                <w:b/>
                <w:color w:val="831843"/>
                <w:sz w:val="21"/>
              </w:rPr>
              <w:t>★ Q19: What is the purpose of the CHECK constraint?</w:t>
              <w:br/>
            </w:r>
            <w:r>
              <w:rPr>
                <w:rFonts w:ascii="Calibri" w:hAnsi="Calibri"/>
                <w:color w:val="1E293B"/>
                <w:sz w:val="20"/>
              </w:rPr>
              <w:t>`CHECK` validates domain values at the schema level. For example, `CHECK (Price &gt;= 0)` ensures ticket prices cannot be negative, regardless of client-side or application-side validation errors.</w:t>
            </w:r>
          </w:p>
        </w:tc>
      </w:tr>
    </w:tbl>
    <w:p>
      <w:pPr>
        <w:spacing w:after="80"/>
      </w:pP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180" w:type="dxa"/>
              <w:right w:w="180" w:type="dxa"/>
            </w:tcMar>
            <w:tcBorders>
              <w:top w:val="none"/>
              <w:left w:val="single" w:sz="24" w:space="0" w:color="831843"/>
              <w:bottom w:val="none"/>
              <w:right w:val="none"/>
            </w:tcBorders>
          </w:tcPr>
          <w:p>
            <w:pPr>
              <w:spacing w:before="0" w:after="40"/>
            </w:pPr>
            <w:r>
              <w:rPr>
                <w:rFonts w:ascii="Arial" w:hAnsi="Arial"/>
                <w:b/>
                <w:color w:val="831843"/>
                <w:sz w:val="21"/>
              </w:rPr>
              <w:t>★ Q20: What is the difference between FOR UPDATE and FOR SHARE?</w:t>
              <w:br/>
            </w:r>
            <w:r>
              <w:rPr>
                <w:rFonts w:ascii="Calibri" w:hAnsi="Calibri"/>
                <w:color w:val="1E293B"/>
                <w:sz w:val="20"/>
              </w:rPr>
              <w:t>`FOR UPDATE` requests an Exclusive Lock (X-lock), preventing other transactions from reading or writing. `FOR SHARE` requests a Shared Lock (S-lock), allowing other transactions to read concurrently but preventing any writes or updates until released.</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