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6" w:name="content"/>
    <w:bookmarkStart w:id="21" w:name="X4169c7110919fb1d39c0532661655ab117e149a"/>
    <w:p>
      <w:pPr>
        <w:pStyle w:val="Heading1"/>
      </w:pPr>
      <w:r>
        <w:t xml:space="preserve">Repository Structure and Responsibilities</w:t>
      </w:r>
    </w:p>
    <w:p>
      <w:pPr>
        <w:pStyle w:val="FirstParagraph"/>
      </w:pPr>
      <w:r>
        <w:t xml:space="preserve">First, list all files and folders to understand each module’s role. For example, a financial-ETL repo might include</w:t>
      </w:r>
      <w:r>
        <w:t xml:space="preserve"> </w:t>
      </w:r>
      <w:r>
        <w:rPr>
          <w:rStyle w:val="VerbatimChar"/>
        </w:rPr>
        <w:t xml:space="preserve">README.md</w:t>
      </w:r>
      <w:r>
        <w:t xml:space="preserve">, sample data (CSV/API files), a main pipeline script, and subfolders for extraction, transformation, and loading code【8†L209-L213】. Map each file to its purpose: e.g. a</w:t>
      </w:r>
      <w:r>
        <w:t xml:space="preserve"> </w:t>
      </w:r>
      <w:r>
        <w:rPr>
          <w:rStyle w:val="VerbatimChar"/>
        </w:rPr>
        <w:t xml:space="preserve">pipeline_runner.py</w:t>
      </w:r>
      <w:r>
        <w:t xml:space="preserve"> </w:t>
      </w:r>
      <w:r>
        <w:t xml:space="preserve">script orchestrates the flow,</w:t>
      </w:r>
      <w:r>
        <w:t xml:space="preserve"> </w:t>
      </w:r>
      <w:r>
        <w:rPr>
          <w:rStyle w:val="VerbatimChar"/>
        </w:rPr>
        <w:t xml:space="preserve">data_profiling.py</w:t>
      </w:r>
      <w:r>
        <w:t xml:space="preserve"> </w:t>
      </w:r>
      <w:r>
        <w:t xml:space="preserve">and</w:t>
      </w:r>
      <w:r>
        <w:t xml:space="preserve"> </w:t>
      </w:r>
      <w:r>
        <w:rPr>
          <w:rStyle w:val="VerbatimChar"/>
        </w:rPr>
        <w:t xml:space="preserve">data_cleaning.py</w:t>
      </w:r>
      <w:r>
        <w:t xml:space="preserve"> </w:t>
      </w:r>
      <w:r>
        <w:t xml:space="preserve">perform quality checks,</w:t>
      </w:r>
      <w:r>
        <w:t xml:space="preserve"> </w:t>
      </w:r>
      <w:r>
        <w:rPr>
          <w:rStyle w:val="VerbatimChar"/>
        </w:rPr>
        <w:t xml:space="preserve">business_rules.py</w:t>
      </w:r>
      <w:r>
        <w:t xml:space="preserve"> </w:t>
      </w:r>
      <w:r>
        <w:t xml:space="preserve">applies domain transformations, and</w:t>
      </w:r>
      <w:r>
        <w:t xml:space="preserve"> </w:t>
      </w:r>
      <w:r>
        <w:rPr>
          <w:rStyle w:val="VerbatimChar"/>
        </w:rPr>
        <w:t xml:space="preserve">star_schema.py</w:t>
      </w:r>
      <w:r>
        <w:t xml:space="preserve"> </w:t>
      </w:r>
      <w:r>
        <w:t xml:space="preserve">builds fact/dimension tables【11†L329-L338】. You should document this in comments or a diagram. As one architecture shows, the flow goes:</w:t>
      </w:r>
      <w:r>
        <w:t xml:space="preserve"> </w:t>
      </w:r>
      <w:r>
        <w:rPr>
          <w:b/>
          <w:bCs/>
        </w:rPr>
        <w:t xml:space="preserve">Data Sources → Extraction → Validation → Transformation → Star Schema → API/Feeds</w:t>
      </w:r>
      <w:r>
        <w:t xml:space="preserve"> </w:t>
      </w:r>
      <w:r>
        <w:t xml:space="preserve">(with Python code handling CSV/API inputs, Pandas extraction, quality checks, business rules, fact/dimension loading, and FastAPI endpoints)【11†L262-L269】. Understanding this mapping is key before reviewing logic.</w:t>
      </w:r>
    </w:p>
    <w:bookmarkEnd w:id="21"/>
    <w:bookmarkStart w:id="22" w:name="data-flow-extract-transform-load"/>
    <w:p>
      <w:pPr>
        <w:pStyle w:val="Heading1"/>
      </w:pPr>
      <w:r>
        <w:t xml:space="preserve">Data Flow: Extract → Transform → Load</w:t>
      </w:r>
    </w:p>
    <w:p>
      <w:pPr>
        <w:pStyle w:val="FirstParagraph"/>
      </w:pPr>
      <w:r>
        <w:t xml:space="preserve">Trace the data end-to-end through the pipeline. In an ETL process,</w:t>
      </w:r>
      <w:r>
        <w:t xml:space="preserve"> </w:t>
      </w:r>
      <w:r>
        <w:rPr>
          <w:b/>
          <w:bCs/>
        </w:rPr>
        <w:t xml:space="preserve">extraction</w:t>
      </w:r>
      <w:r>
        <w:t xml:space="preserve"> </w:t>
      </w:r>
      <w:r>
        <w:t xml:space="preserve">retrieves data from sources (databases, files or APIs) without altering it【31†L135-L142】.</w:t>
      </w:r>
      <w:r>
        <w:t xml:space="preserve"> </w:t>
      </w:r>
      <w:r>
        <w:rPr>
          <w:b/>
          <w:bCs/>
        </w:rPr>
        <w:t xml:space="preserve">Transformation</w:t>
      </w:r>
      <w:r>
        <w:t xml:space="preserve"> </w:t>
      </w:r>
      <w:r>
        <w:t xml:space="preserve">then refines raw data (cleaning, normalizing, aggregating, applying business logic) so it’s analytics-ready【31†L148-L156】. Finally,</w:t>
      </w:r>
      <w:r>
        <w:t xml:space="preserve"> </w:t>
      </w:r>
      <w:r>
        <w:rPr>
          <w:b/>
          <w:bCs/>
        </w:rPr>
        <w:t xml:space="preserve">loading</w:t>
      </w:r>
      <w:r>
        <w:t xml:space="preserve"> </w:t>
      </w:r>
      <w:r>
        <w:t xml:space="preserve">writes the transformed data into the target (warehouse, database, or model tables) efficiently【31†L159-L168】. For example, one pipeline first extracts a CSV or API feed into Pandas, applies profiling and cleaning checks, transforms records by defined business rules, and then loads them into a star-schema (fact+dimension) model【11†L262-L269】【31†L159-L168】. This flow should be documented (diagram or comments). Verify that each stage handles edge cases: e.g. extraction with schema validation, transformation functions with input/output tests, and loading with idempotent upserts to avoid duplicates【22†L189-L197】【20†L1-L4】.</w:t>
      </w:r>
    </w:p>
    <w:bookmarkEnd w:id="22"/>
    <w:bookmarkStart w:id="23" w:name="architecture-considerations"/>
    <w:p>
      <w:pPr>
        <w:pStyle w:val="Heading1"/>
      </w:pPr>
      <w:r>
        <w:t xml:space="preserve">Architecture Considerations</w:t>
      </w:r>
    </w:p>
    <w:p>
      <w:pPr>
        <w:pStyle w:val="FirstParagraph"/>
      </w:pPr>
      <w:r>
        <w:t xml:space="preserve">Evaluate overall design for</w:t>
      </w:r>
      <w:r>
        <w:t xml:space="preserve"> </w:t>
      </w:r>
      <w:r>
        <w:rPr>
          <w:b/>
          <w:bCs/>
        </w:rPr>
        <w:t xml:space="preserve">scalability, reliability, and security</w:t>
      </w:r>
      <w:r>
        <w:t xml:space="preserve">. Ensure the pipeline can grow with data volume: use modular, parallelizable components and cloud services. Best practices include preferring</w:t>
      </w:r>
      <w:r>
        <w:t xml:space="preserve"> </w:t>
      </w:r>
      <w:r>
        <w:rPr>
          <w:i/>
          <w:iCs/>
        </w:rPr>
        <w:t xml:space="preserve">incremental loads</w:t>
      </w:r>
      <w:r>
        <w:t xml:space="preserve"> </w:t>
      </w:r>
      <w:r>
        <w:t xml:space="preserve">over full reloads (cutting compute cost as data grows) and ensuring idempotent writes so retries are safe【22†L189-L197】【22†L200-L207】. Partition and cluster tables on frequently queried fields (date, account, etc.) to speed up queries【22†L210-L214】. Landing raw data in an</w:t>
      </w:r>
      <w:r>
        <w:t xml:space="preserve"> </w:t>
      </w:r>
      <w:r>
        <w:rPr>
          <w:i/>
          <w:iCs/>
        </w:rPr>
        <w:t xml:space="preserve">immutable</w:t>
      </w:r>
      <w:r>
        <w:t xml:space="preserve"> </w:t>
      </w:r>
      <w:r>
        <w:t xml:space="preserve">zone (append-only storage) before any transform is non-negotiable – it prevents data loss and gives a reprocessing baseline【22†L231-L236】. Implement robust error handling: log successes/failures at each step, retry transient failures, and halt (or quarantine) on critical validation errors. For example, include schema checks on ingest to catch unexpected nulls or type changes early【22†L240-L247】.</w:t>
      </w:r>
    </w:p>
    <w:p>
      <w:pPr>
        <w:pStyle w:val="BodyText"/>
      </w:pPr>
      <w:r>
        <w:t xml:space="preserve">Architect for</w:t>
      </w:r>
      <w:r>
        <w:t xml:space="preserve"> </w:t>
      </w:r>
      <w:r>
        <w:rPr>
          <w:b/>
          <w:bCs/>
        </w:rPr>
        <w:t xml:space="preserve">reliability and observability</w:t>
      </w:r>
      <w:r>
        <w:t xml:space="preserve">. Include monitoring and alerting: capture pipeline metrics (records/sec, end-to-end latency, error counts) and set alerts before SLAs break【22†L308-L314】. Record data lineage or provenance so you can trace any output row back to its inputs【22†L300-L308】. Use retries and checkpointing to recover from failures without data loss. For security, protect sensitive financial data: apply access controls and encryption (in transit and at rest), mask or hash PII fields, and enforce data contracts. The pipeline should define clear data access rules (who can read which tables with what freshness)【22†L324-L332】【18†L355-L364】. Also audit and log access for compliance. In short, design for “no silent failures” – each stage should validate data quality and either correct or raise an exception. Dagster’s best practices, for example, suggest automating validation at every stage【18†L330-L338】【22†L238-L247】.</w:t>
      </w:r>
    </w:p>
    <w:p>
      <w:pPr>
        <w:pStyle w:val="BodyText"/>
      </w:pPr>
      <w:r>
        <w:t xml:space="preserve">【26†embed_image】</w:t>
      </w:r>
      <w:r>
        <w:t xml:space="preserve"> </w:t>
      </w:r>
      <w:r>
        <w:rPr>
          <w:i/>
          <w:iCs/>
        </w:rPr>
        <w:t xml:space="preserve">Figure: Example ELT pipeline architecture.</w:t>
      </w:r>
      <w:r>
        <w:t xml:space="preserve"> </w:t>
      </w:r>
      <w:r>
        <w:t xml:space="preserve">The choice between traditional ETL and ELT approaches affects system design. In ELT (Extract-Load-Transform), raw data is loaded into the target store first, and all transformations happen there【43†L85-L92】. This can simplify the architecture by leveraging the database’s compute power (scaling the target scales the pipeline) and removing a separate transform engine. Modern data warehouses often use ELT (arrow diagram from Microsoft Azure). Evaluate whether an ELT pattern fits your needs (requires a powerful target) or if you need to offload heavy transformations elsewhere.</w:t>
      </w:r>
    </w:p>
    <w:bookmarkEnd w:id="23"/>
    <w:bookmarkStart w:id="24" w:name="extensibility-design-patterns"/>
    <w:p>
      <w:pPr>
        <w:pStyle w:val="Heading1"/>
      </w:pPr>
      <w:r>
        <w:t xml:space="preserve">Extensibility &amp; Design Patterns</w:t>
      </w:r>
    </w:p>
    <w:p>
      <w:pPr>
        <w:pStyle w:val="FirstParagraph"/>
      </w:pPr>
      <w:r>
        <w:t xml:space="preserve">Aim for a modular, layered design so new features or sources can be added with minimal changes. Think of the pipeline in abstract layers (ingestion, processing, results) as modular blocks【13†L43-L52】. For each, define clear interfaces (e.g. a function or class for each transform). Refactor duplicated logic (e.g. common cleaning) into shared modules. Use config or metadata to parameterize pipelines rather than hard-coding values.</w:t>
      </w:r>
    </w:p>
    <w:p>
      <w:pPr>
        <w:pStyle w:val="BodyText"/>
      </w:pPr>
      <w:r>
        <w:t xml:space="preserve">Apply software design patterns to decouple components. For example, the</w:t>
      </w:r>
      <w:r>
        <w:t xml:space="preserve"> </w:t>
      </w:r>
      <w:r>
        <w:rPr>
          <w:b/>
          <w:bCs/>
        </w:rPr>
        <w:t xml:space="preserve">Facade</w:t>
      </w:r>
      <w:r>
        <w:t xml:space="preserve"> </w:t>
      </w:r>
      <w:r>
        <w:t xml:space="preserve">pattern can unify interactions with multiple data sources into a single interface, hiding complexity of different APIs【37†L466-L474】. The</w:t>
      </w:r>
      <w:r>
        <w:t xml:space="preserve"> </w:t>
      </w:r>
      <w:r>
        <w:rPr>
          <w:b/>
          <w:bCs/>
        </w:rPr>
        <w:t xml:space="preserve">Adapter</w:t>
      </w:r>
      <w:r>
        <w:t xml:space="preserve"> </w:t>
      </w:r>
      <w:r>
        <w:t xml:space="preserve">pattern can convert varying input formats (CSV, JSON, XML, etc.) into a standard internal format. Use the</w:t>
      </w:r>
      <w:r>
        <w:t xml:space="preserve"> </w:t>
      </w:r>
      <w:r>
        <w:rPr>
          <w:b/>
          <w:bCs/>
        </w:rPr>
        <w:t xml:space="preserve">Strategy</w:t>
      </w:r>
      <w:r>
        <w:t xml:space="preserve"> </w:t>
      </w:r>
      <w:r>
        <w:t xml:space="preserve">or</w:t>
      </w:r>
      <w:r>
        <w:t xml:space="preserve"> </w:t>
      </w:r>
      <w:r>
        <w:rPr>
          <w:b/>
          <w:bCs/>
        </w:rPr>
        <w:t xml:space="preserve">Factory</w:t>
      </w:r>
      <w:r>
        <w:t xml:space="preserve"> </w:t>
      </w:r>
      <w:r>
        <w:t xml:space="preserve">patterns to encapsulate different transformation rules or algorithms (e.g. selecting a validation strategy at runtime based on data type)【37†L466-L474】. Decorators can inject cross-cutting behavior like logging or retry around steps without modifying core logic. The</w:t>
      </w:r>
      <w:r>
        <w:t xml:space="preserve"> </w:t>
      </w:r>
      <w:r>
        <w:rPr>
          <w:b/>
          <w:bCs/>
        </w:rPr>
        <w:t xml:space="preserve">Observer</w:t>
      </w:r>
      <w:r>
        <w:t xml:space="preserve"> </w:t>
      </w:r>
      <w:r>
        <w:t xml:space="preserve">pattern can let separate modules (e.g. an alert manager) subscribe to pipeline events. For highly complex pipelines, you might adopt a microservices-like approach: break the ETL into independent services or functions (extractor, transformer, loader) that communicate via queues or APIs【25†L261-L264】【22†L251-L259】. As a best practice, make each transformation “small and testable”【22†L251-L259】.</w:t>
      </w:r>
    </w:p>
    <w:p>
      <w:pPr>
        <w:pStyle w:val="BodyText"/>
      </w:pPr>
      <w:r>
        <w:t xml:space="preserve">For example, one composable design is: a Facade handles the overall flow, Adapters load data, Strategy chooses cleaning rules, Decorators add monitoring/logging, and Command objects handle idempotent load actions【37†L499-L507】. In general, start with a simple design and refactor into patterns as needed – don’t over-engineer, but aim for reusability and clear contracts between modules【37†L472-L474】.</w:t>
      </w:r>
    </w:p>
    <w:bookmarkEnd w:id="24"/>
    <w:bookmarkStart w:id="25" w:name="testing-and-debugging-strategy"/>
    <w:p>
      <w:pPr>
        <w:pStyle w:val="Heading1"/>
      </w:pPr>
      <w:r>
        <w:t xml:space="preserve">Testing and Debugging Strategy</w:t>
      </w:r>
    </w:p>
    <w:p>
      <w:pPr>
        <w:pStyle w:val="FirstParagraph"/>
      </w:pPr>
      <w:r>
        <w:t xml:space="preserve">Develop a thorough test plan covering unit, integration, and end-to-end cases.</w:t>
      </w:r>
      <w:r>
        <w:t xml:space="preserve"> </w:t>
      </w:r>
      <w:r>
        <w:rPr>
          <w:b/>
          <w:bCs/>
        </w:rPr>
        <w:t xml:space="preserve">Unit tests</w:t>
      </w:r>
      <w:r>
        <w:t xml:space="preserve"> </w:t>
      </w:r>
      <w:r>
        <w:t xml:space="preserve">should cover individual functions (data parsing, cleaning, transformations). For each transformation, write a test with sample input and expected output to catch logic errors early【41†L151-L159】. Use frameworks like</w:t>
      </w:r>
      <w:r>
        <w:t xml:space="preserve"> </w:t>
      </w:r>
      <w:r>
        <w:rPr>
          <w:rStyle w:val="VerbatimChar"/>
        </w:rPr>
        <w:t xml:space="preserve">pytest</w:t>
      </w:r>
      <w:r>
        <w:t xml:space="preserve"> </w:t>
      </w:r>
      <w:r>
        <w:t xml:space="preserve">for Python. Additionally, consider</w:t>
      </w:r>
      <w:r>
        <w:t xml:space="preserve"> </w:t>
      </w:r>
      <w:r>
        <w:rPr>
          <w:b/>
          <w:bCs/>
        </w:rPr>
        <w:t xml:space="preserve">data quality tests</w:t>
      </w:r>
      <w:r>
        <w:t xml:space="preserve"> </w:t>
      </w:r>
      <w:r>
        <w:t xml:space="preserve">(e.g. with Great Expectations) to assert non-null keys, valid ranges, unique IDs, referential integrity, etc. These tests can run on sample or historical data to catch schema drifts.</w:t>
      </w:r>
    </w:p>
    <w:p>
      <w:pPr>
        <w:pStyle w:val="BodyText"/>
      </w:pPr>
      <w:r>
        <w:rPr>
          <w:b/>
          <w:bCs/>
        </w:rPr>
        <w:t xml:space="preserve">Integration tests</w:t>
      </w:r>
      <w:r>
        <w:t xml:space="preserve"> </w:t>
      </w:r>
      <w:r>
        <w:t xml:space="preserve">should run larger pieces of the pipeline (e.g. an entire ETL job on a small dataset) to ensure stages connect properly. For example, load a small CSV through the pipeline and check that the final tables are as expected【41†L159-L160】.</w:t>
      </w:r>
      <w:r>
        <w:t xml:space="preserve"> </w:t>
      </w:r>
      <w:r>
        <w:rPr>
          <w:b/>
          <w:bCs/>
        </w:rPr>
        <w:t xml:space="preserve">End-to-end tests</w:t>
      </w:r>
      <w:r>
        <w:t xml:space="preserve"> </w:t>
      </w:r>
      <w:r>
        <w:t xml:space="preserve">(black-box) can feed in source-like data and verify final outputs (fact tables, API responses) without looking at internals【41†L163-L168】. Include</w:t>
      </w:r>
      <w:r>
        <w:t xml:space="preserve"> </w:t>
      </w:r>
      <w:r>
        <w:rPr>
          <w:b/>
          <w:bCs/>
        </w:rPr>
        <w:t xml:space="preserve">performance tests</w:t>
      </w:r>
      <w:r>
        <w:t xml:space="preserve"> </w:t>
      </w:r>
      <w:r>
        <w:t xml:space="preserve">to measure throughput and ensure SLAs are met under load【41†L161-L165】.</w:t>
      </w:r>
    </w:p>
    <w:p>
      <w:pPr>
        <w:pStyle w:val="BodyText"/>
      </w:pPr>
      <w:r>
        <w:t xml:space="preserve">Throughout, add logging and monitoring hooks. Log key events (start/end of steps, row counts, errors) to diagnose issues. When debugging, use log outputs or debuggers to follow the flow with sample data. Unit tests make it easier to reproduce and fix bugs in isolation. If an error occurs in production, use the logged lineage and metrics to pinpoint the failing stage. Consider using try/catch with meaningful error messages during review.</w:t>
      </w:r>
    </w:p>
    <w:p>
      <w:pPr>
        <w:pStyle w:val="BodyText"/>
      </w:pPr>
      <w:r>
        <w:t xml:space="preserve">Finally, prepare for interviews by understanding “why” choices were made. For example: Why was a star schema used (it improves analytic query performance) and what are its trade-offs【28†L67-L76】【11†L351-L359】? Why incremental loads (cost) and idempotent writes (retries)【22†L189-L197】【22†L200-L207】? Understanding these design rationales shows system-level comprehension. In summary, review each file with curiosity: map it to the pipeline stages, question the design choices, and ensure the architecture follows data-engineering best practices.</w:t>
      </w:r>
    </w:p>
    <w:p>
      <w:pPr>
        <w:pStyle w:val="BodyText"/>
      </w:pPr>
      <w:r>
        <w:rPr>
          <w:b/>
          <w:bCs/>
        </w:rPr>
        <w:t xml:space="preserve">Sources:</w:t>
      </w:r>
      <w:r>
        <w:t xml:space="preserve"> </w:t>
      </w:r>
      <w:r>
        <w:t xml:space="preserve">Authoritative guides on ETL and data pipelines were used, including Microsoft architecture guidance【43†L85-L92】【28†L67-L75】, Dagster best practices【18†L305-L314】【31†L148-L156】, and Databricks pipeline design guidelines【22†L189-L197】【22†L231-L239】 (for incremental loads, landing zones, etc.). Other insights come from data engineering resources on modular pipelines and testing【13†L43-L52】【37†L466-L474】【41†L151-L160】.</w:t>
      </w:r>
    </w:p>
    <w:bookmarkEnd w:id="25"/>
    <w:bookmarkEnd w:id="26"/>
    <w:p>
      <w:r>
        <w:pict>
          <v:rect style="width:0;height:1.5pt" o:hralign="center" o:hrstd="t" o:hr="t"/>
        </w:pict>
      </w:r>
    </w:p>
    <w:bookmarkStart w:id="27" w:name="citations"/>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2026-07-25T17:38:29Z</dcterms:created>
  <dcterms:modified xsi:type="dcterms:W3CDTF">2026-07-25T17:38:29Z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