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B26C" w14:textId="77777777" w:rsidR="00FA365F" w:rsidRPr="00FA365F" w:rsidRDefault="00FA365F" w:rsidP="00FA365F">
      <w:r w:rsidRPr="00FA365F">
        <w:rPr>
          <w:b/>
          <w:bCs/>
          <w:u w:val="single"/>
          <w:lang w:val="en-GB"/>
        </w:rPr>
        <w:t>Part F,</w:t>
      </w:r>
      <w:r w:rsidRPr="00FA365F">
        <w:rPr>
          <w:b/>
          <w:bCs/>
          <w:lang w:val="en-GB"/>
        </w:rPr>
        <w:t> </w:t>
      </w:r>
      <w:r w:rsidRPr="00FA365F">
        <w:t> </w:t>
      </w:r>
    </w:p>
    <w:p w14:paraId="568898EC" w14:textId="77777777" w:rsidR="00FA365F" w:rsidRPr="00FA365F" w:rsidRDefault="00FA365F" w:rsidP="00FA365F">
      <w:r w:rsidRPr="00FA365F">
        <w:rPr>
          <w:b/>
          <w:bCs/>
          <w:lang w:val="en-GB"/>
        </w:rPr>
        <w:t>Applicable EU and National Laws for Compliance</w:t>
      </w:r>
      <w:r w:rsidRPr="00FA365F">
        <w:t> </w:t>
      </w:r>
    </w:p>
    <w:p w14:paraId="515F7EB5" w14:textId="77777777" w:rsidR="00FA365F" w:rsidRPr="00FA365F" w:rsidRDefault="00FA365F" w:rsidP="00FA365F">
      <w:r w:rsidRPr="00FA365F">
        <w:rPr>
          <w:lang w:val="en-GB"/>
        </w:rPr>
        <w:t>Given that the critical information asset identified in Part D is </w:t>
      </w:r>
      <w:r w:rsidRPr="00FA365F">
        <w:rPr>
          <w:b/>
          <w:bCs/>
          <w:lang w:val="en-GB"/>
        </w:rPr>
        <w:t>Patients in Critical Care</w:t>
      </w:r>
      <w:r w:rsidRPr="00FA365F">
        <w:rPr>
          <w:lang w:val="en-GB"/>
        </w:rPr>
        <w:t>, the hospital must comply with several EU and national laws that regulate the handling, protection, and safety of patient data and clinical operations. These laws exist because critical care patients depend on accurate, real time digital systems for monitoring, diagnosis, and treatment. Any disruption, misuse, or exposure of their sensitive information directly threatens patient safety and violates legal obligations.</w:t>
      </w:r>
      <w:r w:rsidRPr="00FA365F">
        <w:t> </w:t>
      </w:r>
    </w:p>
    <w:p w14:paraId="578CD1F3" w14:textId="77777777" w:rsidR="00FA365F" w:rsidRPr="00FA365F" w:rsidRDefault="00FA365F" w:rsidP="00FA365F">
      <w:r w:rsidRPr="00FA365F">
        <w:rPr>
          <w:b/>
          <w:bCs/>
          <w:lang w:val="en-GB"/>
        </w:rPr>
        <w:t>1. General Data Protection Regulation (GDPR), EU Law</w:t>
      </w:r>
      <w:r w:rsidRPr="00FA365F">
        <w:t> </w:t>
      </w:r>
    </w:p>
    <w:p w14:paraId="505F3C35" w14:textId="77777777" w:rsidR="00FA365F" w:rsidRPr="00FA365F" w:rsidRDefault="00FA365F" w:rsidP="00FA365F">
      <w:r w:rsidRPr="00FA365F">
        <w:rPr>
          <w:lang w:val="en-GB"/>
        </w:rPr>
        <w:t>GDPR applies because the hospital processes </w:t>
      </w:r>
      <w:r w:rsidRPr="00FA365F">
        <w:rPr>
          <w:b/>
          <w:bCs/>
          <w:lang w:val="en-GB"/>
        </w:rPr>
        <w:t>special category personal data</w:t>
      </w:r>
      <w:r w:rsidRPr="00FA365F">
        <w:rPr>
          <w:lang w:val="en-GB"/>
        </w:rPr>
        <w:t>, including health records, biometric readings, and treatment information. Under GDPR Articles 5, 6, and 9, the hospital must ensure:</w:t>
      </w:r>
      <w:r w:rsidRPr="00FA365F">
        <w:t> </w:t>
      </w:r>
    </w:p>
    <w:p w14:paraId="70958A6D" w14:textId="77777777" w:rsidR="00FA365F" w:rsidRPr="00FA365F" w:rsidRDefault="00FA365F" w:rsidP="00FA365F">
      <w:pPr>
        <w:numPr>
          <w:ilvl w:val="0"/>
          <w:numId w:val="1"/>
        </w:numPr>
      </w:pPr>
      <w:r w:rsidRPr="00FA365F">
        <w:rPr>
          <w:lang w:val="en-GB"/>
        </w:rPr>
        <w:t>Confidentiality and integrity of patient data</w:t>
      </w:r>
      <w:r w:rsidRPr="00FA365F">
        <w:t> </w:t>
      </w:r>
    </w:p>
    <w:p w14:paraId="33EC7B3F" w14:textId="77777777" w:rsidR="00FA365F" w:rsidRPr="00FA365F" w:rsidRDefault="00FA365F" w:rsidP="00FA365F">
      <w:pPr>
        <w:numPr>
          <w:ilvl w:val="0"/>
          <w:numId w:val="2"/>
        </w:numPr>
      </w:pPr>
      <w:r w:rsidRPr="00FA365F">
        <w:rPr>
          <w:lang w:val="en-GB"/>
        </w:rPr>
        <w:t>Strict access controls and security measures</w:t>
      </w:r>
      <w:r w:rsidRPr="00FA365F">
        <w:t> </w:t>
      </w:r>
    </w:p>
    <w:p w14:paraId="1240FF46" w14:textId="77777777" w:rsidR="00FA365F" w:rsidRPr="00FA365F" w:rsidRDefault="00FA365F" w:rsidP="00FA365F">
      <w:pPr>
        <w:numPr>
          <w:ilvl w:val="0"/>
          <w:numId w:val="3"/>
        </w:numPr>
      </w:pPr>
      <w:r w:rsidRPr="00FA365F">
        <w:rPr>
          <w:lang w:val="en-GB"/>
        </w:rPr>
        <w:t>Lawful and transparent processing of health information</w:t>
      </w:r>
      <w:r w:rsidRPr="00FA365F">
        <w:t> </w:t>
      </w:r>
    </w:p>
    <w:p w14:paraId="628DDCAC" w14:textId="77777777" w:rsidR="00FA365F" w:rsidRPr="00FA365F" w:rsidRDefault="00FA365F" w:rsidP="00FA365F">
      <w:pPr>
        <w:numPr>
          <w:ilvl w:val="0"/>
          <w:numId w:val="4"/>
        </w:numPr>
      </w:pPr>
      <w:r w:rsidRPr="00FA365F">
        <w:rPr>
          <w:lang w:val="en-GB"/>
        </w:rPr>
        <w:t>Breach notification within 72 hours</w:t>
      </w:r>
      <w:r w:rsidRPr="00FA365F">
        <w:t> </w:t>
      </w:r>
    </w:p>
    <w:p w14:paraId="77578DD2" w14:textId="77777777" w:rsidR="00FA365F" w:rsidRPr="00FA365F" w:rsidRDefault="00FA365F" w:rsidP="00FA365F">
      <w:r w:rsidRPr="00FA365F">
        <w:rPr>
          <w:lang w:val="en-GB"/>
        </w:rPr>
        <w:t>In the ransomware incident, system downtime, potential data exposure, and loss of access to critical care information place the hospital at high risk of GDPR violations.</w:t>
      </w:r>
      <w:r w:rsidRPr="00FA365F">
        <w:t> </w:t>
      </w:r>
    </w:p>
    <w:p w14:paraId="74E89B3C" w14:textId="77777777" w:rsidR="00FA365F" w:rsidRPr="00FA365F" w:rsidRDefault="00FA365F" w:rsidP="00FA365F">
      <w:r w:rsidRPr="00FA365F">
        <w:rPr>
          <w:b/>
          <w:bCs/>
          <w:lang w:val="en-GB"/>
        </w:rPr>
        <w:t>2. NIS2 Directive, EU Cybersecurity Law</w:t>
      </w:r>
      <w:r w:rsidRPr="00FA365F">
        <w:t> </w:t>
      </w:r>
    </w:p>
    <w:p w14:paraId="1A984702" w14:textId="77777777" w:rsidR="00FA365F" w:rsidRPr="00FA365F" w:rsidRDefault="00FA365F" w:rsidP="00FA365F">
      <w:r w:rsidRPr="00FA365F">
        <w:rPr>
          <w:lang w:val="en-GB"/>
        </w:rPr>
        <w:t>The healthcare sector is classified as an </w:t>
      </w:r>
      <w:r w:rsidRPr="00FA365F">
        <w:rPr>
          <w:b/>
          <w:bCs/>
          <w:lang w:val="en-GB"/>
        </w:rPr>
        <w:t>essential entity</w:t>
      </w:r>
      <w:r w:rsidRPr="00FA365F">
        <w:rPr>
          <w:lang w:val="en-GB"/>
        </w:rPr>
        <w:t> under NIS2, requiring hospitals to implement strong cybersecurity and risk management measures. NIS2 applies because:</w:t>
      </w:r>
      <w:r w:rsidRPr="00FA365F">
        <w:t> </w:t>
      </w:r>
    </w:p>
    <w:p w14:paraId="5EE8D517" w14:textId="77777777" w:rsidR="00FA365F" w:rsidRPr="00FA365F" w:rsidRDefault="00FA365F" w:rsidP="00FA365F">
      <w:pPr>
        <w:numPr>
          <w:ilvl w:val="0"/>
          <w:numId w:val="5"/>
        </w:numPr>
      </w:pPr>
      <w:r w:rsidRPr="00FA365F">
        <w:rPr>
          <w:lang w:val="en-GB"/>
        </w:rPr>
        <w:t>A cyberattack on critical care systems directly affects patient safety</w:t>
      </w:r>
      <w:r w:rsidRPr="00FA365F">
        <w:t> </w:t>
      </w:r>
    </w:p>
    <w:p w14:paraId="2543CA7E" w14:textId="77777777" w:rsidR="00FA365F" w:rsidRPr="00FA365F" w:rsidRDefault="00FA365F" w:rsidP="00FA365F">
      <w:pPr>
        <w:numPr>
          <w:ilvl w:val="0"/>
          <w:numId w:val="6"/>
        </w:numPr>
      </w:pPr>
      <w:r w:rsidRPr="00FA365F">
        <w:rPr>
          <w:lang w:val="en-GB"/>
        </w:rPr>
        <w:t>Hospitals must demonstrate resilience, incident response capabilities, and continuity of service</w:t>
      </w:r>
      <w:r w:rsidRPr="00FA365F">
        <w:t> </w:t>
      </w:r>
    </w:p>
    <w:p w14:paraId="34BC1645" w14:textId="77777777" w:rsidR="00FA365F" w:rsidRPr="00FA365F" w:rsidRDefault="00FA365F" w:rsidP="00FA365F">
      <w:pPr>
        <w:numPr>
          <w:ilvl w:val="0"/>
          <w:numId w:val="7"/>
        </w:numPr>
      </w:pPr>
      <w:r w:rsidRPr="00FA365F">
        <w:rPr>
          <w:lang w:val="en-GB"/>
        </w:rPr>
        <w:t>Failure to prevent service disruption can trigger regulatory penalties</w:t>
      </w:r>
      <w:r w:rsidRPr="00FA365F">
        <w:t> </w:t>
      </w:r>
    </w:p>
    <w:p w14:paraId="2EAF2E62" w14:textId="77777777" w:rsidR="00FA365F" w:rsidRPr="00FA365F" w:rsidRDefault="00FA365F" w:rsidP="00FA365F">
      <w:r w:rsidRPr="00FA365F">
        <w:rPr>
          <w:lang w:val="en-GB"/>
        </w:rPr>
        <w:t>The inability of staff to access digital monitoring tools during the attack demonstrates non-compliance with required operational resilience.</w:t>
      </w:r>
      <w:r w:rsidRPr="00FA365F">
        <w:t> </w:t>
      </w:r>
    </w:p>
    <w:p w14:paraId="11932CDD" w14:textId="77777777" w:rsidR="00FA365F" w:rsidRPr="00FA365F" w:rsidRDefault="00FA365F" w:rsidP="00FA365F">
      <w:r w:rsidRPr="00FA365F">
        <w:rPr>
          <w:b/>
          <w:bCs/>
          <w:lang w:val="en-GB"/>
        </w:rPr>
        <w:t>3. </w:t>
      </w:r>
      <w:proofErr w:type="spellStart"/>
      <w:r w:rsidRPr="00FA365F">
        <w:rPr>
          <w:b/>
          <w:bCs/>
          <w:lang w:val="en-GB"/>
        </w:rPr>
        <w:t>ePrivacy</w:t>
      </w:r>
      <w:proofErr w:type="spellEnd"/>
      <w:r w:rsidRPr="00FA365F">
        <w:rPr>
          <w:b/>
          <w:bCs/>
          <w:lang w:val="en-GB"/>
        </w:rPr>
        <w:t> Regulations &amp; Communications Security</w:t>
      </w:r>
      <w:r w:rsidRPr="00FA365F">
        <w:t> </w:t>
      </w:r>
    </w:p>
    <w:p w14:paraId="562CC3CB" w14:textId="77777777" w:rsidR="00FA365F" w:rsidRPr="00FA365F" w:rsidRDefault="00FA365F" w:rsidP="00FA365F">
      <w:r w:rsidRPr="00FA365F">
        <w:rPr>
          <w:lang w:val="en-GB"/>
        </w:rPr>
        <w:t>Hospitals use electronic communication systems for transmitting health information (alerts, monitoring data, medical images). Compliance is required to ensure:</w:t>
      </w:r>
      <w:r w:rsidRPr="00FA365F">
        <w:t> </w:t>
      </w:r>
    </w:p>
    <w:p w14:paraId="0E6034B7" w14:textId="77777777" w:rsidR="00FA365F" w:rsidRPr="00FA365F" w:rsidRDefault="00FA365F" w:rsidP="00FA365F">
      <w:pPr>
        <w:numPr>
          <w:ilvl w:val="0"/>
          <w:numId w:val="8"/>
        </w:numPr>
      </w:pPr>
      <w:r w:rsidRPr="00FA365F">
        <w:rPr>
          <w:lang w:val="en-GB"/>
        </w:rPr>
        <w:lastRenderedPageBreak/>
        <w:t>Secure transmission of patient related data</w:t>
      </w:r>
      <w:r w:rsidRPr="00FA365F">
        <w:t> </w:t>
      </w:r>
    </w:p>
    <w:p w14:paraId="1BD30E86" w14:textId="77777777" w:rsidR="00FA365F" w:rsidRPr="00FA365F" w:rsidRDefault="00FA365F" w:rsidP="00FA365F">
      <w:pPr>
        <w:numPr>
          <w:ilvl w:val="0"/>
          <w:numId w:val="9"/>
        </w:numPr>
      </w:pPr>
      <w:r w:rsidRPr="00FA365F">
        <w:rPr>
          <w:lang w:val="en-GB"/>
        </w:rPr>
        <w:t>Protection of </w:t>
      </w:r>
      <w:proofErr w:type="gramStart"/>
      <w:r w:rsidRPr="00FA365F">
        <w:rPr>
          <w:lang w:val="en-GB"/>
        </w:rPr>
        <w:t>device to device</w:t>
      </w:r>
      <w:proofErr w:type="gramEnd"/>
      <w:r w:rsidRPr="00FA365F">
        <w:rPr>
          <w:lang w:val="en-GB"/>
        </w:rPr>
        <w:t> communication (e.g., bedside monitors)</w:t>
      </w:r>
      <w:r w:rsidRPr="00FA365F">
        <w:t> </w:t>
      </w:r>
    </w:p>
    <w:p w14:paraId="0AE0ED72" w14:textId="77777777" w:rsidR="00FA365F" w:rsidRPr="00FA365F" w:rsidRDefault="00FA365F" w:rsidP="00FA365F">
      <w:r w:rsidRPr="00FA365F">
        <w:rPr>
          <w:lang w:val="en-GB"/>
        </w:rPr>
        <w:t>Disruption of these communication channels during the attack violates expectations of secure and reliable medical communication.</w:t>
      </w:r>
      <w:r w:rsidRPr="00FA365F">
        <w:t> </w:t>
      </w:r>
    </w:p>
    <w:p w14:paraId="7201DBD1" w14:textId="77777777" w:rsidR="00FA365F" w:rsidRPr="00FA365F" w:rsidRDefault="00FA365F" w:rsidP="00FA365F">
      <w:r w:rsidRPr="00FA365F">
        <w:rPr>
          <w:b/>
          <w:bCs/>
          <w:lang w:val="en-GB"/>
        </w:rPr>
        <w:t>4. Irish Data Protection Act 2018, National Law</w:t>
      </w:r>
      <w:r w:rsidRPr="00FA365F">
        <w:t> </w:t>
      </w:r>
    </w:p>
    <w:p w14:paraId="4C5AE3FA" w14:textId="77777777" w:rsidR="00FA365F" w:rsidRPr="00FA365F" w:rsidRDefault="00FA365F" w:rsidP="00FA365F">
      <w:r w:rsidRPr="00FA365F">
        <w:rPr>
          <w:lang w:val="en-GB"/>
        </w:rPr>
        <w:t>This act supplements GDPR and provides national level enforcement in Ireland. It requires healthcare organisations to:</w:t>
      </w:r>
      <w:r w:rsidRPr="00FA365F">
        <w:t> </w:t>
      </w:r>
    </w:p>
    <w:p w14:paraId="55E8BBD2" w14:textId="77777777" w:rsidR="00FA365F" w:rsidRPr="00FA365F" w:rsidRDefault="00FA365F" w:rsidP="00FA365F">
      <w:pPr>
        <w:numPr>
          <w:ilvl w:val="0"/>
          <w:numId w:val="10"/>
        </w:numPr>
      </w:pPr>
      <w:r w:rsidRPr="00FA365F">
        <w:rPr>
          <w:lang w:val="en-GB"/>
        </w:rPr>
        <w:t>Protect patient rights</w:t>
      </w:r>
      <w:r w:rsidRPr="00FA365F">
        <w:t> </w:t>
      </w:r>
    </w:p>
    <w:p w14:paraId="5C7A4480" w14:textId="77777777" w:rsidR="00FA365F" w:rsidRPr="00FA365F" w:rsidRDefault="00FA365F" w:rsidP="00FA365F">
      <w:pPr>
        <w:numPr>
          <w:ilvl w:val="0"/>
          <w:numId w:val="11"/>
        </w:numPr>
      </w:pPr>
      <w:r w:rsidRPr="00FA365F">
        <w:rPr>
          <w:lang w:val="en-GB"/>
        </w:rPr>
        <w:t>Maintain safeguards for health information</w:t>
      </w:r>
      <w:r w:rsidRPr="00FA365F">
        <w:t> </w:t>
      </w:r>
    </w:p>
    <w:p w14:paraId="59A2BAD7" w14:textId="77777777" w:rsidR="00FA365F" w:rsidRPr="00FA365F" w:rsidRDefault="00FA365F" w:rsidP="00FA365F">
      <w:pPr>
        <w:numPr>
          <w:ilvl w:val="0"/>
          <w:numId w:val="12"/>
        </w:numPr>
      </w:pPr>
      <w:r w:rsidRPr="00FA365F">
        <w:rPr>
          <w:lang w:val="en-GB"/>
        </w:rPr>
        <w:t>Ensure data minimisation and accuracy</w:t>
      </w:r>
      <w:r w:rsidRPr="00FA365F">
        <w:t> </w:t>
      </w:r>
    </w:p>
    <w:p w14:paraId="52E6A9DD" w14:textId="77777777" w:rsidR="00FA365F" w:rsidRPr="00FA365F" w:rsidRDefault="00FA365F" w:rsidP="00FA365F">
      <w:r w:rsidRPr="00FA365F">
        <w:rPr>
          <w:lang w:val="en-GB"/>
        </w:rPr>
        <w:t>Any mishandling, delay, or loss of access to patient data in critical care can breach these legal requirements.</w:t>
      </w:r>
      <w:r w:rsidRPr="00FA365F">
        <w:t> </w:t>
      </w:r>
    </w:p>
    <w:p w14:paraId="760F625E" w14:textId="77777777" w:rsidR="00FA365F" w:rsidRPr="00FA365F" w:rsidRDefault="00FA365F" w:rsidP="00FA365F">
      <w:r w:rsidRPr="00FA365F">
        <w:rPr>
          <w:b/>
          <w:bCs/>
          <w:lang w:val="en-GB"/>
        </w:rPr>
        <w:t>5. Irish Health Acts &amp; HSE Governance Framework</w:t>
      </w:r>
      <w:r w:rsidRPr="00FA365F">
        <w:t> </w:t>
      </w:r>
    </w:p>
    <w:p w14:paraId="473D9D3E" w14:textId="77777777" w:rsidR="00FA365F" w:rsidRPr="00FA365F" w:rsidRDefault="00FA365F" w:rsidP="00FA365F">
      <w:r w:rsidRPr="00FA365F">
        <w:rPr>
          <w:lang w:val="en-GB"/>
        </w:rPr>
        <w:t>National healthcare regulations require hospitals to ensure:</w:t>
      </w:r>
      <w:r w:rsidRPr="00FA365F">
        <w:t> </w:t>
      </w:r>
    </w:p>
    <w:p w14:paraId="21C63F59" w14:textId="77777777" w:rsidR="00FA365F" w:rsidRPr="00FA365F" w:rsidRDefault="00FA365F" w:rsidP="00FA365F">
      <w:pPr>
        <w:numPr>
          <w:ilvl w:val="0"/>
          <w:numId w:val="13"/>
        </w:numPr>
      </w:pPr>
      <w:r w:rsidRPr="00FA365F">
        <w:rPr>
          <w:lang w:val="en-GB"/>
        </w:rPr>
        <w:t>Continuity and safety of clinical services</w:t>
      </w:r>
      <w:r w:rsidRPr="00FA365F">
        <w:t> </w:t>
      </w:r>
    </w:p>
    <w:p w14:paraId="4D78FB6B" w14:textId="77777777" w:rsidR="00FA365F" w:rsidRPr="00FA365F" w:rsidRDefault="00FA365F" w:rsidP="00FA365F">
      <w:pPr>
        <w:numPr>
          <w:ilvl w:val="0"/>
          <w:numId w:val="14"/>
        </w:numPr>
      </w:pPr>
      <w:r w:rsidRPr="00FA365F">
        <w:rPr>
          <w:lang w:val="en-GB"/>
        </w:rPr>
        <w:t>Proper handling and storage of medical information</w:t>
      </w:r>
      <w:r w:rsidRPr="00FA365F">
        <w:t> </w:t>
      </w:r>
    </w:p>
    <w:p w14:paraId="355219A7" w14:textId="77777777" w:rsidR="00FA365F" w:rsidRPr="00FA365F" w:rsidRDefault="00FA365F" w:rsidP="00FA365F">
      <w:pPr>
        <w:numPr>
          <w:ilvl w:val="0"/>
          <w:numId w:val="15"/>
        </w:numPr>
      </w:pPr>
      <w:r w:rsidRPr="00FA365F">
        <w:rPr>
          <w:lang w:val="en-GB"/>
        </w:rPr>
        <w:t>Measures to prevent harm caused by system failures</w:t>
      </w:r>
      <w:r w:rsidRPr="00FA365F">
        <w:t> </w:t>
      </w:r>
    </w:p>
    <w:p w14:paraId="29AEF715" w14:textId="77777777" w:rsidR="00FA365F" w:rsidRPr="00FA365F" w:rsidRDefault="00FA365F" w:rsidP="00FA365F">
      <w:r w:rsidRPr="00FA365F">
        <w:rPr>
          <w:lang w:val="en-GB"/>
        </w:rPr>
        <w:t>When critical care monitoring devices stopped functioning, the hospital’s ability to meet statutory obligations for safe patient care was compromised.</w:t>
      </w:r>
      <w:r w:rsidRPr="00FA365F">
        <w:t> </w:t>
      </w:r>
    </w:p>
    <w:p w14:paraId="3849AB2F" w14:textId="77777777" w:rsidR="00FA365F" w:rsidRPr="00FA365F" w:rsidRDefault="00FA365F" w:rsidP="00FA365F">
      <w:r w:rsidRPr="00FA365F">
        <w:rPr>
          <w:b/>
          <w:bCs/>
          <w:lang w:val="en-GB"/>
        </w:rPr>
        <w:t>6. EU Medical Device Regulation (MDR)</w:t>
      </w:r>
      <w:r w:rsidRPr="00FA365F">
        <w:t> </w:t>
      </w:r>
    </w:p>
    <w:p w14:paraId="7D38F9A5" w14:textId="77777777" w:rsidR="00FA365F" w:rsidRPr="00FA365F" w:rsidRDefault="00FA365F" w:rsidP="00FA365F">
      <w:r w:rsidRPr="00FA365F">
        <w:rPr>
          <w:lang w:val="en-GB"/>
        </w:rPr>
        <w:t>Many ICU monitoring and life support systems qualify as medical devices. MDR requires:</w:t>
      </w:r>
      <w:r w:rsidRPr="00FA365F">
        <w:t> </w:t>
      </w:r>
    </w:p>
    <w:p w14:paraId="0DCE2B67" w14:textId="77777777" w:rsidR="00FA365F" w:rsidRPr="00FA365F" w:rsidRDefault="00FA365F" w:rsidP="00FA365F">
      <w:pPr>
        <w:numPr>
          <w:ilvl w:val="0"/>
          <w:numId w:val="16"/>
        </w:numPr>
      </w:pPr>
      <w:r w:rsidRPr="00FA365F">
        <w:rPr>
          <w:lang w:val="en-GB"/>
        </w:rPr>
        <w:t>Cyber safe operation</w:t>
      </w:r>
      <w:r w:rsidRPr="00FA365F">
        <w:t> </w:t>
      </w:r>
    </w:p>
    <w:p w14:paraId="3963B6A8" w14:textId="77777777" w:rsidR="00FA365F" w:rsidRPr="00FA365F" w:rsidRDefault="00FA365F" w:rsidP="00FA365F">
      <w:pPr>
        <w:numPr>
          <w:ilvl w:val="0"/>
          <w:numId w:val="17"/>
        </w:numPr>
      </w:pPr>
      <w:r w:rsidRPr="00FA365F">
        <w:rPr>
          <w:lang w:val="en-GB"/>
        </w:rPr>
        <w:t>Protection against unauthorized access and manipulation</w:t>
      </w:r>
      <w:r w:rsidRPr="00FA365F">
        <w:t> </w:t>
      </w:r>
    </w:p>
    <w:p w14:paraId="41631343" w14:textId="77777777" w:rsidR="00FA365F" w:rsidRPr="00FA365F" w:rsidRDefault="00FA365F" w:rsidP="00FA365F">
      <w:pPr>
        <w:numPr>
          <w:ilvl w:val="0"/>
          <w:numId w:val="18"/>
        </w:numPr>
      </w:pPr>
      <w:r w:rsidRPr="00FA365F">
        <w:rPr>
          <w:lang w:val="en-GB"/>
        </w:rPr>
        <w:t>Ensuring devices function safely even during system disruptions</w:t>
      </w:r>
      <w:r w:rsidRPr="00FA365F">
        <w:t> </w:t>
      </w:r>
    </w:p>
    <w:p w14:paraId="10E6CF14" w14:textId="77777777" w:rsidR="00FA365F" w:rsidRPr="00FA365F" w:rsidRDefault="00FA365F" w:rsidP="00FA365F">
      <w:r w:rsidRPr="00FA365F">
        <w:rPr>
          <w:lang w:val="en-GB"/>
        </w:rPr>
        <w:t>Because the ransomware attack disabled medical monitoring equipment, this raises compliance concerns under MDR regarding safety and reliability.</w:t>
      </w:r>
      <w:r w:rsidRPr="00FA365F">
        <w:t> </w:t>
      </w:r>
    </w:p>
    <w:p w14:paraId="2B3E1D6B" w14:textId="77777777" w:rsidR="000447AF" w:rsidRDefault="000447AF"/>
    <w:sectPr w:rsidR="000447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FB9"/>
    <w:multiLevelType w:val="multilevel"/>
    <w:tmpl w:val="B45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B1DFD"/>
    <w:multiLevelType w:val="multilevel"/>
    <w:tmpl w:val="734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06B91"/>
    <w:multiLevelType w:val="multilevel"/>
    <w:tmpl w:val="C0A8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9B07F4"/>
    <w:multiLevelType w:val="multilevel"/>
    <w:tmpl w:val="83B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8A4479"/>
    <w:multiLevelType w:val="multilevel"/>
    <w:tmpl w:val="2C4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3F6502"/>
    <w:multiLevelType w:val="multilevel"/>
    <w:tmpl w:val="7A30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6F4900"/>
    <w:multiLevelType w:val="multilevel"/>
    <w:tmpl w:val="90AA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111C03"/>
    <w:multiLevelType w:val="multilevel"/>
    <w:tmpl w:val="8F9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E20E16"/>
    <w:multiLevelType w:val="multilevel"/>
    <w:tmpl w:val="3FB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866F74"/>
    <w:multiLevelType w:val="multilevel"/>
    <w:tmpl w:val="F5D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170EE1"/>
    <w:multiLevelType w:val="multilevel"/>
    <w:tmpl w:val="EC58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6A0808"/>
    <w:multiLevelType w:val="multilevel"/>
    <w:tmpl w:val="AF08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6909C3"/>
    <w:multiLevelType w:val="multilevel"/>
    <w:tmpl w:val="5F34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F354C4"/>
    <w:multiLevelType w:val="multilevel"/>
    <w:tmpl w:val="635C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C15880"/>
    <w:multiLevelType w:val="multilevel"/>
    <w:tmpl w:val="C78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E6622B"/>
    <w:multiLevelType w:val="multilevel"/>
    <w:tmpl w:val="B66E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405C36"/>
    <w:multiLevelType w:val="multilevel"/>
    <w:tmpl w:val="909C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094B18"/>
    <w:multiLevelType w:val="multilevel"/>
    <w:tmpl w:val="2F1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2377332">
    <w:abstractNumId w:val="16"/>
  </w:num>
  <w:num w:numId="2" w16cid:durableId="1490093023">
    <w:abstractNumId w:val="10"/>
  </w:num>
  <w:num w:numId="3" w16cid:durableId="887690682">
    <w:abstractNumId w:val="8"/>
  </w:num>
  <w:num w:numId="4" w16cid:durableId="1232502684">
    <w:abstractNumId w:val="9"/>
  </w:num>
  <w:num w:numId="5" w16cid:durableId="36856815">
    <w:abstractNumId w:val="13"/>
  </w:num>
  <w:num w:numId="6" w16cid:durableId="368847316">
    <w:abstractNumId w:val="1"/>
  </w:num>
  <w:num w:numId="7" w16cid:durableId="102265656">
    <w:abstractNumId w:val="15"/>
  </w:num>
  <w:num w:numId="8" w16cid:durableId="1818378326">
    <w:abstractNumId w:val="2"/>
  </w:num>
  <w:num w:numId="9" w16cid:durableId="338510805">
    <w:abstractNumId w:val="14"/>
  </w:num>
  <w:num w:numId="10" w16cid:durableId="763762754">
    <w:abstractNumId w:val="6"/>
  </w:num>
  <w:num w:numId="11" w16cid:durableId="782774588">
    <w:abstractNumId w:val="11"/>
  </w:num>
  <w:num w:numId="12" w16cid:durableId="1024092972">
    <w:abstractNumId w:val="3"/>
  </w:num>
  <w:num w:numId="13" w16cid:durableId="147868013">
    <w:abstractNumId w:val="12"/>
  </w:num>
  <w:num w:numId="14" w16cid:durableId="1829636079">
    <w:abstractNumId w:val="4"/>
  </w:num>
  <w:num w:numId="15" w16cid:durableId="518929575">
    <w:abstractNumId w:val="17"/>
  </w:num>
  <w:num w:numId="16" w16cid:durableId="368922693">
    <w:abstractNumId w:val="0"/>
  </w:num>
  <w:num w:numId="17" w16cid:durableId="503204338">
    <w:abstractNumId w:val="7"/>
  </w:num>
  <w:num w:numId="18" w16cid:durableId="1060902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5F"/>
    <w:rsid w:val="000447AF"/>
    <w:rsid w:val="0065632A"/>
    <w:rsid w:val="006F53A0"/>
    <w:rsid w:val="007A5523"/>
    <w:rsid w:val="00C34F69"/>
    <w:rsid w:val="00F66EAD"/>
    <w:rsid w:val="00FA36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22751"/>
  <w15:chartTrackingRefBased/>
  <w15:docId w15:val="{193AA965-AE84-4734-9913-D492D730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6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6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6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6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6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6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6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6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65F"/>
    <w:rPr>
      <w:rFonts w:eastAsiaTheme="majorEastAsia" w:cstheme="majorBidi"/>
      <w:color w:val="272727" w:themeColor="text1" w:themeTint="D8"/>
    </w:rPr>
  </w:style>
  <w:style w:type="paragraph" w:styleId="Title">
    <w:name w:val="Title"/>
    <w:basedOn w:val="Normal"/>
    <w:next w:val="Normal"/>
    <w:link w:val="TitleChar"/>
    <w:uiPriority w:val="10"/>
    <w:qFormat/>
    <w:rsid w:val="00FA3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65F"/>
    <w:pPr>
      <w:spacing w:before="160"/>
      <w:jc w:val="center"/>
    </w:pPr>
    <w:rPr>
      <w:i/>
      <w:iCs/>
      <w:color w:val="404040" w:themeColor="text1" w:themeTint="BF"/>
    </w:rPr>
  </w:style>
  <w:style w:type="character" w:customStyle="1" w:styleId="QuoteChar">
    <w:name w:val="Quote Char"/>
    <w:basedOn w:val="DefaultParagraphFont"/>
    <w:link w:val="Quote"/>
    <w:uiPriority w:val="29"/>
    <w:rsid w:val="00FA365F"/>
    <w:rPr>
      <w:i/>
      <w:iCs/>
      <w:color w:val="404040" w:themeColor="text1" w:themeTint="BF"/>
    </w:rPr>
  </w:style>
  <w:style w:type="paragraph" w:styleId="ListParagraph">
    <w:name w:val="List Paragraph"/>
    <w:basedOn w:val="Normal"/>
    <w:uiPriority w:val="34"/>
    <w:qFormat/>
    <w:rsid w:val="00FA365F"/>
    <w:pPr>
      <w:ind w:left="720"/>
      <w:contextualSpacing/>
    </w:pPr>
  </w:style>
  <w:style w:type="character" w:styleId="IntenseEmphasis">
    <w:name w:val="Intense Emphasis"/>
    <w:basedOn w:val="DefaultParagraphFont"/>
    <w:uiPriority w:val="21"/>
    <w:qFormat/>
    <w:rsid w:val="00FA365F"/>
    <w:rPr>
      <w:i/>
      <w:iCs/>
      <w:color w:val="2F5496" w:themeColor="accent1" w:themeShade="BF"/>
    </w:rPr>
  </w:style>
  <w:style w:type="paragraph" w:styleId="IntenseQuote">
    <w:name w:val="Intense Quote"/>
    <w:basedOn w:val="Normal"/>
    <w:next w:val="Normal"/>
    <w:link w:val="IntenseQuoteChar"/>
    <w:uiPriority w:val="30"/>
    <w:qFormat/>
    <w:rsid w:val="00FA3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65F"/>
    <w:rPr>
      <w:i/>
      <w:iCs/>
      <w:color w:val="2F5496" w:themeColor="accent1" w:themeShade="BF"/>
    </w:rPr>
  </w:style>
  <w:style w:type="character" w:styleId="IntenseReference">
    <w:name w:val="Intense Reference"/>
    <w:basedOn w:val="DefaultParagraphFont"/>
    <w:uiPriority w:val="32"/>
    <w:qFormat/>
    <w:rsid w:val="00FA36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C00281934) Munzer Elsarafandi</dc:creator>
  <cp:keywords/>
  <dc:description/>
  <cp:lastModifiedBy>(Student  C00281934) Munzer Elsarafandi</cp:lastModifiedBy>
  <cp:revision>1</cp:revision>
  <dcterms:created xsi:type="dcterms:W3CDTF">2025-12-08T19:55:00Z</dcterms:created>
  <dcterms:modified xsi:type="dcterms:W3CDTF">2025-12-08T19:56:00Z</dcterms:modified>
</cp:coreProperties>
</file>