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rPr>
        <w:t>期中报告统一写作纲要与提示词</w:t>
      </w:r>
    </w:p>
    <w:p>
      <w:pPr>
        <w:spacing w:after="280"/>
        <w:jc w:val="center"/>
      </w:pPr>
      <w:r>
        <w:rPr>
          <w:rFonts w:ascii="Microsoft YaHei" w:hAnsi="Microsoft YaHei" w:eastAsia="Microsoft YaHei"/>
          <w:b/>
          <w:color w:val="595959"/>
          <w:sz w:val="24"/>
        </w:rPr>
        <w:t>S12 可解释性扩展：机器学习识别的好基金有什么投资风格</w:t>
      </w:r>
    </w:p>
    <w:tbl>
      <w:tblPr>
        <w:tblW w:type="auto" w:w="0"/>
        <w:jc w:val="center"/>
        <w:tblLayout w:type="autofit"/>
        <w:tblLook w:firstColumn="1" w:firstRow="1" w:lastColumn="0" w:lastRow="0" w:noHBand="0" w:noVBand="1" w:val="04A0"/>
      </w:tblPr>
      <w:tblGrid>
        <w:gridCol w:w="9746"/>
      </w:tblGrid>
      <w:tr>
        <w:tc>
          <w:tcPr>
            <w:tcW w:type="dxa" w:w="9746"/>
            <w:shd w:fill="EAF2F8"/>
            <w:vAlign w:val="center"/>
          </w:tcPr>
          <w:p>
            <w:pPr>
              <w:spacing w:after="60"/>
            </w:pPr>
            <w:r>
              <w:rPr>
                <w:rFonts w:ascii="Microsoft YaHei" w:hAnsi="Microsoft YaHei" w:eastAsia="Microsoft YaHei"/>
                <w:b/>
                <w:color w:val="1F4E79"/>
                <w:sz w:val="21"/>
              </w:rPr>
              <w:t>统一主线</w:t>
            </w:r>
          </w:p>
          <w:p>
            <w:pPr>
              <w:spacing w:after="40" w:line="269" w:lineRule="auto"/>
            </w:pPr>
            <w:r>
              <w:rPr>
                <w:rFonts w:ascii="Microsoft YaHei" w:hAnsi="Microsoft YaHei" w:eastAsia="Microsoft YaHei"/>
                <w:sz w:val="19"/>
              </w:rPr>
              <w:t>本文严格沿用原文机器学习框架识别 top fund；S12 不用于重新定义好基金，而用于解释这些好基金在真实季度持仓中的投资风格、持仓集中度、行业偏好与调仓逻辑。</w:t>
            </w:r>
          </w:p>
          <w:p>
            <w:pPr>
              <w:spacing w:after="40" w:line="269" w:lineRule="auto"/>
            </w:pPr>
            <w:r>
              <w:rPr>
                <w:rFonts w:ascii="Microsoft YaHei" w:hAnsi="Microsoft YaHei" w:eastAsia="Microsoft YaHei"/>
                <w:sz w:val="19"/>
              </w:rPr>
              <w:t>中期报告只写三部分：（1）方法/原理/算法介绍；（2）相关文献综述；（3）数据说明及描述性统计。论文整理部分不写。</w:t>
            </w:r>
          </w:p>
        </w:tc>
      </w:tr>
    </w:tbl>
    <w:p>
      <w:pPr>
        <w:spacing w:after="40"/>
      </w:pPr>
    </w:p>
    <w:p>
      <w:pPr>
        <w:pStyle w:val="Heading1"/>
      </w:pPr>
      <w:r>
        <w:t>0. 组内必须统一的四个口径</w:t>
      </w:r>
    </w:p>
    <w:p>
      <w:pPr>
        <w:pStyle w:val="ListBullet"/>
        <w:spacing w:after="60" w:line="283" w:lineRule="auto"/>
        <w:ind w:left="227"/>
      </w:pPr>
      <w:r>
        <w:rPr>
          <w:rFonts w:ascii="Microsoft YaHei" w:hAnsi="Microsoft YaHei" w:eastAsia="Microsoft YaHei"/>
        </w:rPr>
        <w:t>Top fund 的操作定义：严格沿用原文 prediction-sorted decile。每个月 t，用样本外预测值 Rhat_abn_{i,t+1} 对当月所有可用基金排序并分为 10 组；最高预测组 D10 即 top fund，最低预测组 D1 即 bottom fund。</w:t>
      </w:r>
    </w:p>
    <w:p>
      <w:pPr>
        <w:pStyle w:val="ListBullet"/>
        <w:spacing w:after="60" w:line="283" w:lineRule="auto"/>
        <w:ind w:left="227"/>
      </w:pPr>
      <w:r>
        <w:rPr>
          <w:rFonts w:ascii="Microsoft YaHei" w:hAnsi="Microsoft YaHei" w:eastAsia="Microsoft YaHei"/>
        </w:rPr>
        <w:t>本项目主口径：使用原文主分析中 Fund + sentiment 信息集生成的 D10 作为 top fund。若后续复刻得到 Stock + fund + sentiment 的结果，只能作为稳健性补充，不在中期报告中混用。</w:t>
      </w:r>
    </w:p>
    <w:p>
      <w:pPr>
        <w:pStyle w:val="ListBullet"/>
        <w:spacing w:after="60" w:line="283" w:lineRule="auto"/>
        <w:ind w:left="227"/>
      </w:pPr>
      <w:r>
        <w:rPr>
          <w:rFonts w:ascii="Microsoft YaHei" w:hAnsi="Microsoft YaHei" w:eastAsia="Microsoft YaHei"/>
        </w:rPr>
        <w:t>S12 的作用：S12 只负责提供基金季度持仓事实，用来解释 D10 基金的投资风格；不能把“持仓集中度高”“行业集中”本身写成好基金定义。</w:t>
      </w:r>
    </w:p>
    <w:p>
      <w:pPr>
        <w:pStyle w:val="ListBullet"/>
        <w:spacing w:after="60" w:line="283" w:lineRule="auto"/>
        <w:ind w:left="227"/>
      </w:pPr>
      <w:r>
        <w:rPr>
          <w:rFonts w:ascii="Microsoft YaHei" w:hAnsi="Microsoft YaHei" w:eastAsia="Microsoft YaHei"/>
        </w:rPr>
        <w:t>描述性统计口径：原文正文用 Table 1 列 59 个特征、Table 2 定义基金动量、Fig. 1 展示宏观变量，并在正文报告关键样本均值；我们的中期报告要在这个口径上补做可复现的描述性统计表。</w:t>
      </w:r>
    </w:p>
    <w:tbl>
      <w:tblPr>
        <w:tblStyle w:val="TableGrid"/>
        <w:tblW w:type="auto" w:w="0"/>
        <w:jc w:val="center"/>
        <w:tblLayout w:type="autofit"/>
        <w:tblLook w:firstColumn="1" w:firstRow="1" w:lastColumn="0" w:lastRow="0" w:noHBand="0" w:noVBand="1" w:val="04A0"/>
      </w:tblPr>
      <w:tblGrid>
        <w:gridCol w:w="4873"/>
        <w:gridCol w:w="4873"/>
      </w:tblGrid>
      <w:tr>
        <w:tc>
          <w:tcPr>
            <w:tcW w:type="dxa" w:w="3685"/>
            <w:shd w:fill="1F4E79"/>
            <w:vAlign w:val="center"/>
          </w:tcPr>
          <w:p>
            <w:pPr>
              <w:spacing w:after="0" w:line="259" w:lineRule="auto"/>
            </w:pPr>
            <w:r/>
            <w:r>
              <w:rPr>
                <w:rFonts w:ascii="Microsoft YaHei" w:hAnsi="Microsoft YaHei" w:eastAsia="Microsoft YaHei"/>
                <w:b/>
                <w:color w:val="FFFFFF"/>
                <w:sz w:val="17"/>
              </w:rPr>
              <w:t>禁止写法</w:t>
            </w:r>
          </w:p>
        </w:tc>
        <w:tc>
          <w:tcPr>
            <w:tcW w:type="dxa" w:w="5386"/>
            <w:shd w:fill="1F4E79"/>
            <w:vAlign w:val="center"/>
          </w:tcPr>
          <w:p>
            <w:pPr>
              <w:spacing w:after="0" w:line="259" w:lineRule="auto"/>
            </w:pPr>
            <w:r/>
            <w:r>
              <w:rPr>
                <w:rFonts w:ascii="Microsoft YaHei" w:hAnsi="Microsoft YaHei" w:eastAsia="Microsoft YaHei"/>
                <w:b/>
                <w:color w:val="FFFFFF"/>
                <w:sz w:val="17"/>
              </w:rPr>
              <w:t>统一改成</w:t>
            </w:r>
          </w:p>
        </w:tc>
      </w:tr>
      <w:tr>
        <w:tc>
          <w:tcPr>
            <w:tcW w:type="dxa" w:w="3685"/>
            <w:vAlign w:val="center"/>
            <w:shd w:fill="F3F6FA"/>
          </w:tcPr>
          <w:p>
            <w:pPr>
              <w:spacing w:after="0" w:line="259" w:lineRule="auto"/>
            </w:pPr>
            <w:r/>
            <w:r>
              <w:rPr>
                <w:rFonts w:ascii="Microsoft YaHei" w:hAnsi="Microsoft YaHei" w:eastAsia="Microsoft YaHei"/>
                <w:b w:val="0"/>
                <w:sz w:val="17"/>
              </w:rPr>
              <w:t>选取前 10% 或前 20% 基金作为 top funds</w:t>
            </w:r>
          </w:p>
        </w:tc>
        <w:tc>
          <w:tcPr>
            <w:tcW w:type="dxa" w:w="5386"/>
            <w:vAlign w:val="center"/>
          </w:tcPr>
          <w:p>
            <w:pPr>
              <w:spacing w:after="0" w:line="259" w:lineRule="auto"/>
            </w:pPr>
            <w:r/>
            <w:r>
              <w:rPr>
                <w:rFonts w:ascii="Microsoft YaHei" w:hAnsi="Microsoft YaHei" w:eastAsia="Microsoft YaHei"/>
                <w:b w:val="0"/>
                <w:sz w:val="17"/>
              </w:rPr>
              <w:t>按原文 prediction-sorted decile，D10 为 top fund</w:t>
            </w:r>
          </w:p>
        </w:tc>
      </w:tr>
      <w:tr>
        <w:tc>
          <w:tcPr>
            <w:tcW w:type="dxa" w:w="3685"/>
            <w:vAlign w:val="center"/>
            <w:shd w:fill="F3F6FA"/>
          </w:tcPr>
          <w:p>
            <w:pPr>
              <w:spacing w:after="0" w:line="259" w:lineRule="auto"/>
            </w:pPr>
            <w:r/>
            <w:r>
              <w:rPr>
                <w:rFonts w:ascii="Microsoft YaHei" w:hAnsi="Microsoft YaHei" w:eastAsia="Microsoft YaHei"/>
                <w:b w:val="0"/>
                <w:sz w:val="17"/>
              </w:rPr>
              <w:t>S12 帮助我们找好基金</w:t>
            </w:r>
          </w:p>
        </w:tc>
        <w:tc>
          <w:tcPr>
            <w:tcW w:type="dxa" w:w="5386"/>
            <w:vAlign w:val="center"/>
          </w:tcPr>
          <w:p>
            <w:pPr>
              <w:spacing w:after="0" w:line="259" w:lineRule="auto"/>
            </w:pPr>
            <w:r/>
            <w:r>
              <w:rPr>
                <w:rFonts w:ascii="Microsoft YaHei" w:hAnsi="Microsoft YaHei" w:eastAsia="Microsoft YaHei"/>
                <w:b w:val="0"/>
                <w:sz w:val="17"/>
              </w:rPr>
              <w:t>S12 帮助解释机器学习已识别出的好基金</w:t>
            </w:r>
          </w:p>
        </w:tc>
      </w:tr>
      <w:tr>
        <w:tc>
          <w:tcPr>
            <w:tcW w:type="dxa" w:w="3685"/>
            <w:vAlign w:val="center"/>
            <w:shd w:fill="F3F6FA"/>
          </w:tcPr>
          <w:p>
            <w:pPr>
              <w:spacing w:after="0" w:line="259" w:lineRule="auto"/>
            </w:pPr>
            <w:r/>
            <w:r>
              <w:rPr>
                <w:rFonts w:ascii="Microsoft YaHei" w:hAnsi="Microsoft YaHei" w:eastAsia="Microsoft YaHei"/>
                <w:b w:val="0"/>
                <w:sz w:val="17"/>
              </w:rPr>
              <w:t>好基金可能持仓更集中</w:t>
            </w:r>
          </w:p>
        </w:tc>
        <w:tc>
          <w:tcPr>
            <w:tcW w:type="dxa" w:w="5386"/>
            <w:vAlign w:val="center"/>
          </w:tcPr>
          <w:p>
            <w:pPr>
              <w:spacing w:after="0" w:line="259" w:lineRule="auto"/>
            </w:pPr>
            <w:r/>
            <w:r>
              <w:rPr>
                <w:rFonts w:ascii="Microsoft YaHei" w:hAnsi="Microsoft YaHei" w:eastAsia="Microsoft YaHei"/>
                <w:b w:val="0"/>
                <w:sz w:val="17"/>
              </w:rPr>
              <w:t>检验 D10 基金相对于非 D10 基金是否具有更高持仓集中度</w:t>
            </w:r>
          </w:p>
        </w:tc>
      </w:tr>
      <w:tr>
        <w:tc>
          <w:tcPr>
            <w:tcW w:type="dxa" w:w="3685"/>
            <w:vAlign w:val="center"/>
            <w:shd w:fill="F3F6FA"/>
          </w:tcPr>
          <w:p>
            <w:pPr>
              <w:spacing w:after="0" w:line="259" w:lineRule="auto"/>
            </w:pPr>
            <w:r/>
            <w:r>
              <w:rPr>
                <w:rFonts w:ascii="Microsoft YaHei" w:hAnsi="Microsoft YaHei" w:eastAsia="Microsoft YaHei"/>
                <w:b w:val="0"/>
                <w:sz w:val="17"/>
              </w:rPr>
              <w:t>本文重新构造 top fund 指标</w:t>
            </w:r>
          </w:p>
        </w:tc>
        <w:tc>
          <w:tcPr>
            <w:tcW w:type="dxa" w:w="5386"/>
            <w:vAlign w:val="center"/>
          </w:tcPr>
          <w:p>
            <w:pPr>
              <w:spacing w:after="0" w:line="259" w:lineRule="auto"/>
            </w:pPr>
            <w:r/>
            <w:r>
              <w:rPr>
                <w:rFonts w:ascii="Microsoft YaHei" w:hAnsi="Microsoft YaHei" w:eastAsia="Microsoft YaHei"/>
                <w:b w:val="0"/>
                <w:sz w:val="17"/>
              </w:rPr>
              <w:t>本文沿用原文 top-decile 预测排序，不改变好基金定义</w:t>
            </w:r>
          </w:p>
        </w:tc>
      </w:tr>
    </w:tbl>
    <w:p>
      <w:pPr>
        <w:spacing w:after="40"/>
      </w:pPr>
    </w:p>
    <w:p>
      <w:pPr>
        <w:pStyle w:val="Heading1"/>
      </w:pPr>
      <w:r>
        <w:t>1. 方法/原理/算法介绍</w:t>
      </w:r>
    </w:p>
    <w:p>
      <w:pPr>
        <w:spacing w:after="120" w:line="283" w:lineRule="auto"/>
      </w:pPr>
      <w:r>
        <w:rPr>
          <w:rFonts w:ascii="Microsoft YaHei" w:hAnsi="Microsoft YaHei" w:eastAsia="Microsoft YaHei"/>
        </w:rPr>
        <w:t>写作目标：说明原文如何用机器学习识别好基金，以及本文如何在不改变 top fund 定义的前提下，用 S12 做持仓风格解释。</w:t>
      </w:r>
    </w:p>
    <w:p>
      <w:pPr>
        <w:spacing w:after="120" w:line="283" w:lineRule="auto"/>
      </w:pPr>
      <w:r>
        <w:rPr>
          <w:rFonts w:ascii="Microsoft YaHei" w:hAnsi="Microsoft YaHei" w:eastAsia="Microsoft YaHei"/>
          <w:b/>
        </w:rPr>
        <w:t>建议小标题：</w:t>
      </w:r>
    </w:p>
    <w:p>
      <w:pPr>
        <w:pStyle w:val="ListNumber"/>
        <w:spacing w:after="60" w:line="283" w:lineRule="auto"/>
        <w:ind w:left="255"/>
      </w:pPr>
      <w:r>
        <w:rPr>
          <w:rFonts w:ascii="Microsoft YaHei" w:hAnsi="Microsoft YaHei" w:eastAsia="Microsoft YaHei"/>
        </w:rPr>
        <w:t>原文机器学习预测框架</w:t>
      </w:r>
    </w:p>
    <w:p>
      <w:pPr>
        <w:pStyle w:val="ListNumber"/>
        <w:spacing w:after="60" w:line="283" w:lineRule="auto"/>
        <w:ind w:left="255"/>
      </w:pPr>
      <w:r>
        <w:rPr>
          <w:rFonts w:ascii="Microsoft YaHei" w:hAnsi="Microsoft YaHei" w:eastAsia="Microsoft YaHei"/>
        </w:rPr>
        <w:t>原文 top fund 的严格定义</w:t>
      </w:r>
    </w:p>
    <w:p>
      <w:pPr>
        <w:pStyle w:val="ListNumber"/>
        <w:spacing w:after="60" w:line="283" w:lineRule="auto"/>
        <w:ind w:left="255"/>
      </w:pPr>
      <w:r>
        <w:rPr>
          <w:rFonts w:ascii="Microsoft YaHei" w:hAnsi="Microsoft YaHei" w:eastAsia="Microsoft YaHei"/>
        </w:rPr>
        <w:t>S12 持仓数据的解释性扩展</w:t>
      </w:r>
    </w:p>
    <w:p>
      <w:pPr>
        <w:pStyle w:val="ListNumber"/>
        <w:spacing w:after="60" w:line="283" w:lineRule="auto"/>
        <w:ind w:left="255"/>
      </w:pPr>
      <w:r>
        <w:rPr>
          <w:rFonts w:ascii="Microsoft YaHei" w:hAnsi="Microsoft YaHei" w:eastAsia="Microsoft YaHei"/>
        </w:rPr>
        <w:t>持仓风格指标与检验思路</w:t>
      </w:r>
    </w:p>
    <w:p>
      <w:pPr>
        <w:spacing w:after="120" w:line="283" w:lineRule="auto"/>
      </w:pPr>
      <w:r>
        <w:rPr>
          <w:rFonts w:ascii="Microsoft YaHei" w:hAnsi="Microsoft YaHei" w:eastAsia="Microsoft YaHei"/>
          <w:b/>
        </w:rPr>
        <w:t>必须写清楚的内容：</w:t>
      </w:r>
    </w:p>
    <w:p>
      <w:pPr>
        <w:pStyle w:val="ListBullet"/>
        <w:spacing w:after="60" w:line="283" w:lineRule="auto"/>
        <w:ind w:left="227"/>
      </w:pPr>
      <w:r>
        <w:rPr>
          <w:rFonts w:ascii="Microsoft YaHei" w:hAnsi="Microsoft YaHei" w:eastAsia="Microsoft YaHei"/>
        </w:rPr>
        <w:t>预测对象是下一期基金异常收益 Rabn_{i,t+1}，不是普通原始收益。</w:t>
      </w:r>
    </w:p>
    <w:p>
      <w:pPr>
        <w:pStyle w:val="ListBullet"/>
        <w:spacing w:after="60" w:line="283" w:lineRule="auto"/>
        <w:ind w:left="227"/>
      </w:pPr>
      <w:r>
        <w:rPr>
          <w:rFonts w:ascii="Microsoft YaHei" w:hAnsi="Microsoft YaHei" w:eastAsia="Microsoft YaHei"/>
        </w:rPr>
        <w:t>异常收益由 Carhart 四因子模型剔除系统性风险暴露后得到。</w:t>
      </w:r>
    </w:p>
    <w:p>
      <w:pPr>
        <w:pStyle w:val="ListBullet"/>
        <w:spacing w:after="60" w:line="283" w:lineRule="auto"/>
        <w:ind w:left="227"/>
      </w:pPr>
      <w:r>
        <w:rPr>
          <w:rFonts w:ascii="Microsoft YaHei" w:hAnsi="Microsoft YaHei" w:eastAsia="Microsoft YaHei"/>
        </w:rPr>
        <w:t>输入变量包括 Table 1 的 59 个特征以及 sentiment/CFNAI 等宏观状态变量。</w:t>
      </w:r>
    </w:p>
    <w:p>
      <w:pPr>
        <w:pStyle w:val="ListBullet"/>
        <w:spacing w:after="60" w:line="283" w:lineRule="auto"/>
        <w:ind w:left="227"/>
      </w:pPr>
      <w:r>
        <w:rPr>
          <w:rFonts w:ascii="Microsoft YaHei" w:hAnsi="Microsoft YaHei" w:eastAsia="Microsoft YaHei"/>
        </w:rPr>
        <w:t>机器学习模型给出样本外预测 Rhat_abn_{i,t+1}；每月按预测值排序分 10 个 decile。</w:t>
      </w:r>
    </w:p>
    <w:p>
      <w:pPr>
        <w:pStyle w:val="ListBullet"/>
        <w:spacing w:after="60" w:line="283" w:lineRule="auto"/>
        <w:ind w:left="227"/>
      </w:pPr>
      <w:r>
        <w:rPr>
          <w:rFonts w:ascii="Microsoft YaHei" w:hAnsi="Microsoft YaHei" w:eastAsia="Microsoft YaHei"/>
        </w:rPr>
        <w:t>Top fund = D10；这个定义来自原文的预测排序组合，不由 S12 数据重新设定。</w:t>
      </w:r>
    </w:p>
    <w:p>
      <w:pPr>
        <w:pStyle w:val="ListBullet"/>
        <w:spacing w:after="60" w:line="283" w:lineRule="auto"/>
        <w:ind w:left="227"/>
      </w:pPr>
      <w:r>
        <w:rPr>
          <w:rFonts w:ascii="Microsoft YaHei" w:hAnsi="Microsoft YaHei" w:eastAsia="Microsoft YaHei"/>
        </w:rPr>
        <w:t>S12 扩展回答的问题是：D10 基金在实际持仓上呈现什么风格。</w:t>
      </w:r>
    </w:p>
    <w:tbl>
      <w:tblPr>
        <w:tblW w:type="auto" w:w="0"/>
        <w:jc w:val="center"/>
        <w:tblLayout w:type="autofit"/>
        <w:tblLook w:firstColumn="1" w:firstRow="1" w:lastColumn="0" w:lastRow="0" w:noHBand="0" w:noVBand="1" w:val="04A0"/>
      </w:tblPr>
      <w:tblGrid>
        <w:gridCol w:w="9746"/>
      </w:tblGrid>
      <w:tr>
        <w:tc>
          <w:tcPr>
            <w:tcW w:type="dxa" w:w="9746"/>
            <w:shd w:fill="F4F9F4"/>
            <w:vAlign w:val="center"/>
          </w:tcPr>
          <w:p>
            <w:pPr>
              <w:spacing w:after="60"/>
            </w:pPr>
            <w:r>
              <w:rPr>
                <w:rFonts w:ascii="Microsoft YaHei" w:hAnsi="Microsoft YaHei" w:eastAsia="Microsoft YaHei"/>
                <w:b/>
                <w:color w:val="1F4E79"/>
                <w:sz w:val="21"/>
              </w:rPr>
              <w:t>方法部分可直接使用的提示词</w:t>
            </w:r>
          </w:p>
          <w:p>
            <w:pPr>
              <w:spacing w:after="40" w:line="269" w:lineRule="auto"/>
            </w:pPr>
            <w:r>
              <w:rPr>
                <w:rFonts w:ascii="Microsoft YaHei" w:hAnsi="Microsoft YaHei" w:eastAsia="Microsoft YaHei"/>
                <w:sz w:val="19"/>
              </w:rPr>
              <w:t>请围绕“机器学习识别好基金及其 S12 持仓风格解释”撰写方法/原理/算法介绍。先说明原文用神经网络预测基金下一月异常收益 Rabn_{i,t+1}，输入变量包括 46 个持仓加权股票特征、13 个基金及基金家族特征，以及 sentiment 等宏观变量。随后严格说明 top fund 的定义：每个月按照样本外预测值 Rhat_abn_{i,t+1} 对基金排序并分为 10 个 decile，最高预测组 D10 定义为 top fund。最后说明本文不改变好基金定义，而是使用 WRDS Mutual Fund Holdings - S12 的季度持仓数据，构造持仓集中度、行业集中度、股票风格暴露、调仓强度和核心持仓稳定性等指标，解释 D10 基金相对于其他基金的投资风格差异。</w:t>
            </w:r>
          </w:p>
        </w:tc>
      </w:tr>
    </w:tbl>
    <w:p>
      <w:pPr>
        <w:spacing w:after="40"/>
      </w:pPr>
    </w:p>
    <w:p>
      <w:pPr>
        <w:spacing w:after="120" w:line="283" w:lineRule="auto"/>
      </w:pPr>
      <w:r>
        <w:rPr>
          <w:rFonts w:ascii="Microsoft YaHei" w:hAnsi="Microsoft YaHei" w:eastAsia="Microsoft YaHei"/>
          <w:b/>
        </w:rPr>
        <w:t>建议使用的公式：</w:t>
      </w:r>
    </w:p>
    <w:p>
      <w:pPr>
        <w:spacing w:after="120" w:line="283" w:lineRule="auto"/>
      </w:pPr>
      <w:r>
        <w:rPr>
          <w:rFonts w:ascii="Microsoft YaHei" w:hAnsi="Microsoft YaHei" w:eastAsia="Microsoft YaHei"/>
        </w:rPr>
        <w:t>Rabn_{i,t+1} = g(z_{i,t}, z_t; theta) + epsilon_{i,t+1}</w:t>
      </w:r>
    </w:p>
    <w:p>
      <w:pPr>
        <w:spacing w:after="120" w:line="283" w:lineRule="auto"/>
      </w:pPr>
      <w:r>
        <w:rPr>
          <w:rFonts w:ascii="Microsoft YaHei" w:hAnsi="Microsoft YaHei" w:eastAsia="Microsoft YaHei"/>
        </w:rPr>
        <w:t>TopFund_{i,t} = 1{ fund i 在月份 t 的 Rhat_abn_{i,t+1} 排入第十十分位 D10 }</w:t>
      </w:r>
    </w:p>
    <w:p>
      <w:pPr>
        <w:spacing w:after="120" w:line="283" w:lineRule="auto"/>
      </w:pPr>
      <w:r>
        <w:rPr>
          <w:rFonts w:ascii="Microsoft YaHei" w:hAnsi="Microsoft YaHei" w:eastAsia="Microsoft YaHei"/>
        </w:rPr>
        <w:t>Style_{i,q} = alpha + beta TopFund_{i,q} + gamma Controls_{i,q} + delta_q + epsilon_{i,q}</w:t>
      </w:r>
    </w:p>
    <w:p>
      <w:pPr>
        <w:spacing w:after="120" w:line="283" w:lineRule="auto"/>
      </w:pPr>
      <w:r>
        <w:rPr>
          <w:rFonts w:ascii="Microsoft YaHei" w:hAnsi="Microsoft YaHei" w:eastAsia="Microsoft YaHei"/>
        </w:rPr>
        <w:t>解释口径：若 beta 显著，说明原文机器学习识别出的 D10 基金在真实持仓行为上确实具有可观察差异。</w:t>
      </w:r>
    </w:p>
    <w:p>
      <w:pPr>
        <w:pStyle w:val="Heading1"/>
      </w:pPr>
      <w:r>
        <w:t>2. 相关文献综述</w:t>
      </w:r>
    </w:p>
    <w:p>
      <w:pPr>
        <w:spacing w:after="120" w:line="283" w:lineRule="auto"/>
      </w:pPr>
      <w:r>
        <w:rPr>
          <w:rFonts w:ascii="Microsoft YaHei" w:hAnsi="Microsoft YaHei" w:eastAsia="Microsoft YaHei"/>
        </w:rPr>
        <w:t>写作目标：文献综述要服务本文创新，不要写成逐篇论文摘要。统一写成三条文献线索，最后落到本文贡献。</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2551"/>
            <w:shd w:fill="1F4E79"/>
            <w:vAlign w:val="center"/>
          </w:tcPr>
          <w:p>
            <w:pPr>
              <w:spacing w:after="0" w:line="259" w:lineRule="auto"/>
            </w:pPr>
            <w:r/>
            <w:r>
              <w:rPr>
                <w:rFonts w:ascii="Microsoft YaHei" w:hAnsi="Microsoft YaHei" w:eastAsia="Microsoft YaHei"/>
                <w:b/>
                <w:color w:val="FFFFFF"/>
                <w:sz w:val="17"/>
              </w:rPr>
              <w:t>文献线索</w:t>
            </w:r>
          </w:p>
        </w:tc>
        <w:tc>
          <w:tcPr>
            <w:tcW w:type="dxa" w:w="3118"/>
            <w:shd w:fill="1F4E79"/>
            <w:vAlign w:val="center"/>
          </w:tcPr>
          <w:p>
            <w:pPr>
              <w:spacing w:after="0" w:line="259" w:lineRule="auto"/>
            </w:pPr>
            <w:r/>
            <w:r>
              <w:rPr>
                <w:rFonts w:ascii="Microsoft YaHei" w:hAnsi="Microsoft YaHei" w:eastAsia="Microsoft YaHei"/>
                <w:b/>
                <w:color w:val="FFFFFF"/>
                <w:sz w:val="17"/>
              </w:rPr>
              <w:t>要回答的问题</w:t>
            </w:r>
          </w:p>
        </w:tc>
        <w:tc>
          <w:tcPr>
            <w:tcW w:type="dxa" w:w="3685"/>
            <w:shd w:fill="1F4E79"/>
            <w:vAlign w:val="center"/>
          </w:tcPr>
          <w:p>
            <w:pPr>
              <w:spacing w:after="0" w:line="259" w:lineRule="auto"/>
            </w:pPr>
            <w:r/>
            <w:r>
              <w:rPr>
                <w:rFonts w:ascii="Microsoft YaHei" w:hAnsi="Microsoft YaHei" w:eastAsia="Microsoft YaHei"/>
                <w:b/>
                <w:color w:val="FFFFFF"/>
                <w:sz w:val="17"/>
              </w:rPr>
              <w:t>与本文的连接</w:t>
            </w:r>
          </w:p>
        </w:tc>
      </w:tr>
      <w:tr>
        <w:tc>
          <w:tcPr>
            <w:tcW w:type="dxa" w:w="2551"/>
            <w:vAlign w:val="center"/>
            <w:shd w:fill="F3F6FA"/>
          </w:tcPr>
          <w:p>
            <w:pPr>
              <w:spacing w:after="0" w:line="259" w:lineRule="auto"/>
            </w:pPr>
            <w:r/>
            <w:r>
              <w:rPr>
                <w:rFonts w:ascii="Microsoft YaHei" w:hAnsi="Microsoft YaHei" w:eastAsia="Microsoft YaHei"/>
                <w:b w:val="0"/>
                <w:sz w:val="17"/>
              </w:rPr>
              <w:t>机器学习与基金绩效预测</w:t>
            </w:r>
          </w:p>
        </w:tc>
        <w:tc>
          <w:tcPr>
            <w:tcW w:type="dxa" w:w="3118"/>
            <w:vAlign w:val="center"/>
          </w:tcPr>
          <w:p>
            <w:pPr>
              <w:spacing w:after="0" w:line="259" w:lineRule="auto"/>
            </w:pPr>
            <w:r/>
            <w:r>
              <w:rPr>
                <w:rFonts w:ascii="Microsoft YaHei" w:hAnsi="Microsoft YaHei" w:eastAsia="Microsoft YaHei"/>
                <w:b w:val="0"/>
                <w:sz w:val="17"/>
              </w:rPr>
              <w:t>机器学习能否识别未来表现更好的基金？</w:t>
            </w:r>
          </w:p>
        </w:tc>
        <w:tc>
          <w:tcPr>
            <w:tcW w:type="dxa" w:w="3685"/>
            <w:vAlign w:val="center"/>
          </w:tcPr>
          <w:p>
            <w:pPr>
              <w:spacing w:after="0" w:line="259" w:lineRule="auto"/>
            </w:pPr>
            <w:r/>
            <w:r>
              <w:rPr>
                <w:rFonts w:ascii="Microsoft YaHei" w:hAnsi="Microsoft YaHei" w:eastAsia="Microsoft YaHei"/>
                <w:b w:val="0"/>
                <w:sz w:val="17"/>
              </w:rPr>
              <w:t>原文证明基金特征、基金动量、flow 与 sentiment 对未来异常收益有预测力。</w:t>
            </w:r>
          </w:p>
        </w:tc>
      </w:tr>
      <w:tr>
        <w:tc>
          <w:tcPr>
            <w:tcW w:type="dxa" w:w="2551"/>
            <w:vAlign w:val="center"/>
            <w:shd w:fill="F3F6FA"/>
          </w:tcPr>
          <w:p>
            <w:pPr>
              <w:spacing w:after="0" w:line="259" w:lineRule="auto"/>
            </w:pPr>
            <w:r/>
            <w:r>
              <w:rPr>
                <w:rFonts w:ascii="Microsoft YaHei" w:hAnsi="Microsoft YaHei" w:eastAsia="Microsoft YaHei"/>
                <w:b w:val="0"/>
                <w:sz w:val="17"/>
              </w:rPr>
              <w:t>共同基金持仓与基金经理能力</w:t>
            </w:r>
          </w:p>
        </w:tc>
        <w:tc>
          <w:tcPr>
            <w:tcW w:type="dxa" w:w="3118"/>
            <w:vAlign w:val="center"/>
          </w:tcPr>
          <w:p>
            <w:pPr>
              <w:spacing w:after="0" w:line="259" w:lineRule="auto"/>
            </w:pPr>
            <w:r/>
            <w:r>
              <w:rPr>
                <w:rFonts w:ascii="Microsoft YaHei" w:hAnsi="Microsoft YaHei" w:eastAsia="Microsoft YaHei"/>
                <w:b w:val="0"/>
                <w:sz w:val="17"/>
              </w:rPr>
              <w:t>基金经理的真实投资行为如何反映能力？</w:t>
            </w:r>
          </w:p>
        </w:tc>
        <w:tc>
          <w:tcPr>
            <w:tcW w:type="dxa" w:w="3685"/>
            <w:vAlign w:val="center"/>
          </w:tcPr>
          <w:p>
            <w:pPr>
              <w:spacing w:after="0" w:line="259" w:lineRule="auto"/>
            </w:pPr>
            <w:r/>
            <w:r>
              <w:rPr>
                <w:rFonts w:ascii="Microsoft YaHei" w:hAnsi="Microsoft YaHei" w:eastAsia="Microsoft YaHei"/>
                <w:b w:val="0"/>
                <w:sz w:val="17"/>
              </w:rPr>
              <w:t>S12 提供季度持仓，可以观察选股、行业配置、集中投资和调仓行为。</w:t>
            </w:r>
          </w:p>
        </w:tc>
      </w:tr>
      <w:tr>
        <w:tc>
          <w:tcPr>
            <w:tcW w:type="dxa" w:w="2551"/>
            <w:vAlign w:val="center"/>
            <w:shd w:fill="F3F6FA"/>
          </w:tcPr>
          <w:p>
            <w:pPr>
              <w:spacing w:after="0" w:line="259" w:lineRule="auto"/>
            </w:pPr>
            <w:r/>
            <w:r>
              <w:rPr>
                <w:rFonts w:ascii="Microsoft YaHei" w:hAnsi="Microsoft YaHei" w:eastAsia="Microsoft YaHei"/>
                <w:b w:val="0"/>
                <w:sz w:val="17"/>
              </w:rPr>
              <w:t>模型可解释性与投资风格</w:t>
            </w:r>
          </w:p>
        </w:tc>
        <w:tc>
          <w:tcPr>
            <w:tcW w:type="dxa" w:w="3118"/>
            <w:vAlign w:val="center"/>
          </w:tcPr>
          <w:p>
            <w:pPr>
              <w:spacing w:after="0" w:line="259" w:lineRule="auto"/>
            </w:pPr>
            <w:r/>
            <w:r>
              <w:rPr>
                <w:rFonts w:ascii="Microsoft YaHei" w:hAnsi="Microsoft YaHei" w:eastAsia="Microsoft YaHei"/>
                <w:b w:val="0"/>
                <w:sz w:val="17"/>
              </w:rPr>
              <w:t>预测出来的好基金为什么好？</w:t>
            </w:r>
          </w:p>
        </w:tc>
        <w:tc>
          <w:tcPr>
            <w:tcW w:type="dxa" w:w="3685"/>
            <w:vAlign w:val="center"/>
          </w:tcPr>
          <w:p>
            <w:pPr>
              <w:spacing w:after="0" w:line="259" w:lineRule="auto"/>
            </w:pPr>
            <w:r/>
            <w:r>
              <w:rPr>
                <w:rFonts w:ascii="Microsoft YaHei" w:hAnsi="Microsoft YaHei" w:eastAsia="Microsoft YaHei"/>
                <w:b w:val="0"/>
                <w:sz w:val="17"/>
              </w:rPr>
              <w:t>把 D10 预测结果与 S12 持仓连接，解释机器学习选基结果的经济含义。</w:t>
            </w:r>
          </w:p>
        </w:tc>
      </w:tr>
    </w:tbl>
    <w:p>
      <w:pPr>
        <w:spacing w:after="40"/>
      </w:pPr>
    </w:p>
    <w:tbl>
      <w:tblPr>
        <w:tblW w:type="auto" w:w="0"/>
        <w:jc w:val="center"/>
        <w:tblLayout w:type="autofit"/>
        <w:tblLook w:firstColumn="1" w:firstRow="1" w:lastColumn="0" w:lastRow="0" w:noHBand="0" w:noVBand="1" w:val="04A0"/>
      </w:tblPr>
      <w:tblGrid>
        <w:gridCol w:w="9746"/>
      </w:tblGrid>
      <w:tr>
        <w:tc>
          <w:tcPr>
            <w:tcW w:type="dxa" w:w="9746"/>
            <w:shd w:fill="F4F9F4"/>
            <w:vAlign w:val="center"/>
          </w:tcPr>
          <w:p>
            <w:pPr>
              <w:spacing w:after="60"/>
            </w:pPr>
            <w:r>
              <w:rPr>
                <w:rFonts w:ascii="Microsoft YaHei" w:hAnsi="Microsoft YaHei" w:eastAsia="Microsoft YaHei"/>
                <w:b/>
                <w:color w:val="1F4E79"/>
                <w:sz w:val="21"/>
              </w:rPr>
              <w:t>文献综述部分可直接使用的提示词</w:t>
            </w:r>
          </w:p>
          <w:p>
            <w:pPr>
              <w:spacing w:after="40" w:line="269" w:lineRule="auto"/>
            </w:pPr>
            <w:r>
              <w:rPr>
                <w:rFonts w:ascii="Microsoft YaHei" w:hAnsi="Microsoft YaHei" w:eastAsia="Microsoft YaHei"/>
                <w:sz w:val="19"/>
              </w:rPr>
              <w:t>请按照“三类文献 + 本文贡献”的结构撰写相关文献综述。第一类讨论机器学习在基金绩效预测中的应用，强调机器学习能够处理高维变量、非线性关系和变量交互，原文 Kaniel et al. 是核心文献。第二类讨论共同基金持仓与基金经理能力，说明持仓数据可以揭示基金经理的选股能力、行业配置能力、信息优势和主动管理行为。第三类讨论模型可解释性与投资风格，指出单纯的机器学习预测结果难以回答“好基金为什么好”。最后落到本文：本文严格沿用原文 D10 top fund 定义，并使用 S12 持仓数据解释这些机器学习识别出的好基金具有何种投资风格和调仓逻辑。</w:t>
            </w:r>
          </w:p>
        </w:tc>
      </w:tr>
    </w:tbl>
    <w:p>
      <w:pPr>
        <w:spacing w:after="40"/>
      </w:pPr>
    </w:p>
    <w:p>
      <w:pPr>
        <w:spacing w:after="120" w:line="283" w:lineRule="auto"/>
      </w:pPr>
      <w:r>
        <w:rPr>
          <w:rFonts w:ascii="Microsoft YaHei" w:hAnsi="Microsoft YaHei" w:eastAsia="Microsoft YaHei"/>
          <w:b/>
        </w:rPr>
        <w:t>综述结尾统一句：</w:t>
      </w:r>
    </w:p>
    <w:p>
      <w:pPr>
        <w:spacing w:after="120" w:line="283" w:lineRule="auto"/>
      </w:pPr>
      <w:r>
        <w:rPr>
          <w:rFonts w:ascii="Microsoft YaHei" w:hAnsi="Microsoft YaHei" w:eastAsia="Microsoft YaHei"/>
        </w:rPr>
        <w:t>现有研究分别讨论了机器学习选基和基金持仓行为，但较少将机器学习识别出的高绩效基金与其真实持仓风格直接连接。本文的扩展在于：在不改变原文 top fund 定义的前提下，使用 S12 数据解释 D10 基金的投资风格与调仓逻辑。</w:t>
      </w:r>
    </w:p>
    <w:p>
      <w:pPr>
        <w:pStyle w:val="Heading1"/>
      </w:pPr>
      <w:r>
        <w:t>3. 数据说明及描述性统计</w:t>
      </w:r>
    </w:p>
    <w:p>
      <w:pPr>
        <w:spacing w:after="120" w:line="283" w:lineRule="auto"/>
      </w:pPr>
      <w:r>
        <w:rPr>
          <w:rFonts w:ascii="Microsoft YaHei" w:hAnsi="Microsoft YaHei" w:eastAsia="Microsoft YaHei"/>
        </w:rPr>
        <w:t>写作目标：把原文数据、作者数据包、S12 新增数据和描述性统计表统一到同一个口径。</w:t>
      </w:r>
    </w:p>
    <w:p>
      <w:pPr>
        <w:spacing w:after="120" w:line="283" w:lineRule="auto"/>
      </w:pPr>
      <w:r>
        <w:rPr>
          <w:rFonts w:ascii="Microsoft YaHei" w:hAnsi="Microsoft YaHei" w:eastAsia="Microsoft YaHei"/>
          <w:b/>
        </w:rPr>
        <w:t>建议小标题：</w:t>
      </w:r>
    </w:p>
    <w:p>
      <w:pPr>
        <w:pStyle w:val="ListNumber"/>
        <w:spacing w:after="60" w:line="283" w:lineRule="auto"/>
        <w:ind w:left="255"/>
      </w:pPr>
      <w:r>
        <w:rPr>
          <w:rFonts w:ascii="Microsoft YaHei" w:hAnsi="Microsoft YaHei" w:eastAsia="Microsoft YaHei"/>
        </w:rPr>
        <w:t>原文样本与数据来源</w:t>
      </w:r>
    </w:p>
    <w:p>
      <w:pPr>
        <w:pStyle w:val="ListNumber"/>
        <w:spacing w:after="60" w:line="283" w:lineRule="auto"/>
        <w:ind w:left="255"/>
      </w:pPr>
      <w:r>
        <w:rPr>
          <w:rFonts w:ascii="Microsoft YaHei" w:hAnsi="Microsoft YaHei" w:eastAsia="Microsoft YaHei"/>
        </w:rPr>
        <w:t>作者复现数据包字段</w:t>
      </w:r>
    </w:p>
    <w:p>
      <w:pPr>
        <w:pStyle w:val="ListNumber"/>
        <w:spacing w:after="60" w:line="283" w:lineRule="auto"/>
        <w:ind w:left="255"/>
      </w:pPr>
      <w:r>
        <w:rPr>
          <w:rFonts w:ascii="Microsoft YaHei" w:hAnsi="Microsoft YaHei" w:eastAsia="Microsoft YaHei"/>
        </w:rPr>
        <w:t>S12 共同基金持仓数据字段</w:t>
      </w:r>
    </w:p>
    <w:p>
      <w:pPr>
        <w:pStyle w:val="ListNumber"/>
        <w:spacing w:after="60" w:line="283" w:lineRule="auto"/>
        <w:ind w:left="255"/>
      </w:pPr>
      <w:r>
        <w:rPr>
          <w:rFonts w:ascii="Microsoft YaHei" w:hAnsi="Microsoft YaHei" w:eastAsia="Microsoft YaHei"/>
        </w:rPr>
        <w:t>数据合并与 top fund 匹配</w:t>
      </w:r>
    </w:p>
    <w:p>
      <w:pPr>
        <w:pStyle w:val="ListNumber"/>
        <w:spacing w:after="60" w:line="283" w:lineRule="auto"/>
        <w:ind w:left="255"/>
      </w:pPr>
      <w:r>
        <w:rPr>
          <w:rFonts w:ascii="Microsoft YaHei" w:hAnsi="Microsoft YaHei" w:eastAsia="Microsoft YaHei"/>
        </w:rPr>
        <w:t>描述性统计表设计</w:t>
      </w:r>
    </w:p>
    <w:p>
      <w:pPr>
        <w:pStyle w:val="Heading2"/>
      </w:pPr>
      <w:r>
        <w:t>3.1 原文描述性统计口径</w:t>
      </w:r>
    </w:p>
    <w:tbl>
      <w:tblPr>
        <w:tblStyle w:val="TableGrid"/>
        <w:tblW w:type="auto" w:w="0"/>
        <w:jc w:val="center"/>
        <w:tblLayout w:type="autofit"/>
        <w:tblLook w:firstColumn="1" w:firstRow="1" w:lastColumn="0" w:lastRow="0" w:noHBand="0" w:noVBand="1" w:val="04A0"/>
      </w:tblPr>
      <w:tblGrid>
        <w:gridCol w:w="4873"/>
        <w:gridCol w:w="4873"/>
      </w:tblGrid>
      <w:tr>
        <w:tc>
          <w:tcPr>
            <w:tcW w:type="dxa" w:w="2551"/>
            <w:shd w:fill="1F4E79"/>
            <w:vAlign w:val="center"/>
          </w:tcPr>
          <w:p>
            <w:pPr>
              <w:spacing w:after="0" w:line="259" w:lineRule="auto"/>
            </w:pPr>
            <w:r/>
            <w:r>
              <w:rPr>
                <w:rFonts w:ascii="Microsoft YaHei" w:hAnsi="Microsoft YaHei" w:eastAsia="Microsoft YaHei"/>
                <w:b/>
                <w:color w:val="FFFFFF"/>
                <w:sz w:val="16"/>
              </w:rPr>
              <w:t>原文项目</w:t>
            </w:r>
          </w:p>
        </w:tc>
        <w:tc>
          <w:tcPr>
            <w:tcW w:type="dxa" w:w="6803"/>
            <w:shd w:fill="1F4E79"/>
            <w:vAlign w:val="center"/>
          </w:tcPr>
          <w:p>
            <w:pPr>
              <w:spacing w:after="0" w:line="259" w:lineRule="auto"/>
            </w:pPr>
            <w:r/>
            <w:r>
              <w:rPr>
                <w:rFonts w:ascii="Microsoft YaHei" w:hAnsi="Microsoft YaHei" w:eastAsia="Microsoft YaHei"/>
                <w:b/>
                <w:color w:val="FFFFFF"/>
                <w:sz w:val="16"/>
              </w:rPr>
              <w:t>统一写法</w:t>
            </w:r>
          </w:p>
        </w:tc>
      </w:tr>
      <w:tr>
        <w:tc>
          <w:tcPr>
            <w:tcW w:type="dxa" w:w="2551"/>
            <w:vAlign w:val="center"/>
            <w:shd w:fill="F3F6FA"/>
          </w:tcPr>
          <w:p>
            <w:pPr>
              <w:spacing w:after="0" w:line="259" w:lineRule="auto"/>
            </w:pPr>
            <w:r/>
            <w:r>
              <w:rPr>
                <w:rFonts w:ascii="Microsoft YaHei" w:hAnsi="Microsoft YaHei" w:eastAsia="Microsoft YaHei"/>
                <w:b w:val="0"/>
                <w:sz w:val="16"/>
              </w:rPr>
              <w:t>样本期</w:t>
            </w:r>
          </w:p>
        </w:tc>
        <w:tc>
          <w:tcPr>
            <w:tcW w:type="dxa" w:w="6803"/>
            <w:vAlign w:val="center"/>
          </w:tcPr>
          <w:p>
            <w:pPr>
              <w:spacing w:after="0" w:line="259" w:lineRule="auto"/>
            </w:pPr>
            <w:r/>
            <w:r>
              <w:rPr>
                <w:rFonts w:ascii="Microsoft YaHei" w:hAnsi="Microsoft YaHei" w:eastAsia="Microsoft YaHei"/>
                <w:b w:val="0"/>
                <w:sz w:val="16"/>
              </w:rPr>
              <w:t>1980 年 1 月至 2019 年 1 月</w:t>
            </w:r>
          </w:p>
        </w:tc>
      </w:tr>
      <w:tr>
        <w:tc>
          <w:tcPr>
            <w:tcW w:type="dxa" w:w="2551"/>
            <w:vAlign w:val="center"/>
            <w:shd w:fill="F3F6FA"/>
          </w:tcPr>
          <w:p>
            <w:pPr>
              <w:spacing w:after="0" w:line="259" w:lineRule="auto"/>
            </w:pPr>
            <w:r/>
            <w:r>
              <w:rPr>
                <w:rFonts w:ascii="Microsoft YaHei" w:hAnsi="Microsoft YaHei" w:eastAsia="Microsoft YaHei"/>
                <w:b w:val="0"/>
                <w:sz w:val="16"/>
              </w:rPr>
              <w:t>基金范围</w:t>
            </w:r>
          </w:p>
        </w:tc>
        <w:tc>
          <w:tcPr>
            <w:tcW w:type="dxa" w:w="6803"/>
            <w:vAlign w:val="center"/>
          </w:tcPr>
          <w:p>
            <w:pPr>
              <w:spacing w:after="0" w:line="259" w:lineRule="auto"/>
            </w:pPr>
            <w:r/>
            <w:r>
              <w:rPr>
                <w:rFonts w:ascii="Microsoft YaHei" w:hAnsi="Microsoft YaHei" w:eastAsia="Microsoft YaHei"/>
                <w:b w:val="0"/>
                <w:sz w:val="16"/>
              </w:rPr>
              <w:t>主动管理型美国股票共同基金</w:t>
            </w:r>
          </w:p>
        </w:tc>
      </w:tr>
      <w:tr>
        <w:tc>
          <w:tcPr>
            <w:tcW w:type="dxa" w:w="2551"/>
            <w:vAlign w:val="center"/>
            <w:shd w:fill="F3F6FA"/>
          </w:tcPr>
          <w:p>
            <w:pPr>
              <w:spacing w:after="0" w:line="259" w:lineRule="auto"/>
            </w:pPr>
            <w:r/>
            <w:r>
              <w:rPr>
                <w:rFonts w:ascii="Microsoft YaHei" w:hAnsi="Microsoft YaHei" w:eastAsia="Microsoft YaHei"/>
                <w:b w:val="0"/>
                <w:sz w:val="16"/>
              </w:rPr>
              <w:t>基金数量</w:t>
            </w:r>
          </w:p>
        </w:tc>
        <w:tc>
          <w:tcPr>
            <w:tcW w:type="dxa" w:w="6803"/>
            <w:vAlign w:val="center"/>
          </w:tcPr>
          <w:p>
            <w:pPr>
              <w:spacing w:after="0" w:line="259" w:lineRule="auto"/>
            </w:pPr>
            <w:r/>
            <w:r>
              <w:rPr>
                <w:rFonts w:ascii="Microsoft YaHei" w:hAnsi="Microsoft YaHei" w:eastAsia="Microsoft YaHei"/>
                <w:b w:val="0"/>
                <w:sz w:val="16"/>
              </w:rPr>
              <w:t>3,275 只基金</w:t>
            </w:r>
          </w:p>
        </w:tc>
      </w:tr>
      <w:tr>
        <w:tc>
          <w:tcPr>
            <w:tcW w:type="dxa" w:w="2551"/>
            <w:vAlign w:val="center"/>
            <w:shd w:fill="F3F6FA"/>
          </w:tcPr>
          <w:p>
            <w:pPr>
              <w:spacing w:after="0" w:line="259" w:lineRule="auto"/>
            </w:pPr>
            <w:r/>
            <w:r>
              <w:rPr>
                <w:rFonts w:ascii="Microsoft YaHei" w:hAnsi="Microsoft YaHei" w:eastAsia="Microsoft YaHei"/>
                <w:b w:val="0"/>
                <w:sz w:val="16"/>
              </w:rPr>
              <w:t>观测结构</w:t>
            </w:r>
          </w:p>
        </w:tc>
        <w:tc>
          <w:tcPr>
            <w:tcW w:type="dxa" w:w="6803"/>
            <w:vAlign w:val="center"/>
          </w:tcPr>
          <w:p>
            <w:pPr>
              <w:spacing w:after="0" w:line="259" w:lineRule="auto"/>
            </w:pPr>
            <w:r/>
            <w:r>
              <w:rPr>
                <w:rFonts w:ascii="Microsoft YaHei" w:hAnsi="Microsoft YaHei" w:eastAsia="Microsoft YaHei"/>
                <w:b w:val="0"/>
                <w:sz w:val="16"/>
              </w:rPr>
              <w:t>基金-月份面板，共 407,158 个 fund-month 观测</w:t>
            </w:r>
          </w:p>
        </w:tc>
      </w:tr>
      <w:tr>
        <w:tc>
          <w:tcPr>
            <w:tcW w:type="dxa" w:w="2551"/>
            <w:vAlign w:val="center"/>
            <w:shd w:fill="F3F6FA"/>
          </w:tcPr>
          <w:p>
            <w:pPr>
              <w:spacing w:after="0" w:line="259" w:lineRule="auto"/>
            </w:pPr>
            <w:r/>
            <w:r>
              <w:rPr>
                <w:rFonts w:ascii="Microsoft YaHei" w:hAnsi="Microsoft YaHei" w:eastAsia="Microsoft YaHei"/>
                <w:b w:val="0"/>
                <w:sz w:val="16"/>
              </w:rPr>
              <w:t>完整特征观测</w:t>
            </w:r>
          </w:p>
        </w:tc>
        <w:tc>
          <w:tcPr>
            <w:tcW w:type="dxa" w:w="6803"/>
            <w:vAlign w:val="center"/>
          </w:tcPr>
          <w:p>
            <w:pPr>
              <w:spacing w:after="0" w:line="259" w:lineRule="auto"/>
            </w:pPr>
            <w:r/>
            <w:r>
              <w:rPr>
                <w:rFonts w:ascii="Microsoft YaHei" w:hAnsi="Microsoft YaHei" w:eastAsia="Microsoft YaHei"/>
                <w:b w:val="0"/>
                <w:sz w:val="16"/>
              </w:rPr>
              <w:t>插补前有 332,294 个 fund-by-time 观测的基金特征完整</w:t>
            </w:r>
          </w:p>
        </w:tc>
      </w:tr>
      <w:tr>
        <w:tc>
          <w:tcPr>
            <w:tcW w:type="dxa" w:w="2551"/>
            <w:vAlign w:val="center"/>
            <w:shd w:fill="F3F6FA"/>
          </w:tcPr>
          <w:p>
            <w:pPr>
              <w:spacing w:after="0" w:line="259" w:lineRule="auto"/>
            </w:pPr>
            <w:r/>
            <w:r>
              <w:rPr>
                <w:rFonts w:ascii="Microsoft YaHei" w:hAnsi="Microsoft YaHei" w:eastAsia="Microsoft YaHei"/>
                <w:b w:val="0"/>
                <w:sz w:val="16"/>
              </w:rPr>
              <w:t>筛选条件</w:t>
            </w:r>
          </w:p>
        </w:tc>
        <w:tc>
          <w:tcPr>
            <w:tcW w:type="dxa" w:w="6803"/>
            <w:vAlign w:val="center"/>
          </w:tcPr>
          <w:p>
            <w:pPr>
              <w:spacing w:after="0" w:line="259" w:lineRule="auto"/>
            </w:pPr>
            <w:r/>
            <w:r>
              <w:rPr>
                <w:rFonts w:ascii="Microsoft YaHei" w:hAnsi="Microsoft YaHei" w:eastAsia="Microsoft YaHei"/>
                <w:b w:val="0"/>
                <w:sz w:val="16"/>
              </w:rPr>
              <w:t>t 月有原始收益；t-1 月有持仓数据和 TNA；过去 36 个月至少 30 个非缺失收益观测</w:t>
            </w:r>
          </w:p>
        </w:tc>
      </w:tr>
      <w:tr>
        <w:tc>
          <w:tcPr>
            <w:tcW w:type="dxa" w:w="2551"/>
            <w:vAlign w:val="center"/>
            <w:shd w:fill="F3F6FA"/>
          </w:tcPr>
          <w:p>
            <w:pPr>
              <w:spacing w:after="0" w:line="259" w:lineRule="auto"/>
            </w:pPr>
            <w:r/>
            <w:r>
              <w:rPr>
                <w:rFonts w:ascii="Microsoft YaHei" w:hAnsi="Microsoft YaHei" w:eastAsia="Microsoft YaHei"/>
                <w:b w:val="0"/>
                <w:sz w:val="16"/>
              </w:rPr>
              <w:t>异常收益描述</w:t>
            </w:r>
          </w:p>
        </w:tc>
        <w:tc>
          <w:tcPr>
            <w:tcW w:type="dxa" w:w="6803"/>
            <w:vAlign w:val="center"/>
          </w:tcPr>
          <w:p>
            <w:pPr>
              <w:spacing w:after="0" w:line="259" w:lineRule="auto"/>
            </w:pPr>
            <w:r/>
            <w:r>
              <w:rPr>
                <w:rFonts w:ascii="Microsoft YaHei" w:hAnsi="Microsoft YaHei" w:eastAsia="Microsoft YaHei"/>
                <w:b w:val="0"/>
                <w:sz w:val="16"/>
              </w:rPr>
              <w:t>异常收益均值和中位数为 -0.03%/月，标准差为 2.00%</w:t>
            </w:r>
          </w:p>
        </w:tc>
      </w:tr>
      <w:tr>
        <w:tc>
          <w:tcPr>
            <w:tcW w:type="dxa" w:w="2551"/>
            <w:vAlign w:val="center"/>
            <w:shd w:fill="F3F6FA"/>
          </w:tcPr>
          <w:p>
            <w:pPr>
              <w:spacing w:after="0" w:line="259" w:lineRule="auto"/>
            </w:pPr>
            <w:r/>
            <w:r>
              <w:rPr>
                <w:rFonts w:ascii="Microsoft YaHei" w:hAnsi="Microsoft YaHei" w:eastAsia="Microsoft YaHei"/>
                <w:b w:val="0"/>
                <w:sz w:val="16"/>
              </w:rPr>
              <w:t>基金平均特征</w:t>
            </w:r>
          </w:p>
        </w:tc>
        <w:tc>
          <w:tcPr>
            <w:tcW w:type="dxa" w:w="6803"/>
            <w:vAlign w:val="center"/>
          </w:tcPr>
          <w:p>
            <w:pPr>
              <w:spacing w:after="0" w:line="259" w:lineRule="auto"/>
            </w:pPr>
            <w:r/>
            <w:r>
              <w:rPr>
                <w:rFonts w:ascii="Microsoft YaHei" w:hAnsi="Microsoft YaHei" w:eastAsia="Microsoft YaHei"/>
                <w:b w:val="0"/>
                <w:sz w:val="16"/>
              </w:rPr>
              <w:t>平均年龄 13.7 年，平均 TNA 为 1,153 百万美元，月费用率约 0.1%，月均 flow 为 1.6%</w:t>
            </w:r>
          </w:p>
        </w:tc>
      </w:tr>
      <w:tr>
        <w:tc>
          <w:tcPr>
            <w:tcW w:type="dxa" w:w="2551"/>
            <w:vAlign w:val="center"/>
            <w:shd w:fill="F3F6FA"/>
          </w:tcPr>
          <w:p>
            <w:pPr>
              <w:spacing w:after="0" w:line="259" w:lineRule="auto"/>
            </w:pPr>
            <w:r/>
            <w:r>
              <w:rPr>
                <w:rFonts w:ascii="Microsoft YaHei" w:hAnsi="Microsoft YaHei" w:eastAsia="Microsoft YaHei"/>
                <w:b w:val="0"/>
                <w:sz w:val="16"/>
              </w:rPr>
              <w:t>正文表图口径</w:t>
            </w:r>
          </w:p>
        </w:tc>
        <w:tc>
          <w:tcPr>
            <w:tcW w:type="dxa" w:w="6803"/>
            <w:vAlign w:val="center"/>
          </w:tcPr>
          <w:p>
            <w:pPr>
              <w:spacing w:after="0" w:line="259" w:lineRule="auto"/>
            </w:pPr>
            <w:r/>
            <w:r>
              <w:rPr>
                <w:rFonts w:ascii="Microsoft YaHei" w:hAnsi="Microsoft YaHei" w:eastAsia="Microsoft YaHei"/>
                <w:b w:val="0"/>
                <w:sz w:val="16"/>
              </w:rPr>
              <w:t>Table 1 列 59 个特征，Table 2 列基金动量定义，Fig. 1 展示 sentiment 与 CFNAI 时间序列</w:t>
            </w:r>
          </w:p>
        </w:tc>
      </w:tr>
    </w:tbl>
    <w:p>
      <w:pPr>
        <w:spacing w:after="40"/>
      </w:pPr>
    </w:p>
    <w:p>
      <w:pPr>
        <w:spacing w:after="120" w:line="283" w:lineRule="auto"/>
      </w:pPr>
      <w:r>
        <w:rPr>
          <w:rFonts w:ascii="Microsoft YaHei" w:hAnsi="Microsoft YaHei" w:eastAsia="Microsoft YaHei"/>
        </w:rPr>
        <w:t>写作注意：原文正文没有把 Table 1 写成均值/标准差表；Table 1 是变量清单。中期报告可以在原文口径基础上，补做我们样本的 N、mean、std、p25、median、p75、min、max。</w:t>
      </w:r>
    </w:p>
    <w:p>
      <w:pPr>
        <w:pStyle w:val="Heading2"/>
      </w:pPr>
      <w:r>
        <w:t>3.2 作者复现数据包字段名称（文本清单）</w:t>
      </w:r>
    </w:p>
    <w:p>
      <w:pPr>
        <w:spacing w:after="120" w:line="283" w:lineRule="auto"/>
      </w:pPr>
      <w:r>
        <w:rPr>
          <w:rFonts w:ascii="Microsoft YaHei" w:hAnsi="Microsoft YaHei" w:eastAsia="Microsoft YaHei"/>
        </w:rPr>
        <w:t>Data/abnormal_return.csv：Unnamed: 0, md, wficn, Date, alpha, tna, passiveret, active_alpha, passive_alpha, exp_ratio, rret, stock_alpha, net_alpha。</w:t>
      </w:r>
    </w:p>
    <w:p>
      <w:pPr>
        <w:spacing w:after="120" w:line="283" w:lineRule="auto"/>
      </w:pPr>
      <w:r>
        <w:rPr>
          <w:rFonts w:ascii="Microsoft YaHei" w:hAnsi="Microsoft YaHei" w:eastAsia="Microsoft YaHei"/>
        </w:rPr>
        <w:t>Data/8_factors.csv：Date, Mkt-RF, SMB, HML, RMW, CMA, LT_Rev, Mom, ST_Rev, RF。</w:t>
      </w:r>
    </w:p>
    <w:p>
      <w:pPr>
        <w:spacing w:after="120" w:line="283" w:lineRule="auto"/>
      </w:pPr>
      <w:r>
        <w:rPr>
          <w:rFonts w:ascii="Microsoft YaHei" w:hAnsi="Microsoft YaHei" w:eastAsia="Microsoft YaHei"/>
        </w:rPr>
        <w:t>Data/macro_combined.csv：md, CFNAI, Sentiment。</w:t>
      </w:r>
    </w:p>
    <w:p>
      <w:pPr>
        <w:spacing w:after="120" w:line="283" w:lineRule="auto"/>
      </w:pPr>
      <w:r>
        <w:rPr>
          <w:rFonts w:ascii="Microsoft YaHei" w:hAnsi="Microsoft YaHei" w:eastAsia="Microsoft YaHei"/>
        </w:rPr>
        <w:t>Data/alpha_imputed_chara_sentiment.npz：data, permno, names, date。</w:t>
      </w:r>
    </w:p>
    <w:p>
      <w:pPr>
        <w:spacing w:after="120" w:line="283" w:lineRule="auto"/>
      </w:pPr>
      <w:r>
        <w:rPr>
          <w:rFonts w:ascii="Microsoft YaHei" w:hAnsi="Microsoft YaHei" w:eastAsia="Microsoft YaHei"/>
        </w:rPr>
        <w:t>deep_learning/result_saved/random_sampling/output_all465914.npz：R_all, Rhat_all, mask_all。该文件对应 Fund + sentiment 主口径，可用于按照 Rhat_all 形成 D10 top fund。</w:t>
      </w:r>
    </w:p>
    <w:p>
      <w:pPr>
        <w:spacing w:after="120" w:line="283" w:lineRule="auto"/>
      </w:pPr>
      <w:r>
        <w:rPr>
          <w:rFonts w:ascii="Microsoft YaHei" w:hAnsi="Microsoft YaHei" w:eastAsia="Microsoft YaHei"/>
          <w:b/>
        </w:rPr>
        <w:t>npz names 字段：</w:t>
      </w:r>
    </w:p>
    <w:p>
      <w:pPr>
        <w:spacing w:after="120" w:line="283" w:lineRule="auto"/>
      </w:pPr>
      <w:r>
        <w:rPr>
          <w:rFonts w:ascii="Microsoft YaHei" w:hAnsi="Microsoft YaHei" w:eastAsia="Microsoft YaHei"/>
        </w:rPr>
        <w:t>FC2Y, Beta, OA, CF, Variance, BEME, CTO, RNA, NI, r12_2, CF2P, r36_13, ROA, r2_1, Resid_Var, DPI2A, IdioVol, AC, PM, ATO, D2A, SUV, SGA2S, r12_7, PCM, LT_Rev, D2P, Rel2High, LTurnover, ROE, MktBeta, Investment, Lev, LME, E2P, ST_Rev, Spread, Q, A2ME, NOA, C, OP, S2P, OL, AT, PROF, ages, flow, exp_ratio, tna, turnover, Family_TNA, fund_no, Family_r12_2, Family_flow, Family_age, F_ST_Rev, F_r2_1, F_r12_2, sentiment</w:t>
      </w:r>
    </w:p>
    <w:p>
      <w:pPr>
        <w:pStyle w:val="Heading2"/>
      </w:pPr>
      <w:r>
        <w:t>3.3 S12 数据字段名称（文本清单）</w:t>
      </w:r>
    </w:p>
    <w:p>
      <w:pPr>
        <w:spacing w:after="120" w:line="283" w:lineRule="auto"/>
      </w:pPr>
      <w:r>
        <w:rPr>
          <w:rFonts w:ascii="Microsoft YaHei" w:hAnsi="Microsoft YaHei" w:eastAsia="Microsoft YaHei"/>
        </w:rPr>
        <w:t>核心持仓表建议使用：fundno, fdate, cusip, shares。</w:t>
      </w:r>
    </w:p>
    <w:p>
      <w:pPr>
        <w:spacing w:after="120" w:line="283" w:lineRule="auto"/>
      </w:pPr>
      <w:r>
        <w:rPr>
          <w:rFonts w:ascii="Microsoft YaHei" w:hAnsi="Microsoft YaHei" w:eastAsia="Microsoft YaHei"/>
        </w:rPr>
        <w:t>基金报告与名称信息建议使用：fundno, fdate, rdate, assets, fundname, mgrcoab, country, ioc, rdate1, rdate2。</w:t>
      </w:r>
    </w:p>
    <w:p>
      <w:pPr>
        <w:spacing w:after="120" w:line="283" w:lineRule="auto"/>
      </w:pPr>
      <w:r>
        <w:rPr>
          <w:rFonts w:ascii="Microsoft YaHei" w:hAnsi="Microsoft YaHei" w:eastAsia="Microsoft YaHei"/>
        </w:rPr>
        <w:t>证券辅助信息建议使用：cusip, fdate, ticker, ticker2, stkname, indcode, stkcd, stkcdesc, exchcd, prc, shrout1, shrout2。</w:t>
      </w:r>
    </w:p>
    <w:p>
      <w:pPr>
        <w:spacing w:after="120" w:line="283" w:lineRule="auto"/>
      </w:pPr>
      <w:r>
        <w:rPr>
          <w:rFonts w:ascii="Microsoft YaHei" w:hAnsi="Microsoft YaHei" w:eastAsia="Microsoft YaHei"/>
        </w:rPr>
        <w:t>连接字段建议使用：wficn, fundno, sdate1, sdate2。</w:t>
      </w:r>
    </w:p>
    <w:p>
      <w:pPr>
        <w:spacing w:after="120" w:line="283" w:lineRule="auto"/>
      </w:pPr>
      <w:r>
        <w:rPr>
          <w:rFonts w:ascii="Microsoft YaHei" w:hAnsi="Microsoft YaHei" w:eastAsia="Microsoft YaHei"/>
        </w:rPr>
        <w:t>S12 合并主键统一写法：先用 mflink2 将 wficn 与 fundno 做有效期匹配，再用 fundno + fdate 连接基金持仓，最后用 cusip + fdate 连接证券信息。</w:t>
      </w:r>
    </w:p>
    <w:p>
      <w:pPr>
        <w:pStyle w:val="Heading2"/>
      </w:pPr>
      <w:r>
        <w:t>3.4 S12 可解释性变量构造</w:t>
      </w:r>
    </w:p>
    <w:p>
      <w:pPr>
        <w:spacing w:after="120" w:line="283" w:lineRule="auto"/>
      </w:pPr>
      <w:r>
        <w:rPr>
          <w:rFonts w:ascii="Microsoft YaHei" w:hAnsi="Microsoft YaHei" w:eastAsia="Microsoft YaHei"/>
        </w:rPr>
        <w:t>后续可构造的变量名称统一为：holding_value, weight, n_holdings, top10_weight, hhi, industry_hhi, buy_sell_change, core_holding_share。</w:t>
      </w:r>
    </w:p>
    <w:p>
      <w:pPr>
        <w:spacing w:after="120" w:line="283" w:lineRule="auto"/>
      </w:pPr>
      <w:r>
        <w:rPr>
          <w:rFonts w:ascii="Microsoft YaHei" w:hAnsi="Microsoft YaHei" w:eastAsia="Microsoft YaHei"/>
        </w:rPr>
        <w:t>写作中只需要说明这些变量分别对应持仓市值、持仓权重、持股数量、前十大持仓集中度、整体持仓集中度、行业集中度、调仓变化和核心持仓稳定性即可，不必逐项展开数据库字段。</w:t>
      </w:r>
    </w:p>
    <w:p>
      <w:pPr>
        <w:pStyle w:val="Heading2"/>
      </w:pPr>
      <w:r>
        <w:t>3.5 描述性统计表统一设计</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1814"/>
            <w:shd w:fill="1F4E79"/>
            <w:vAlign w:val="center"/>
          </w:tcPr>
          <w:p>
            <w:pPr>
              <w:spacing w:after="0" w:line="259" w:lineRule="auto"/>
            </w:pPr>
            <w:r/>
            <w:r>
              <w:rPr>
                <w:rFonts w:ascii="Microsoft YaHei" w:hAnsi="Microsoft YaHei" w:eastAsia="Microsoft YaHei"/>
                <w:b/>
                <w:color w:val="FFFFFF"/>
                <w:sz w:val="15"/>
              </w:rPr>
              <w:t>表格</w:t>
            </w:r>
          </w:p>
        </w:tc>
        <w:tc>
          <w:tcPr>
            <w:tcW w:type="dxa" w:w="1871"/>
            <w:shd w:fill="1F4E79"/>
            <w:vAlign w:val="center"/>
          </w:tcPr>
          <w:p>
            <w:pPr>
              <w:spacing w:after="0" w:line="259" w:lineRule="auto"/>
            </w:pPr>
            <w:r/>
            <w:r>
              <w:rPr>
                <w:rFonts w:ascii="Microsoft YaHei" w:hAnsi="Microsoft YaHei" w:eastAsia="Microsoft YaHei"/>
                <w:b/>
                <w:color w:val="FFFFFF"/>
                <w:sz w:val="15"/>
              </w:rPr>
              <w:t>统计对象</w:t>
            </w:r>
          </w:p>
        </w:tc>
        <w:tc>
          <w:tcPr>
            <w:tcW w:type="dxa" w:w="4195"/>
            <w:shd w:fill="1F4E79"/>
            <w:vAlign w:val="center"/>
          </w:tcPr>
          <w:p>
            <w:pPr>
              <w:spacing w:after="0" w:line="259" w:lineRule="auto"/>
            </w:pPr>
            <w:r/>
            <w:r>
              <w:rPr>
                <w:rFonts w:ascii="Microsoft YaHei" w:hAnsi="Microsoft YaHei" w:eastAsia="Microsoft YaHei"/>
                <w:b/>
                <w:color w:val="FFFFFF"/>
                <w:sz w:val="15"/>
              </w:rPr>
              <w:t>必须列出的变量</w:t>
            </w:r>
          </w:p>
        </w:tc>
        <w:tc>
          <w:tcPr>
            <w:tcW w:type="dxa" w:w="1701"/>
            <w:shd w:fill="1F4E79"/>
            <w:vAlign w:val="center"/>
          </w:tcPr>
          <w:p>
            <w:pPr>
              <w:spacing w:after="0" w:line="259" w:lineRule="auto"/>
            </w:pPr>
            <w:r/>
            <w:r>
              <w:rPr>
                <w:rFonts w:ascii="Microsoft YaHei" w:hAnsi="Microsoft YaHei" w:eastAsia="Microsoft YaHei"/>
                <w:b/>
                <w:color w:val="FFFFFF"/>
                <w:sz w:val="15"/>
              </w:rPr>
              <w:t>统计列</w:t>
            </w:r>
          </w:p>
        </w:tc>
      </w:tr>
      <w:tr>
        <w:tc>
          <w:tcPr>
            <w:tcW w:type="dxa" w:w="1814"/>
            <w:vAlign w:val="center"/>
            <w:shd w:fill="F3F6FA"/>
          </w:tcPr>
          <w:p>
            <w:pPr>
              <w:spacing w:after="0" w:line="259" w:lineRule="auto"/>
            </w:pPr>
            <w:r/>
            <w:r>
              <w:rPr>
                <w:rFonts w:ascii="Microsoft YaHei" w:hAnsi="Microsoft YaHei" w:eastAsia="Microsoft YaHei"/>
                <w:b w:val="0"/>
                <w:sz w:val="15"/>
              </w:rPr>
              <w:t>表 1 原文复现样本</w:t>
            </w:r>
          </w:p>
        </w:tc>
        <w:tc>
          <w:tcPr>
            <w:tcW w:type="dxa" w:w="1871"/>
            <w:vAlign w:val="center"/>
          </w:tcPr>
          <w:p>
            <w:pPr>
              <w:spacing w:after="0" w:line="259" w:lineRule="auto"/>
            </w:pPr>
            <w:r/>
            <w:r>
              <w:rPr>
                <w:rFonts w:ascii="Microsoft YaHei" w:hAnsi="Microsoft YaHei" w:eastAsia="Microsoft YaHei"/>
                <w:b w:val="0"/>
                <w:sz w:val="15"/>
              </w:rPr>
              <w:t>fund-month</w:t>
            </w:r>
          </w:p>
        </w:tc>
        <w:tc>
          <w:tcPr>
            <w:tcW w:type="dxa" w:w="4195"/>
            <w:vAlign w:val="center"/>
          </w:tcPr>
          <w:p>
            <w:pPr>
              <w:spacing w:after="0" w:line="259" w:lineRule="auto"/>
            </w:pPr>
            <w:r/>
            <w:r>
              <w:rPr>
                <w:rFonts w:ascii="Microsoft YaHei" w:hAnsi="Microsoft YaHei" w:eastAsia="Microsoft YaHei"/>
                <w:b w:val="0"/>
                <w:sz w:val="15"/>
              </w:rPr>
              <w:t>alpha/Rabn, tna, exp_ratio, rret, net_alpha, flow, age/ages, turnover</w:t>
            </w:r>
          </w:p>
        </w:tc>
        <w:tc>
          <w:tcPr>
            <w:tcW w:type="dxa" w:w="1701"/>
            <w:vAlign w:val="center"/>
          </w:tcPr>
          <w:p>
            <w:pPr>
              <w:spacing w:after="0" w:line="259" w:lineRule="auto"/>
            </w:pPr>
            <w:r/>
            <w:r>
              <w:rPr>
                <w:rFonts w:ascii="Microsoft YaHei" w:hAnsi="Microsoft YaHei" w:eastAsia="Microsoft YaHei"/>
                <w:b w:val="0"/>
                <w:sz w:val="15"/>
              </w:rPr>
              <w:t>N, mean, std, p25, median, p75, min, max</w:t>
            </w:r>
          </w:p>
        </w:tc>
      </w:tr>
      <w:tr>
        <w:tc>
          <w:tcPr>
            <w:tcW w:type="dxa" w:w="1814"/>
            <w:vAlign w:val="center"/>
            <w:shd w:fill="F3F6FA"/>
          </w:tcPr>
          <w:p>
            <w:pPr>
              <w:spacing w:after="0" w:line="259" w:lineRule="auto"/>
            </w:pPr>
            <w:r/>
            <w:r>
              <w:rPr>
                <w:rFonts w:ascii="Microsoft YaHei" w:hAnsi="Microsoft YaHei" w:eastAsia="Microsoft YaHei"/>
                <w:b w:val="0"/>
                <w:sz w:val="15"/>
              </w:rPr>
              <w:t>表 2 S12 持仓样本</w:t>
            </w:r>
          </w:p>
        </w:tc>
        <w:tc>
          <w:tcPr>
            <w:tcW w:type="dxa" w:w="1871"/>
            <w:vAlign w:val="center"/>
          </w:tcPr>
          <w:p>
            <w:pPr>
              <w:spacing w:after="0" w:line="259" w:lineRule="auto"/>
            </w:pPr>
            <w:r/>
            <w:r>
              <w:rPr>
                <w:rFonts w:ascii="Microsoft YaHei" w:hAnsi="Microsoft YaHei" w:eastAsia="Microsoft YaHei"/>
                <w:b w:val="0"/>
                <w:sz w:val="15"/>
              </w:rPr>
              <w:t>fund-quarter / holding line</w:t>
            </w:r>
          </w:p>
        </w:tc>
        <w:tc>
          <w:tcPr>
            <w:tcW w:type="dxa" w:w="4195"/>
            <w:vAlign w:val="center"/>
          </w:tcPr>
          <w:p>
            <w:pPr>
              <w:spacing w:after="0" w:line="259" w:lineRule="auto"/>
            </w:pPr>
            <w:r/>
            <w:r>
              <w:rPr>
                <w:rFonts w:ascii="Microsoft YaHei" w:hAnsi="Microsoft YaHei" w:eastAsia="Microsoft YaHei"/>
                <w:b w:val="0"/>
                <w:sz w:val="15"/>
              </w:rPr>
              <w:t>fundno, wficn, fdate, cusip, shares, prc, holding_value, n_holdings</w:t>
            </w:r>
          </w:p>
        </w:tc>
        <w:tc>
          <w:tcPr>
            <w:tcW w:type="dxa" w:w="1701"/>
            <w:vAlign w:val="center"/>
          </w:tcPr>
          <w:p>
            <w:pPr>
              <w:spacing w:after="0" w:line="259" w:lineRule="auto"/>
            </w:pPr>
            <w:r/>
            <w:r>
              <w:rPr>
                <w:rFonts w:ascii="Microsoft YaHei" w:hAnsi="Microsoft YaHei" w:eastAsia="Microsoft YaHei"/>
                <w:b w:val="0"/>
                <w:sz w:val="15"/>
              </w:rPr>
              <w:t>样本量、唯一基金数、唯一股票数、均值、中位数、分位数</w:t>
            </w:r>
          </w:p>
        </w:tc>
      </w:tr>
      <w:tr>
        <w:tc>
          <w:tcPr>
            <w:tcW w:type="dxa" w:w="1814"/>
            <w:vAlign w:val="center"/>
            <w:shd w:fill="F3F6FA"/>
          </w:tcPr>
          <w:p>
            <w:pPr>
              <w:spacing w:after="0" w:line="259" w:lineRule="auto"/>
            </w:pPr>
            <w:r/>
            <w:r>
              <w:rPr>
                <w:rFonts w:ascii="Microsoft YaHei" w:hAnsi="Microsoft YaHei" w:eastAsia="Microsoft YaHei"/>
                <w:b w:val="0"/>
                <w:sz w:val="15"/>
              </w:rPr>
              <w:t>表 3 D10 与非 D10 对比</w:t>
            </w:r>
          </w:p>
        </w:tc>
        <w:tc>
          <w:tcPr>
            <w:tcW w:type="dxa" w:w="1871"/>
            <w:vAlign w:val="center"/>
          </w:tcPr>
          <w:p>
            <w:pPr>
              <w:spacing w:after="0" w:line="259" w:lineRule="auto"/>
            </w:pPr>
            <w:r/>
            <w:r>
              <w:rPr>
                <w:rFonts w:ascii="Microsoft YaHei" w:hAnsi="Microsoft YaHei" w:eastAsia="Microsoft YaHei"/>
                <w:b w:val="0"/>
                <w:sz w:val="15"/>
              </w:rPr>
              <w:t>fund-quarter</w:t>
            </w:r>
          </w:p>
        </w:tc>
        <w:tc>
          <w:tcPr>
            <w:tcW w:type="dxa" w:w="4195"/>
            <w:vAlign w:val="center"/>
          </w:tcPr>
          <w:p>
            <w:pPr>
              <w:spacing w:after="0" w:line="259" w:lineRule="auto"/>
            </w:pPr>
            <w:r/>
            <w:r>
              <w:rPr>
                <w:rFonts w:ascii="Microsoft YaHei" w:hAnsi="Microsoft YaHei" w:eastAsia="Microsoft YaHei"/>
                <w:b w:val="0"/>
                <w:sz w:val="15"/>
              </w:rPr>
              <w:t>n_holdings, top10_weight, hhi, industry_hhi, turnover_change, core_holding_share</w:t>
            </w:r>
          </w:p>
        </w:tc>
        <w:tc>
          <w:tcPr>
            <w:tcW w:type="dxa" w:w="1701"/>
            <w:vAlign w:val="center"/>
          </w:tcPr>
          <w:p>
            <w:pPr>
              <w:spacing w:after="0" w:line="259" w:lineRule="auto"/>
            </w:pPr>
            <w:r/>
            <w:r>
              <w:rPr>
                <w:rFonts w:ascii="Microsoft YaHei" w:hAnsi="Microsoft YaHei" w:eastAsia="Microsoft YaHei"/>
                <w:b w:val="0"/>
                <w:sz w:val="15"/>
              </w:rPr>
              <w:t>D10 均值、非 D10 均值、差值、t-stat</w:t>
            </w:r>
          </w:p>
        </w:tc>
      </w:tr>
      <w:tr>
        <w:tc>
          <w:tcPr>
            <w:tcW w:type="dxa" w:w="1814"/>
            <w:vAlign w:val="center"/>
            <w:shd w:fill="F3F6FA"/>
          </w:tcPr>
          <w:p>
            <w:pPr>
              <w:spacing w:after="0" w:line="259" w:lineRule="auto"/>
            </w:pPr>
            <w:r/>
            <w:r>
              <w:rPr>
                <w:rFonts w:ascii="Microsoft YaHei" w:hAnsi="Microsoft YaHei" w:eastAsia="Microsoft YaHei"/>
                <w:b w:val="0"/>
                <w:sz w:val="15"/>
              </w:rPr>
              <w:t>表 4 稳健性或补充</w:t>
            </w:r>
          </w:p>
        </w:tc>
        <w:tc>
          <w:tcPr>
            <w:tcW w:type="dxa" w:w="1871"/>
            <w:vAlign w:val="center"/>
          </w:tcPr>
          <w:p>
            <w:pPr>
              <w:spacing w:after="0" w:line="259" w:lineRule="auto"/>
            </w:pPr>
            <w:r/>
            <w:r>
              <w:rPr>
                <w:rFonts w:ascii="Microsoft YaHei" w:hAnsi="Microsoft YaHei" w:eastAsia="Microsoft YaHei"/>
                <w:b w:val="0"/>
                <w:sz w:val="15"/>
              </w:rPr>
              <w:t>fund-quarter</w:t>
            </w:r>
          </w:p>
        </w:tc>
        <w:tc>
          <w:tcPr>
            <w:tcW w:type="dxa" w:w="4195"/>
            <w:vAlign w:val="center"/>
          </w:tcPr>
          <w:p>
            <w:pPr>
              <w:spacing w:after="0" w:line="259" w:lineRule="auto"/>
            </w:pPr>
            <w:r/>
            <w:r>
              <w:rPr>
                <w:rFonts w:ascii="Microsoft YaHei" w:hAnsi="Microsoft YaHei" w:eastAsia="Microsoft YaHei"/>
                <w:b w:val="0"/>
                <w:sz w:val="15"/>
              </w:rPr>
              <w:t>按基金规模或年份分组后的核心指标</w:t>
            </w:r>
          </w:p>
        </w:tc>
        <w:tc>
          <w:tcPr>
            <w:tcW w:type="dxa" w:w="1701"/>
            <w:vAlign w:val="center"/>
          </w:tcPr>
          <w:p>
            <w:pPr>
              <w:spacing w:after="0" w:line="259" w:lineRule="auto"/>
            </w:pPr>
            <w:r/>
            <w:r>
              <w:rPr>
                <w:rFonts w:ascii="Microsoft YaHei" w:hAnsi="Microsoft YaHei" w:eastAsia="Microsoft YaHei"/>
                <w:b w:val="0"/>
                <w:sz w:val="15"/>
              </w:rPr>
              <w:t>分组均值、差值、t-stat</w:t>
            </w:r>
          </w:p>
        </w:tc>
      </w:tr>
    </w:tbl>
    <w:p>
      <w:pPr>
        <w:spacing w:after="40"/>
      </w:pPr>
    </w:p>
    <w:tbl>
      <w:tblPr>
        <w:tblW w:type="auto" w:w="0"/>
        <w:jc w:val="center"/>
        <w:tblLayout w:type="autofit"/>
        <w:tblLook w:firstColumn="1" w:firstRow="1" w:lastColumn="0" w:lastRow="0" w:noHBand="0" w:noVBand="1" w:val="04A0"/>
      </w:tblPr>
      <w:tblGrid>
        <w:gridCol w:w="9746"/>
      </w:tblGrid>
      <w:tr>
        <w:tc>
          <w:tcPr>
            <w:tcW w:type="dxa" w:w="9746"/>
            <w:shd w:fill="F4F9F4"/>
            <w:vAlign w:val="center"/>
          </w:tcPr>
          <w:p>
            <w:pPr>
              <w:spacing w:after="60"/>
            </w:pPr>
            <w:r>
              <w:rPr>
                <w:rFonts w:ascii="Microsoft YaHei" w:hAnsi="Microsoft YaHei" w:eastAsia="Microsoft YaHei"/>
                <w:b/>
                <w:color w:val="1F4E79"/>
                <w:sz w:val="21"/>
              </w:rPr>
              <w:t>数据说明部分可直接使用的提示词</w:t>
            </w:r>
          </w:p>
          <w:p>
            <w:pPr>
              <w:spacing w:after="40" w:line="269" w:lineRule="auto"/>
            </w:pPr>
            <w:r>
              <w:rPr>
                <w:rFonts w:ascii="Microsoft YaHei" w:hAnsi="Microsoft YaHei" w:eastAsia="Microsoft YaHei"/>
                <w:sz w:val="19"/>
              </w:rPr>
              <w:t>请撰写数据说明及描述性统计部分。首先说明原文样本为 1980 年 1 月至 2019 年 1 月的主动管理型美国股票共同基金，最终包含 3,275 只基金和 407,158 个基金-月份观测；样本筛选要求 t 月有原始收益，t-1 月有持仓和 TNA，且过去 36 个月至少 30 个非缺失收益观测。其次说明作者数据包提供 abnormal_return.csv、8_factors.csv、macro_combined.csv 和 alpha_imputed_chara_sentiment.npz，其中主深度学习数据的字段名与原文 Table 1 保持一致。再次说明本文新增 WRDS Mutual Fund Holdings - S12 数据，使用 fundno、fdate、rdate、cusip、shares、prc、indcode 等字段构造持仓风格变量，并通过 mflink2 的 wficn、fundno、sdate1、sdate2 与原文基金数据连接。最后说明描述性统计将严格区分原文复现样本、S12 持仓样本、D10 与非 D10 持仓差异三个层次。</w:t>
            </w:r>
          </w:p>
        </w:tc>
      </w:tr>
    </w:tbl>
    <w:p>
      <w:pPr>
        <w:spacing w:after="40"/>
      </w:pPr>
    </w:p>
    <w:p>
      <w:pPr>
        <w:pStyle w:val="Heading1"/>
      </w:pPr>
      <w:r>
        <w:t>附录 A：原文 Table 1 字段文本清单</w:t>
      </w:r>
    </w:p>
    <w:p>
      <w:pPr>
        <w:spacing w:after="120" w:line="283" w:lineRule="auto"/>
      </w:pPr>
      <w:r>
        <w:rPr>
          <w:rFonts w:ascii="Microsoft YaHei" w:hAnsi="Microsoft YaHei" w:eastAsia="Microsoft YaHei"/>
        </w:rPr>
        <w:t>股票特征 1-46：r2_1, r12_2, r12_7, r36_13, ST_Rev, LT_Rev, Investment, NOA, DPI2A, NI, PROF, ATO, CTO, FC2Y, OP, PM, RNA, ROA, ROE, SGA2S, D2A, AC, OA, OL, PCM, A2ME, BEME, C, CF, CF2P, D2P, E2P, Q, S2P, Lev, AT, Beta, IdioVol, LME, LTurnover, MktBeta, Rel2High, Resid_Var, Spread, SUV, Variance。</w:t>
      </w:r>
    </w:p>
    <w:p>
      <w:pPr>
        <w:spacing w:after="120" w:line="283" w:lineRule="auto"/>
      </w:pPr>
      <w:r>
        <w:rPr>
          <w:rFonts w:ascii="Microsoft YaHei" w:hAnsi="Microsoft YaHei" w:eastAsia="Microsoft YaHei"/>
        </w:rPr>
        <w:t>基金动量特征 47-49：F_ST_Rev, F_r2_1, F_r12_2。</w:t>
      </w:r>
    </w:p>
    <w:p>
      <w:pPr>
        <w:spacing w:after="120" w:line="283" w:lineRule="auto"/>
      </w:pPr>
      <w:r>
        <w:rPr>
          <w:rFonts w:ascii="Microsoft YaHei" w:hAnsi="Microsoft YaHei" w:eastAsia="Microsoft YaHei"/>
        </w:rPr>
        <w:t>基金特征 50-54：age, tna, flow, exp_ratio, turnover ratio。注意作者数据包中对应字段可能写作 ages 和 turnover。</w:t>
      </w:r>
    </w:p>
    <w:p>
      <w:pPr>
        <w:spacing w:after="120" w:line="283" w:lineRule="auto"/>
      </w:pPr>
      <w:r>
        <w:rPr>
          <w:rFonts w:ascii="Microsoft YaHei" w:hAnsi="Microsoft YaHei" w:eastAsia="Microsoft YaHei"/>
        </w:rPr>
        <w:t>基金家族特征 55-59：family_tna, fund_no, Family_r12_2, Family_age, Family_flow。注意作者数据包中 family_tna 对应字段可能写作 Family_TNA。</w:t>
      </w:r>
    </w:p>
    <w:p>
      <w:pPr>
        <w:pStyle w:val="Heading1"/>
      </w:pPr>
      <w:r>
        <w:t>附录 B：组员写作检查清单</w:t>
      </w:r>
    </w:p>
    <w:tbl>
      <w:tblPr>
        <w:tblStyle w:val="TableGrid"/>
        <w:tblW w:type="auto" w:w="0"/>
        <w:jc w:val="center"/>
        <w:tblLayout w:type="autofit"/>
        <w:tblLook w:firstColumn="1" w:firstRow="1" w:lastColumn="0" w:lastRow="0" w:noHBand="0" w:noVBand="1" w:val="04A0"/>
      </w:tblPr>
      <w:tblGrid>
        <w:gridCol w:w="4873"/>
        <w:gridCol w:w="4873"/>
      </w:tblGrid>
      <w:tr>
        <w:tc>
          <w:tcPr>
            <w:tcW w:type="dxa" w:w="2381"/>
            <w:shd w:fill="1F4E79"/>
            <w:vAlign w:val="center"/>
          </w:tcPr>
          <w:p>
            <w:pPr>
              <w:spacing w:after="0" w:line="259" w:lineRule="auto"/>
            </w:pPr>
            <w:r/>
            <w:r>
              <w:rPr>
                <w:rFonts w:ascii="Microsoft YaHei" w:hAnsi="Microsoft YaHei" w:eastAsia="Microsoft YaHei"/>
                <w:b/>
                <w:color w:val="FFFFFF"/>
                <w:sz w:val="16"/>
              </w:rPr>
              <w:t>检查项</w:t>
            </w:r>
          </w:p>
        </w:tc>
        <w:tc>
          <w:tcPr>
            <w:tcW w:type="dxa" w:w="6690"/>
            <w:shd w:fill="1F4E79"/>
            <w:vAlign w:val="center"/>
          </w:tcPr>
          <w:p>
            <w:pPr>
              <w:spacing w:after="0" w:line="259" w:lineRule="auto"/>
            </w:pPr>
            <w:r/>
            <w:r>
              <w:rPr>
                <w:rFonts w:ascii="Microsoft YaHei" w:hAnsi="Microsoft YaHei" w:eastAsia="Microsoft YaHei"/>
                <w:b/>
                <w:color w:val="FFFFFF"/>
                <w:sz w:val="16"/>
              </w:rPr>
              <w:t>合格标准</w:t>
            </w:r>
          </w:p>
        </w:tc>
      </w:tr>
      <w:tr>
        <w:tc>
          <w:tcPr>
            <w:tcW w:type="dxa" w:w="2381"/>
            <w:vAlign w:val="center"/>
            <w:shd w:fill="F3F6FA"/>
          </w:tcPr>
          <w:p>
            <w:pPr>
              <w:spacing w:after="0" w:line="259" w:lineRule="auto"/>
            </w:pPr>
            <w:r/>
            <w:r>
              <w:rPr>
                <w:rFonts w:ascii="Microsoft YaHei" w:hAnsi="Microsoft YaHei" w:eastAsia="Microsoft YaHei"/>
                <w:b w:val="0"/>
                <w:sz w:val="16"/>
              </w:rPr>
              <w:t>Top fund 定义</w:t>
            </w:r>
          </w:p>
        </w:tc>
        <w:tc>
          <w:tcPr>
            <w:tcW w:type="dxa" w:w="6690"/>
            <w:vAlign w:val="center"/>
          </w:tcPr>
          <w:p>
            <w:pPr>
              <w:spacing w:after="0" w:line="259" w:lineRule="auto"/>
            </w:pPr>
            <w:r/>
            <w:r>
              <w:rPr>
                <w:rFonts w:ascii="Microsoft YaHei" w:hAnsi="Microsoft YaHei" w:eastAsia="Microsoft YaHei"/>
                <w:b w:val="0"/>
                <w:sz w:val="16"/>
              </w:rPr>
              <w:t>必须写 D10，不得写“前 10% 或 20%”这类开放口径</w:t>
            </w:r>
          </w:p>
        </w:tc>
      </w:tr>
      <w:tr>
        <w:tc>
          <w:tcPr>
            <w:tcW w:type="dxa" w:w="2381"/>
            <w:vAlign w:val="center"/>
            <w:shd w:fill="F3F6FA"/>
          </w:tcPr>
          <w:p>
            <w:pPr>
              <w:spacing w:after="0" w:line="259" w:lineRule="auto"/>
            </w:pPr>
            <w:r/>
            <w:r>
              <w:rPr>
                <w:rFonts w:ascii="Microsoft YaHei" w:hAnsi="Microsoft YaHei" w:eastAsia="Microsoft YaHei"/>
                <w:b w:val="0"/>
                <w:sz w:val="16"/>
              </w:rPr>
              <w:t>S12 角色</w:t>
            </w:r>
          </w:p>
        </w:tc>
        <w:tc>
          <w:tcPr>
            <w:tcW w:type="dxa" w:w="6690"/>
            <w:vAlign w:val="center"/>
          </w:tcPr>
          <w:p>
            <w:pPr>
              <w:spacing w:after="0" w:line="259" w:lineRule="auto"/>
            </w:pPr>
            <w:r/>
            <w:r>
              <w:rPr>
                <w:rFonts w:ascii="Microsoft YaHei" w:hAnsi="Microsoft YaHei" w:eastAsia="Microsoft YaHei"/>
                <w:b w:val="0"/>
                <w:sz w:val="16"/>
              </w:rPr>
              <w:t>必须写“解释 top fund 持仓风格”，不得写“S12 重新找好基金”</w:t>
            </w:r>
          </w:p>
        </w:tc>
      </w:tr>
      <w:tr>
        <w:tc>
          <w:tcPr>
            <w:tcW w:type="dxa" w:w="2381"/>
            <w:vAlign w:val="center"/>
            <w:shd w:fill="F3F6FA"/>
          </w:tcPr>
          <w:p>
            <w:pPr>
              <w:spacing w:after="0" w:line="259" w:lineRule="auto"/>
            </w:pPr>
            <w:r/>
            <w:r>
              <w:rPr>
                <w:rFonts w:ascii="Microsoft YaHei" w:hAnsi="Microsoft YaHei" w:eastAsia="Microsoft YaHei"/>
                <w:b w:val="0"/>
                <w:sz w:val="16"/>
              </w:rPr>
              <w:t>字段名</w:t>
            </w:r>
          </w:p>
        </w:tc>
        <w:tc>
          <w:tcPr>
            <w:tcW w:type="dxa" w:w="6690"/>
            <w:vAlign w:val="center"/>
          </w:tcPr>
          <w:p>
            <w:pPr>
              <w:spacing w:after="0" w:line="259" w:lineRule="auto"/>
            </w:pPr>
            <w:r/>
            <w:r>
              <w:rPr>
                <w:rFonts w:ascii="Microsoft YaHei" w:hAnsi="Microsoft YaHei" w:eastAsia="Microsoft YaHei"/>
                <w:b w:val="0"/>
                <w:sz w:val="16"/>
              </w:rPr>
              <w:t>字段名必须使用本文档中的英文原名，中文只用于解释</w:t>
            </w:r>
          </w:p>
        </w:tc>
      </w:tr>
      <w:tr>
        <w:tc>
          <w:tcPr>
            <w:tcW w:type="dxa" w:w="2381"/>
            <w:vAlign w:val="center"/>
            <w:shd w:fill="F3F6FA"/>
          </w:tcPr>
          <w:p>
            <w:pPr>
              <w:spacing w:after="0" w:line="259" w:lineRule="auto"/>
            </w:pPr>
            <w:r/>
            <w:r>
              <w:rPr>
                <w:rFonts w:ascii="Microsoft YaHei" w:hAnsi="Microsoft YaHei" w:eastAsia="Microsoft YaHei"/>
                <w:b w:val="0"/>
                <w:sz w:val="16"/>
              </w:rPr>
              <w:t>描述统计</w:t>
            </w:r>
          </w:p>
        </w:tc>
        <w:tc>
          <w:tcPr>
            <w:tcW w:type="dxa" w:w="6690"/>
            <w:vAlign w:val="center"/>
          </w:tcPr>
          <w:p>
            <w:pPr>
              <w:spacing w:after="0" w:line="259" w:lineRule="auto"/>
            </w:pPr>
            <w:r/>
            <w:r>
              <w:rPr>
                <w:rFonts w:ascii="Microsoft YaHei" w:hAnsi="Microsoft YaHei" w:eastAsia="Microsoft YaHei"/>
                <w:b w:val="0"/>
                <w:sz w:val="16"/>
              </w:rPr>
              <w:t>必须区分原文样本文字统计、Table 1/2 变量清单、我们补做的均值统计表</w:t>
            </w:r>
          </w:p>
        </w:tc>
      </w:tr>
      <w:tr>
        <w:tc>
          <w:tcPr>
            <w:tcW w:type="dxa" w:w="2381"/>
            <w:vAlign w:val="center"/>
            <w:shd w:fill="F3F6FA"/>
          </w:tcPr>
          <w:p>
            <w:pPr>
              <w:spacing w:after="0" w:line="259" w:lineRule="auto"/>
            </w:pPr>
            <w:r/>
            <w:r>
              <w:rPr>
                <w:rFonts w:ascii="Microsoft YaHei" w:hAnsi="Microsoft YaHei" w:eastAsia="Microsoft YaHei"/>
                <w:b w:val="0"/>
                <w:sz w:val="16"/>
              </w:rPr>
              <w:t>单位</w:t>
            </w:r>
          </w:p>
        </w:tc>
        <w:tc>
          <w:tcPr>
            <w:tcW w:type="dxa" w:w="6690"/>
            <w:vAlign w:val="center"/>
          </w:tcPr>
          <w:p>
            <w:pPr>
              <w:spacing w:after="0" w:line="259" w:lineRule="auto"/>
            </w:pPr>
            <w:r/>
            <w:r>
              <w:rPr>
                <w:rFonts w:ascii="Microsoft YaHei" w:hAnsi="Microsoft YaHei" w:eastAsia="Microsoft YaHei"/>
                <w:b w:val="0"/>
                <w:sz w:val="16"/>
              </w:rPr>
              <w:t>收益和 flow 用月度百分比；TNA 用百万美元；age 建议换算成年</w:t>
            </w:r>
          </w:p>
        </w:tc>
      </w:tr>
      <w:tr>
        <w:tc>
          <w:tcPr>
            <w:tcW w:type="dxa" w:w="2381"/>
            <w:vAlign w:val="center"/>
            <w:shd w:fill="F3F6FA"/>
          </w:tcPr>
          <w:p>
            <w:pPr>
              <w:spacing w:after="0" w:line="259" w:lineRule="auto"/>
            </w:pPr>
            <w:r/>
            <w:r>
              <w:rPr>
                <w:rFonts w:ascii="Microsoft YaHei" w:hAnsi="Microsoft YaHei" w:eastAsia="Microsoft YaHei"/>
                <w:b w:val="0"/>
                <w:sz w:val="16"/>
              </w:rPr>
              <w:t>合并关系</w:t>
            </w:r>
          </w:p>
        </w:tc>
        <w:tc>
          <w:tcPr>
            <w:tcW w:type="dxa" w:w="6690"/>
            <w:vAlign w:val="center"/>
          </w:tcPr>
          <w:p>
            <w:pPr>
              <w:spacing w:after="0" w:line="259" w:lineRule="auto"/>
            </w:pPr>
            <w:r/>
            <w:r>
              <w:rPr>
                <w:rFonts w:ascii="Microsoft YaHei" w:hAnsi="Microsoft YaHei" w:eastAsia="Microsoft YaHei"/>
                <w:b w:val="0"/>
                <w:sz w:val="16"/>
              </w:rPr>
              <w:t>wficn -&gt; mflink2 -&gt; fundno -&gt; S12 holdings，不要直接用基金名称匹配作为主方法</w:t>
            </w:r>
          </w:p>
        </w:tc>
      </w:tr>
    </w:tbl>
    <w:p>
      <w:pPr>
        <w:spacing w:after="4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808080"/>
        <w:sz w:val="16"/>
      </w:rPr>
      <w:t>期中报告写作统一模板 | S12 可解释性扩展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Microsoft YaHei" w:hAnsi="Microsoft YaHei" w:eastAsia="Microsoft YaHe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