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14CF6" w14:textId="77777777" w:rsidR="00334777" w:rsidRDefault="00E62DE1">
      <w:pPr>
        <w:pStyle w:val="aa"/>
        <w:jc w:val="center"/>
      </w:pPr>
      <w:r>
        <w:rPr>
          <w:rFonts w:ascii="宋体" w:eastAsia="宋体" w:hAnsi="宋体"/>
        </w:rPr>
        <w:t>一、方法</w:t>
      </w:r>
      <w:r>
        <w:rPr>
          <w:rFonts w:ascii="宋体" w:eastAsia="宋体" w:hAnsi="宋体"/>
        </w:rPr>
        <w:t>/</w:t>
      </w:r>
      <w:r>
        <w:rPr>
          <w:rFonts w:ascii="宋体" w:eastAsia="宋体" w:hAnsi="宋体"/>
        </w:rPr>
        <w:t>原理</w:t>
      </w:r>
      <w:r>
        <w:rPr>
          <w:rFonts w:ascii="宋体" w:eastAsia="宋体" w:hAnsi="宋体"/>
        </w:rPr>
        <w:t>/</w:t>
      </w:r>
      <w:r>
        <w:rPr>
          <w:rFonts w:ascii="宋体" w:eastAsia="宋体" w:hAnsi="宋体"/>
        </w:rPr>
        <w:t>算法介绍</w:t>
      </w:r>
    </w:p>
    <w:p w14:paraId="15529532" w14:textId="77777777" w:rsidR="00334777" w:rsidRDefault="00E62DE1">
      <w:pPr>
        <w:ind w:firstLine="420"/>
      </w:pPr>
      <w:proofErr w:type="spellStart"/>
      <w:r>
        <w:t>本文在</w:t>
      </w:r>
      <w:proofErr w:type="spellEnd"/>
      <w:r>
        <w:t xml:space="preserve"> Kaniel et al. (2023) </w:t>
      </w:r>
      <w:r>
        <w:t>的研究框架基础上，首先使用机器学习方法识别未来表现较好的共同基金经理，随后进一步引入</w:t>
      </w:r>
      <w:r>
        <w:t xml:space="preserve"> WRDS Mutual Fund Holdings - S12 </w:t>
      </w:r>
      <w:r>
        <w:t>数据，从基金真实持仓角度解释机器学习识别出的高绩效基金具有何种投资风格。需要强调的是，</w:t>
      </w:r>
      <w:proofErr w:type="gramStart"/>
      <w:r>
        <w:t>本文不重新定义</w:t>
      </w:r>
      <w:r>
        <w:t>“</w:t>
      </w:r>
      <w:proofErr w:type="gramEnd"/>
      <w:r>
        <w:t>好基金</w:t>
      </w:r>
      <w:r>
        <w:t>”</w:t>
      </w:r>
      <w:r>
        <w:t>，而是严格沿用原文基于机器学习预测排序形成的</w:t>
      </w:r>
      <w:r>
        <w:t xml:space="preserve"> top fund </w:t>
      </w:r>
      <w:r>
        <w:t>定义；</w:t>
      </w:r>
      <w:r>
        <w:t xml:space="preserve">S12 </w:t>
      </w:r>
      <w:r>
        <w:t>持仓数据仅用于解释这些</w:t>
      </w:r>
      <w:r>
        <w:t xml:space="preserve"> top fund </w:t>
      </w:r>
      <w:r>
        <w:t>的投资行为和经济含义。</w:t>
      </w:r>
    </w:p>
    <w:p w14:paraId="1C325BEF" w14:textId="77777777" w:rsidR="00334777" w:rsidRPr="009D1DA4" w:rsidRDefault="00E62DE1">
      <w:pPr>
        <w:pStyle w:val="21"/>
        <w:rPr>
          <w:rFonts w:ascii="宋体" w:eastAsia="宋体" w:hAnsi="宋体"/>
          <w:lang w:eastAsia="zh-CN"/>
        </w:rPr>
      </w:pPr>
      <w:r w:rsidRPr="009D1DA4">
        <w:rPr>
          <w:rFonts w:ascii="宋体" w:eastAsia="宋体" w:hAnsi="宋体"/>
          <w:lang w:eastAsia="zh-CN"/>
        </w:rPr>
        <w:t xml:space="preserve">1.1 </w:t>
      </w:r>
      <w:r w:rsidRPr="009D1DA4">
        <w:rPr>
          <w:rFonts w:ascii="宋体" w:eastAsia="宋体" w:hAnsi="宋体"/>
          <w:lang w:eastAsia="zh-CN"/>
        </w:rPr>
        <w:t>基金异常收益的度量</w:t>
      </w:r>
    </w:p>
    <w:p w14:paraId="52FD9F36" w14:textId="77777777" w:rsidR="00334777" w:rsidRDefault="00E62DE1">
      <w:pPr>
        <w:ind w:firstLine="420"/>
        <w:rPr>
          <w:lang w:eastAsia="zh-CN"/>
        </w:rPr>
      </w:pPr>
      <w:r>
        <w:rPr>
          <w:lang w:eastAsia="zh-CN"/>
        </w:rPr>
        <w:t>原文关注的核心预测对象不是基金原始收益，而是经过风险调整后的基金异常收益。异常收益可以理解为基金在剔除系统性风险补偿之后仍然获得的超额表现，因此更接近基金经理真实投资能力的度量。具体而言，原文基于</w:t>
      </w:r>
      <w:r>
        <w:rPr>
          <w:lang w:eastAsia="zh-CN"/>
        </w:rPr>
        <w:t xml:space="preserve"> Carhart </w:t>
      </w:r>
      <w:r>
        <w:rPr>
          <w:lang w:eastAsia="zh-CN"/>
        </w:rPr>
        <w:t>四因子模型构造基</w:t>
      </w:r>
      <w:r>
        <w:rPr>
          <w:lang w:eastAsia="zh-CN"/>
        </w:rPr>
        <w:t>金异常收益。首先，对每只基金使用过去</w:t>
      </w:r>
      <w:r>
        <w:rPr>
          <w:lang w:eastAsia="zh-CN"/>
        </w:rPr>
        <w:t xml:space="preserve"> 36 </w:t>
      </w:r>
      <w:proofErr w:type="gramStart"/>
      <w:r>
        <w:rPr>
          <w:lang w:eastAsia="zh-CN"/>
        </w:rPr>
        <w:t>个</w:t>
      </w:r>
      <w:proofErr w:type="gramEnd"/>
      <w:r>
        <w:rPr>
          <w:lang w:eastAsia="zh-CN"/>
        </w:rPr>
        <w:t>月的月度超额收益估计其因子暴露：</w:t>
      </w:r>
    </w:p>
    <w:p w14:paraId="66D1CE14" w14:textId="77777777" w:rsidR="00334777" w:rsidRDefault="00E62DE1">
      <w:pPr>
        <w:spacing w:before="60"/>
        <w:jc w:val="center"/>
      </w:pPr>
      <w:proofErr w:type="gramStart"/>
      <w:r>
        <w:rPr>
          <w:rFonts w:ascii="Cambria Math" w:eastAsia="Cambria Math" w:hAnsi="Cambria Math"/>
          <w:i/>
          <w:sz w:val="24"/>
        </w:rPr>
        <w:t>R</w:t>
      </w:r>
      <w:r>
        <w:rPr>
          <w:rFonts w:ascii="Cambria Math" w:eastAsia="Cambria Math" w:hAnsi="Cambria Math"/>
          <w:i/>
          <w:sz w:val="19"/>
          <w:vertAlign w:val="subscript"/>
        </w:rPr>
        <w:t>i,t</w:t>
      </w:r>
      <w:proofErr w:type="gramEnd"/>
      <w:r>
        <w:rPr>
          <w:rFonts w:ascii="Cambria Math" w:eastAsia="Cambria Math" w:hAnsi="Cambria Math"/>
          <w:i/>
          <w:sz w:val="19"/>
          <w:vertAlign w:val="subscript"/>
        </w:rPr>
        <w:t>-36:t-1</w:t>
      </w:r>
      <w:r>
        <w:rPr>
          <w:rFonts w:ascii="Cambria Math" w:eastAsia="Cambria Math" w:hAnsi="Cambria Math"/>
          <w:sz w:val="24"/>
        </w:rPr>
        <w:t xml:space="preserve"> = </w:t>
      </w:r>
      <w:r>
        <w:rPr>
          <w:rFonts w:ascii="Cambria Math" w:eastAsia="Cambria Math" w:hAnsi="Cambria Math"/>
          <w:i/>
          <w:sz w:val="24"/>
        </w:rPr>
        <w:t>α</w:t>
      </w:r>
      <w:proofErr w:type="spellStart"/>
      <w:r>
        <w:rPr>
          <w:rFonts w:ascii="Cambria Math" w:eastAsia="Cambria Math" w:hAnsi="Cambria Math"/>
          <w:i/>
          <w:sz w:val="19"/>
          <w:vertAlign w:val="subscript"/>
        </w:rPr>
        <w:t>i</w:t>
      </w:r>
      <w:proofErr w:type="spellEnd"/>
      <w:r>
        <w:rPr>
          <w:rFonts w:ascii="Cambria Math" w:eastAsia="Cambria Math" w:hAnsi="Cambria Math"/>
          <w:sz w:val="24"/>
        </w:rPr>
        <w:t xml:space="preserve"> + </w:t>
      </w:r>
      <w:r>
        <w:rPr>
          <w:rFonts w:ascii="Cambria Math" w:eastAsia="Cambria Math" w:hAnsi="Cambria Math"/>
          <w:i/>
          <w:sz w:val="24"/>
        </w:rPr>
        <w:t>F</w:t>
      </w:r>
      <w:r>
        <w:rPr>
          <w:rFonts w:ascii="Cambria Math" w:eastAsia="Cambria Math" w:hAnsi="Cambria Math"/>
          <w:i/>
          <w:sz w:val="19"/>
          <w:vertAlign w:val="subscript"/>
        </w:rPr>
        <w:t>t-36:t-1</w:t>
      </w:r>
      <w:r>
        <w:rPr>
          <w:rFonts w:ascii="Cambria Math" w:eastAsia="Cambria Math" w:hAnsi="Cambria Math"/>
          <w:i/>
          <w:sz w:val="24"/>
        </w:rPr>
        <w:t>β̂</w:t>
      </w:r>
      <w:r>
        <w:rPr>
          <w:rFonts w:ascii="Cambria Math" w:eastAsia="Cambria Math" w:hAnsi="Cambria Math"/>
          <w:i/>
          <w:sz w:val="19"/>
          <w:vertAlign w:val="subscript"/>
        </w:rPr>
        <w:t>i,t-1</w:t>
      </w:r>
      <w:r>
        <w:rPr>
          <w:rFonts w:ascii="Cambria Math" w:eastAsia="Cambria Math" w:hAnsi="Cambria Math"/>
          <w:sz w:val="24"/>
        </w:rPr>
        <w:t xml:space="preserve"> + </w:t>
      </w:r>
      <w:r>
        <w:rPr>
          <w:rFonts w:ascii="Cambria Math" w:eastAsia="Cambria Math" w:hAnsi="Cambria Math"/>
          <w:i/>
          <w:sz w:val="24"/>
        </w:rPr>
        <w:t>η</w:t>
      </w:r>
      <w:r>
        <w:rPr>
          <w:rFonts w:ascii="Cambria Math" w:eastAsia="Cambria Math" w:hAnsi="Cambria Math"/>
          <w:i/>
          <w:sz w:val="19"/>
          <w:vertAlign w:val="subscript"/>
        </w:rPr>
        <w:t>i,t-36:t-1</w:t>
      </w:r>
      <w:r>
        <w:rPr>
          <w:rFonts w:ascii="Cambria Math" w:eastAsia="Cambria Math" w:hAnsi="Cambria Math"/>
        </w:rPr>
        <w:t xml:space="preserve">    (1)</w:t>
      </w:r>
    </w:p>
    <w:p w14:paraId="19DBD1F3" w14:textId="77777777" w:rsidR="00334777" w:rsidRDefault="00E62DE1">
      <w:pPr>
        <w:ind w:firstLine="420"/>
        <w:rPr>
          <w:lang w:eastAsia="zh-CN"/>
        </w:rPr>
      </w:pPr>
      <w:r>
        <w:rPr>
          <w:lang w:eastAsia="zh-CN"/>
        </w:rPr>
        <w:t>其中，</w:t>
      </w:r>
      <w:r>
        <w:rPr>
          <w:lang w:eastAsia="zh-CN"/>
        </w:rPr>
        <w:t xml:space="preserve">R </w:t>
      </w:r>
      <w:r>
        <w:rPr>
          <w:lang w:eastAsia="zh-CN"/>
        </w:rPr>
        <w:t>表示基金费用</w:t>
      </w:r>
      <w:proofErr w:type="gramStart"/>
      <w:r>
        <w:rPr>
          <w:lang w:eastAsia="zh-CN"/>
        </w:rPr>
        <w:t>前收益</w:t>
      </w:r>
      <w:proofErr w:type="gramEnd"/>
      <w:r>
        <w:rPr>
          <w:lang w:eastAsia="zh-CN"/>
        </w:rPr>
        <w:t>减去一个月期国债收益率，</w:t>
      </w:r>
      <w:r>
        <w:rPr>
          <w:lang w:eastAsia="zh-CN"/>
        </w:rPr>
        <w:t xml:space="preserve">F </w:t>
      </w:r>
      <w:r>
        <w:rPr>
          <w:lang w:eastAsia="zh-CN"/>
        </w:rPr>
        <w:t>表示</w:t>
      </w:r>
      <w:r>
        <w:rPr>
          <w:lang w:eastAsia="zh-CN"/>
        </w:rPr>
        <w:t xml:space="preserve"> Carhart </w:t>
      </w:r>
      <w:r>
        <w:rPr>
          <w:lang w:eastAsia="zh-CN"/>
        </w:rPr>
        <w:t>四因子，包括市场因子、规模因子、价值因子和动量因子，</w:t>
      </w:r>
      <w:r>
        <w:t>β</w:t>
      </w:r>
      <w:r>
        <w:rPr>
          <w:lang w:eastAsia="zh-CN"/>
        </w:rPr>
        <w:t xml:space="preserve"> </w:t>
      </w:r>
      <w:r>
        <w:rPr>
          <w:lang w:eastAsia="zh-CN"/>
        </w:rPr>
        <w:t>表示基于过去窗口估计得到的基金因子暴露。随后，基金在月份</w:t>
      </w:r>
      <w:r>
        <w:rPr>
          <w:lang w:eastAsia="zh-CN"/>
        </w:rPr>
        <w:t xml:space="preserve"> t </w:t>
      </w:r>
      <w:r>
        <w:rPr>
          <w:lang w:eastAsia="zh-CN"/>
        </w:rPr>
        <w:t>的异常收益定义为：</w:t>
      </w:r>
    </w:p>
    <w:p w14:paraId="21121459" w14:textId="77777777" w:rsidR="00334777" w:rsidRDefault="00E62DE1">
      <w:pPr>
        <w:spacing w:before="60"/>
        <w:jc w:val="center"/>
        <w:rPr>
          <w:lang w:eastAsia="zh-CN"/>
        </w:rPr>
      </w:pPr>
      <w:proofErr w:type="spellStart"/>
      <w:proofErr w:type="gramStart"/>
      <w:r>
        <w:rPr>
          <w:rFonts w:ascii="Cambria Math" w:eastAsia="Cambria Math" w:hAnsi="Cambria Math"/>
          <w:i/>
          <w:sz w:val="24"/>
          <w:lang w:eastAsia="zh-CN"/>
        </w:rPr>
        <w:t>R</w:t>
      </w:r>
      <w:r>
        <w:rPr>
          <w:rFonts w:ascii="Cambria Math" w:eastAsia="Cambria Math" w:hAnsi="Cambria Math"/>
          <w:i/>
          <w:sz w:val="19"/>
          <w:vertAlign w:val="superscript"/>
          <w:lang w:eastAsia="zh-CN"/>
        </w:rPr>
        <w:t>abn</w:t>
      </w:r>
      <w:r>
        <w:rPr>
          <w:rFonts w:ascii="Cambria Math" w:eastAsia="Cambria Math" w:hAnsi="Cambria Math"/>
          <w:i/>
          <w:sz w:val="19"/>
          <w:vertAlign w:val="subscript"/>
          <w:lang w:eastAsia="zh-CN"/>
        </w:rPr>
        <w:t>i,t</w:t>
      </w:r>
      <w:proofErr w:type="spellEnd"/>
      <w:proofErr w:type="gramEnd"/>
      <w:r>
        <w:rPr>
          <w:rFonts w:ascii="Cambria Math" w:eastAsia="Cambria Math" w:hAnsi="Cambria Math"/>
          <w:sz w:val="24"/>
          <w:lang w:eastAsia="zh-CN"/>
        </w:rPr>
        <w:t xml:space="preserve"> = </w:t>
      </w:r>
      <w:proofErr w:type="spellStart"/>
      <w:r>
        <w:rPr>
          <w:rFonts w:ascii="Cambria Math" w:eastAsia="Cambria Math" w:hAnsi="Cambria Math"/>
          <w:i/>
          <w:sz w:val="24"/>
          <w:lang w:eastAsia="zh-CN"/>
        </w:rPr>
        <w:t>R</w:t>
      </w:r>
      <w:r>
        <w:rPr>
          <w:rFonts w:ascii="Cambria Math" w:eastAsia="Cambria Math" w:hAnsi="Cambria Math"/>
          <w:i/>
          <w:sz w:val="19"/>
          <w:vertAlign w:val="subscript"/>
          <w:lang w:eastAsia="zh-CN"/>
        </w:rPr>
        <w:t>i,t</w:t>
      </w:r>
      <w:proofErr w:type="spellEnd"/>
      <w:r>
        <w:rPr>
          <w:rFonts w:ascii="Cambria Math" w:eastAsia="Cambria Math" w:hAnsi="Cambria Math"/>
          <w:sz w:val="24"/>
          <w:lang w:eastAsia="zh-CN"/>
        </w:rPr>
        <w:t xml:space="preserve"> − </w:t>
      </w:r>
      <w:r>
        <w:rPr>
          <w:rFonts w:ascii="Cambria Math" w:eastAsia="Cambria Math" w:hAnsi="Cambria Math"/>
          <w:i/>
          <w:sz w:val="24"/>
          <w:lang w:eastAsia="zh-CN"/>
        </w:rPr>
        <w:t>F</w:t>
      </w:r>
      <w:r>
        <w:rPr>
          <w:rFonts w:ascii="Cambria Math" w:eastAsia="Cambria Math" w:hAnsi="Cambria Math"/>
          <w:i/>
          <w:sz w:val="19"/>
          <w:vertAlign w:val="subscript"/>
          <w:lang w:eastAsia="zh-CN"/>
        </w:rPr>
        <w:t>t</w:t>
      </w:r>
      <w:r>
        <w:rPr>
          <w:rFonts w:ascii="Cambria Math" w:eastAsia="Cambria Math" w:hAnsi="Cambria Math"/>
          <w:i/>
          <w:sz w:val="24"/>
        </w:rPr>
        <w:t>β</w:t>
      </w:r>
      <w:r>
        <w:rPr>
          <w:rFonts w:ascii="Cambria Math" w:eastAsia="Cambria Math" w:hAnsi="Cambria Math"/>
          <w:i/>
          <w:sz w:val="24"/>
          <w:lang w:eastAsia="zh-CN"/>
        </w:rPr>
        <w:t>̂</w:t>
      </w:r>
      <w:r>
        <w:rPr>
          <w:rFonts w:ascii="Cambria Math" w:eastAsia="Cambria Math" w:hAnsi="Cambria Math"/>
          <w:i/>
          <w:sz w:val="19"/>
          <w:vertAlign w:val="subscript"/>
          <w:lang w:eastAsia="zh-CN"/>
        </w:rPr>
        <w:t>i,t-1</w:t>
      </w:r>
      <w:r>
        <w:rPr>
          <w:rFonts w:ascii="Cambria Math" w:eastAsia="Cambria Math" w:hAnsi="Cambria Math"/>
          <w:lang w:eastAsia="zh-CN"/>
        </w:rPr>
        <w:t xml:space="preserve">    (2)</w:t>
      </w:r>
    </w:p>
    <w:p w14:paraId="4DA34F3B" w14:textId="77777777" w:rsidR="00334777" w:rsidRDefault="00E62DE1">
      <w:pPr>
        <w:ind w:firstLine="420"/>
        <w:rPr>
          <w:lang w:eastAsia="zh-CN"/>
        </w:rPr>
      </w:pPr>
      <w:r>
        <w:rPr>
          <w:lang w:eastAsia="zh-CN"/>
        </w:rPr>
        <w:t>该指标衡量基金实际收益中无法由传统</w:t>
      </w:r>
      <w:r>
        <w:rPr>
          <w:lang w:eastAsia="zh-CN"/>
        </w:rPr>
        <w:t>风险因子解释的部分。</w:t>
      </w:r>
      <w:proofErr w:type="gramStart"/>
      <w:r>
        <w:rPr>
          <w:lang w:eastAsia="zh-CN"/>
        </w:rPr>
        <w:t>若基金</w:t>
      </w:r>
      <w:proofErr w:type="gramEnd"/>
      <w:r>
        <w:rPr>
          <w:lang w:eastAsia="zh-CN"/>
        </w:rPr>
        <w:t>异常收益为正，说明基金在该月获得了超过其系统性风险暴露所应补偿的收益；若其为负，则说明基金表现低于风险调整后的基准收益。本文后续的机器学习识别和</w:t>
      </w:r>
      <w:r>
        <w:rPr>
          <w:lang w:eastAsia="zh-CN"/>
        </w:rPr>
        <w:t xml:space="preserve"> top fund </w:t>
      </w:r>
      <w:r>
        <w:rPr>
          <w:lang w:eastAsia="zh-CN"/>
        </w:rPr>
        <w:t>构造均以该异常收益为基础。</w:t>
      </w:r>
    </w:p>
    <w:p w14:paraId="0D236D6B" w14:textId="77777777" w:rsidR="00334777" w:rsidRPr="009D1DA4" w:rsidRDefault="00E62DE1">
      <w:pPr>
        <w:pStyle w:val="21"/>
        <w:rPr>
          <w:rFonts w:ascii="宋体" w:eastAsia="宋体" w:hAnsi="宋体"/>
          <w:lang w:eastAsia="zh-CN"/>
        </w:rPr>
      </w:pPr>
      <w:r w:rsidRPr="009D1DA4">
        <w:rPr>
          <w:rFonts w:ascii="宋体" w:eastAsia="宋体" w:hAnsi="宋体"/>
          <w:lang w:eastAsia="zh-CN"/>
        </w:rPr>
        <w:t xml:space="preserve">1.2 </w:t>
      </w:r>
      <w:r w:rsidRPr="009D1DA4">
        <w:rPr>
          <w:rFonts w:ascii="宋体" w:eastAsia="宋体" w:hAnsi="宋体"/>
          <w:lang w:eastAsia="zh-CN"/>
        </w:rPr>
        <w:t>机器学习预测框架</w:t>
      </w:r>
    </w:p>
    <w:p w14:paraId="23295353" w14:textId="77777777" w:rsidR="00334777" w:rsidRDefault="00E62DE1">
      <w:pPr>
        <w:ind w:firstLine="420"/>
        <w:rPr>
          <w:lang w:eastAsia="zh-CN"/>
        </w:rPr>
      </w:pPr>
      <w:r>
        <w:rPr>
          <w:lang w:eastAsia="zh-CN"/>
        </w:rPr>
        <w:t>在构造基金异常收益之后，原文使用机器学习模型预测基金未来一期的异常收益。其基本预测方程可以表示为：</w:t>
      </w:r>
    </w:p>
    <w:p w14:paraId="036E6C80" w14:textId="77777777" w:rsidR="00334777" w:rsidRDefault="00E62DE1">
      <w:pPr>
        <w:spacing w:before="60"/>
        <w:jc w:val="center"/>
      </w:pPr>
      <w:proofErr w:type="gramStart"/>
      <w:r>
        <w:rPr>
          <w:rFonts w:ascii="Cambria Math" w:eastAsia="Cambria Math" w:hAnsi="Cambria Math"/>
          <w:i/>
          <w:sz w:val="24"/>
        </w:rPr>
        <w:t>R</w:t>
      </w:r>
      <w:r>
        <w:rPr>
          <w:rFonts w:ascii="Cambria Math" w:eastAsia="Cambria Math" w:hAnsi="Cambria Math"/>
          <w:i/>
          <w:sz w:val="19"/>
          <w:vertAlign w:val="superscript"/>
        </w:rPr>
        <w:t>abn</w:t>
      </w:r>
      <w:r>
        <w:rPr>
          <w:rFonts w:ascii="Cambria Math" w:eastAsia="Cambria Math" w:hAnsi="Cambria Math"/>
          <w:i/>
          <w:sz w:val="19"/>
          <w:vertAlign w:val="subscript"/>
        </w:rPr>
        <w:t>i,t</w:t>
      </w:r>
      <w:proofErr w:type="gramEnd"/>
      <w:r>
        <w:rPr>
          <w:rFonts w:ascii="Cambria Math" w:eastAsia="Cambria Math" w:hAnsi="Cambria Math"/>
          <w:i/>
          <w:sz w:val="19"/>
          <w:vertAlign w:val="subscript"/>
        </w:rPr>
        <w:t>+1</w:t>
      </w:r>
      <w:r>
        <w:rPr>
          <w:rFonts w:ascii="Cambria Math" w:eastAsia="Cambria Math" w:hAnsi="Cambria Math"/>
          <w:sz w:val="24"/>
        </w:rPr>
        <w:t xml:space="preserve"> = </w:t>
      </w:r>
      <w:r>
        <w:rPr>
          <w:rFonts w:ascii="Cambria Math" w:eastAsia="Cambria Math" w:hAnsi="Cambria Math"/>
          <w:i/>
          <w:sz w:val="24"/>
        </w:rPr>
        <w:t>g</w:t>
      </w:r>
      <w:r>
        <w:rPr>
          <w:rFonts w:ascii="Cambria Math" w:eastAsia="Cambria Math" w:hAnsi="Cambria Math"/>
          <w:sz w:val="24"/>
        </w:rPr>
        <w:t>(</w:t>
      </w:r>
      <w:proofErr w:type="spellStart"/>
      <w:r>
        <w:rPr>
          <w:rFonts w:ascii="Cambria Math" w:eastAsia="Cambria Math" w:hAnsi="Cambria Math"/>
          <w:i/>
          <w:sz w:val="24"/>
        </w:rPr>
        <w:t>z</w:t>
      </w:r>
      <w:r>
        <w:rPr>
          <w:rFonts w:ascii="Cambria Math" w:eastAsia="Cambria Math" w:hAnsi="Cambria Math"/>
          <w:i/>
          <w:sz w:val="19"/>
          <w:vertAlign w:val="subscript"/>
        </w:rPr>
        <w:t>i,t</w:t>
      </w:r>
      <w:proofErr w:type="spellEnd"/>
      <w:r>
        <w:rPr>
          <w:rFonts w:ascii="Cambria Math" w:eastAsia="Cambria Math" w:hAnsi="Cambria Math"/>
          <w:sz w:val="24"/>
        </w:rPr>
        <w:t xml:space="preserve">, </w:t>
      </w:r>
      <w:proofErr w:type="spellStart"/>
      <w:r>
        <w:rPr>
          <w:rFonts w:ascii="Cambria Math" w:eastAsia="Cambria Math" w:hAnsi="Cambria Math"/>
          <w:i/>
          <w:sz w:val="24"/>
        </w:rPr>
        <w:t>z</w:t>
      </w:r>
      <w:r>
        <w:rPr>
          <w:rFonts w:ascii="Cambria Math" w:eastAsia="Cambria Math" w:hAnsi="Cambria Math"/>
          <w:i/>
          <w:sz w:val="19"/>
          <w:vertAlign w:val="subscript"/>
        </w:rPr>
        <w:t>t</w:t>
      </w:r>
      <w:proofErr w:type="spellEnd"/>
      <w:r>
        <w:rPr>
          <w:rFonts w:ascii="Cambria Math" w:eastAsia="Cambria Math" w:hAnsi="Cambria Math"/>
          <w:sz w:val="24"/>
        </w:rPr>
        <w:t xml:space="preserve">; </w:t>
      </w:r>
      <w:r>
        <w:rPr>
          <w:rFonts w:ascii="Cambria Math" w:eastAsia="Cambria Math" w:hAnsi="Cambria Math"/>
          <w:i/>
          <w:sz w:val="24"/>
        </w:rPr>
        <w:t>θ</w:t>
      </w:r>
      <w:r>
        <w:rPr>
          <w:rFonts w:ascii="Cambria Math" w:eastAsia="Cambria Math" w:hAnsi="Cambria Math"/>
          <w:sz w:val="24"/>
        </w:rPr>
        <w:t xml:space="preserve">) + </w:t>
      </w:r>
      <w:r>
        <w:rPr>
          <w:rFonts w:ascii="Cambria Math" w:eastAsia="Cambria Math" w:hAnsi="Cambria Math"/>
          <w:i/>
          <w:sz w:val="24"/>
        </w:rPr>
        <w:t>ε</w:t>
      </w:r>
      <w:r>
        <w:rPr>
          <w:rFonts w:ascii="Cambria Math" w:eastAsia="Cambria Math" w:hAnsi="Cambria Math"/>
          <w:i/>
          <w:sz w:val="19"/>
          <w:vertAlign w:val="subscript"/>
        </w:rPr>
        <w:t>i,t+1</w:t>
      </w:r>
      <w:r>
        <w:rPr>
          <w:rFonts w:ascii="Cambria Math" w:eastAsia="Cambria Math" w:hAnsi="Cambria Math"/>
        </w:rPr>
        <w:t xml:space="preserve">    (3)</w:t>
      </w:r>
    </w:p>
    <w:p w14:paraId="3E4519B5" w14:textId="77777777" w:rsidR="00334777" w:rsidRDefault="00E62DE1">
      <w:pPr>
        <w:ind w:firstLine="420"/>
        <w:rPr>
          <w:lang w:eastAsia="zh-CN"/>
        </w:rPr>
      </w:pPr>
      <w:r>
        <w:rPr>
          <w:lang w:eastAsia="zh-CN"/>
        </w:rPr>
        <w:t>其中，下一期基金异常收益是模型的预测目标；</w:t>
      </w:r>
      <w:r>
        <w:rPr>
          <w:lang w:eastAsia="zh-CN"/>
        </w:rPr>
        <w:t xml:space="preserve">z </w:t>
      </w:r>
      <w:r>
        <w:rPr>
          <w:lang w:eastAsia="zh-CN"/>
        </w:rPr>
        <w:t>表示基金在当前时点可观测的信息集合，包括基金自身特征、基金家族特征和持仓加权股票特征；宏观状态变量主要包括</w:t>
      </w:r>
      <w:r>
        <w:rPr>
          <w:lang w:eastAsia="zh-CN"/>
        </w:rPr>
        <w:t xml:space="preserve"> Baker-</w:t>
      </w:r>
      <w:proofErr w:type="spellStart"/>
      <w:r>
        <w:rPr>
          <w:lang w:eastAsia="zh-CN"/>
        </w:rPr>
        <w:t>Wurgler</w:t>
      </w:r>
      <w:proofErr w:type="spellEnd"/>
      <w:r>
        <w:rPr>
          <w:lang w:eastAsia="zh-CN"/>
        </w:rPr>
        <w:t xml:space="preserve"> </w:t>
      </w:r>
      <w:r>
        <w:rPr>
          <w:lang w:eastAsia="zh-CN"/>
        </w:rPr>
        <w:t>投资者情绪指数以及</w:t>
      </w:r>
      <w:r>
        <w:rPr>
          <w:lang w:eastAsia="zh-CN"/>
        </w:rPr>
        <w:t xml:space="preserve"> CFNAI</w:t>
      </w:r>
      <w:r>
        <w:rPr>
          <w:lang w:eastAsia="zh-CN"/>
        </w:rPr>
        <w:t>；</w:t>
      </w:r>
      <w:r>
        <w:rPr>
          <w:lang w:eastAsia="zh-CN"/>
        </w:rPr>
        <w:t xml:space="preserve">g </w:t>
      </w:r>
      <w:r>
        <w:rPr>
          <w:lang w:eastAsia="zh-CN"/>
        </w:rPr>
        <w:t>表示机器学习模型学习得到的非线性预测函数。</w:t>
      </w:r>
    </w:p>
    <w:p w14:paraId="7BF7F8DC" w14:textId="77777777" w:rsidR="00334777" w:rsidRDefault="00E62DE1">
      <w:pPr>
        <w:ind w:firstLine="420"/>
        <w:rPr>
          <w:lang w:eastAsia="zh-CN"/>
        </w:rPr>
      </w:pPr>
      <w:r>
        <w:rPr>
          <w:lang w:eastAsia="zh-CN"/>
        </w:rPr>
        <w:t>原文的输入变量主要包括三类。第一类是基于基金持仓加权得到的</w:t>
      </w:r>
      <w:r>
        <w:rPr>
          <w:lang w:eastAsia="zh-CN"/>
        </w:rPr>
        <w:t xml:space="preserve"> 46 </w:t>
      </w:r>
      <w:proofErr w:type="gramStart"/>
      <w:r>
        <w:rPr>
          <w:lang w:eastAsia="zh-CN"/>
        </w:rPr>
        <w:t>个</w:t>
      </w:r>
      <w:proofErr w:type="gramEnd"/>
      <w:r>
        <w:rPr>
          <w:lang w:eastAsia="zh-CN"/>
        </w:rPr>
        <w:t>股票特征，例如股票动量、价值、盈利能力、投资和交易摩擦等。第二类是</w:t>
      </w:r>
      <w:r>
        <w:rPr>
          <w:lang w:eastAsia="zh-CN"/>
        </w:rPr>
        <w:t xml:space="preserve"> 13 </w:t>
      </w:r>
      <w:proofErr w:type="gramStart"/>
      <w:r>
        <w:rPr>
          <w:lang w:eastAsia="zh-CN"/>
        </w:rPr>
        <w:t>个</w:t>
      </w:r>
      <w:proofErr w:type="gramEnd"/>
      <w:r>
        <w:rPr>
          <w:lang w:eastAsia="zh-CN"/>
        </w:rPr>
        <w:t>基金及基金家族特征，包括基金动量、基金规模、基金流量、费用率、换手率、基金年龄、基金家族规模和基金家族流量</w:t>
      </w:r>
      <w:r>
        <w:rPr>
          <w:lang w:eastAsia="zh-CN"/>
        </w:rPr>
        <w:t>等。第三类是宏观状态变量，主要用于捕捉市场状态与基金特征之间可能存在的交互效应。</w:t>
      </w:r>
    </w:p>
    <w:p w14:paraId="73131464" w14:textId="77777777" w:rsidR="00334777" w:rsidRDefault="00E62DE1">
      <w:pPr>
        <w:ind w:firstLine="420"/>
        <w:rPr>
          <w:lang w:eastAsia="zh-CN"/>
        </w:rPr>
      </w:pPr>
      <w:r>
        <w:rPr>
          <w:lang w:eastAsia="zh-CN"/>
        </w:rPr>
        <w:t>机器学习模型的优势在于，它不要求研究者事先假设变量之间的线性关系，而是可以从高维特征中自动学习预测函数。对于共同基金绩效预测问题而言，这一点尤为重要，因为基金未来表现可能并非由单一变量决定，而是由基金动量、资金流量、基金家族特征以及市场情绪状态共同作用产生。</w:t>
      </w:r>
    </w:p>
    <w:p w14:paraId="1DB0583F" w14:textId="2F11DD54" w:rsidR="00334777" w:rsidRPr="009D1DA4" w:rsidRDefault="00E62DE1">
      <w:pPr>
        <w:pStyle w:val="21"/>
        <w:rPr>
          <w:rFonts w:ascii="宋体" w:eastAsia="宋体" w:hAnsi="宋体"/>
          <w:lang w:eastAsia="zh-CN"/>
        </w:rPr>
      </w:pPr>
      <w:r w:rsidRPr="009D1DA4">
        <w:rPr>
          <w:rFonts w:ascii="宋体" w:eastAsia="宋体" w:hAnsi="宋体"/>
          <w:lang w:eastAsia="zh-CN"/>
        </w:rPr>
        <w:lastRenderedPageBreak/>
        <w:t>1.</w:t>
      </w:r>
      <w:r w:rsidR="009D1DA4" w:rsidRPr="009D1DA4">
        <w:rPr>
          <w:rFonts w:ascii="宋体" w:eastAsia="宋体" w:hAnsi="宋体"/>
          <w:lang w:eastAsia="zh-CN"/>
        </w:rPr>
        <w:t>3</w:t>
      </w:r>
      <w:r w:rsidRPr="009D1DA4">
        <w:rPr>
          <w:rFonts w:ascii="宋体" w:eastAsia="宋体" w:hAnsi="宋体"/>
          <w:lang w:eastAsia="zh-CN"/>
        </w:rPr>
        <w:t xml:space="preserve"> </w:t>
      </w:r>
      <w:r w:rsidRPr="009D1DA4">
        <w:rPr>
          <w:rFonts w:ascii="宋体" w:eastAsia="宋体" w:hAnsi="宋体"/>
          <w:lang w:eastAsia="zh-CN"/>
        </w:rPr>
        <w:t>基于</w:t>
      </w:r>
      <w:r w:rsidRPr="009D1DA4">
        <w:rPr>
          <w:rFonts w:ascii="宋体" w:eastAsia="宋体" w:hAnsi="宋体"/>
          <w:lang w:eastAsia="zh-CN"/>
        </w:rPr>
        <w:t xml:space="preserve"> S12 </w:t>
      </w:r>
      <w:r w:rsidRPr="009D1DA4">
        <w:rPr>
          <w:rFonts w:ascii="宋体" w:eastAsia="宋体" w:hAnsi="宋体"/>
          <w:lang w:eastAsia="zh-CN"/>
        </w:rPr>
        <w:t>持仓数据的可解释性扩展</w:t>
      </w:r>
    </w:p>
    <w:p w14:paraId="11361ACB" w14:textId="77777777" w:rsidR="00334777" w:rsidRDefault="00E62DE1">
      <w:pPr>
        <w:ind w:firstLine="420"/>
        <w:rPr>
          <w:lang w:eastAsia="zh-CN"/>
        </w:rPr>
      </w:pPr>
      <w:r>
        <w:rPr>
          <w:lang w:eastAsia="zh-CN"/>
        </w:rPr>
        <w:t>原文的主要贡献在于证明机器学习方法能够识别未来表现较好的基金经理，但机器学习预测结果本身仍然具有一定</w:t>
      </w:r>
      <w:r>
        <w:rPr>
          <w:lang w:eastAsia="zh-CN"/>
        </w:rPr>
        <w:t>“</w:t>
      </w:r>
      <w:r>
        <w:rPr>
          <w:lang w:eastAsia="zh-CN"/>
        </w:rPr>
        <w:t>黑箱</w:t>
      </w:r>
      <w:r>
        <w:rPr>
          <w:lang w:eastAsia="zh-CN"/>
        </w:rPr>
        <w:t>”</w:t>
      </w:r>
      <w:r>
        <w:rPr>
          <w:lang w:eastAsia="zh-CN"/>
        </w:rPr>
        <w:t>特征。换言之，模型可以告诉我们哪些基金更可能在未来表现较好，却不能直接回答这些基金为什么会被识别为好基金。本文的扩展正是围绕这一问题展开：机器学习识别出的</w:t>
      </w:r>
      <w:r>
        <w:rPr>
          <w:lang w:eastAsia="zh-CN"/>
        </w:rPr>
        <w:t xml:space="preserve"> top fund </w:t>
      </w:r>
      <w:r>
        <w:rPr>
          <w:lang w:eastAsia="zh-CN"/>
        </w:rPr>
        <w:t>是否在实际持仓中具有可观察的投资风格？</w:t>
      </w:r>
    </w:p>
    <w:p w14:paraId="63AE902C" w14:textId="77777777" w:rsidR="00334777" w:rsidRDefault="00E62DE1">
      <w:pPr>
        <w:ind w:firstLine="420"/>
        <w:rPr>
          <w:lang w:eastAsia="zh-CN"/>
        </w:rPr>
      </w:pPr>
      <w:r>
        <w:rPr>
          <w:lang w:eastAsia="zh-CN"/>
        </w:rPr>
        <w:t>为回答这一问题，本文计划引入</w:t>
      </w:r>
      <w:r>
        <w:rPr>
          <w:lang w:eastAsia="zh-CN"/>
        </w:rPr>
        <w:t xml:space="preserve"> WRDS Mutual Fund Holdings - S12 </w:t>
      </w:r>
      <w:r>
        <w:rPr>
          <w:lang w:eastAsia="zh-CN"/>
        </w:rPr>
        <w:t>数据。</w:t>
      </w:r>
      <w:r>
        <w:rPr>
          <w:lang w:eastAsia="zh-CN"/>
        </w:rPr>
        <w:t xml:space="preserve">S12 </w:t>
      </w:r>
      <w:r>
        <w:rPr>
          <w:lang w:eastAsia="zh-CN"/>
        </w:rPr>
        <w:t>数据提供美国共同基金季度持仓信息，包括基金编号、报告日期、持仓股票代码和持股数量等</w:t>
      </w:r>
      <w:r>
        <w:rPr>
          <w:lang w:eastAsia="zh-CN"/>
        </w:rPr>
        <w:t>字段。通过基金编号连接，本文可以将原文机器学习识别出的</w:t>
      </w:r>
      <w:r>
        <w:rPr>
          <w:lang w:eastAsia="zh-CN"/>
        </w:rPr>
        <w:t xml:space="preserve"> D10 </w:t>
      </w:r>
      <w:r>
        <w:rPr>
          <w:lang w:eastAsia="zh-CN"/>
        </w:rPr>
        <w:t>基金与其季度持仓数据匹配，从而在基金</w:t>
      </w:r>
      <w:r>
        <w:rPr>
          <w:lang w:eastAsia="zh-CN"/>
        </w:rPr>
        <w:t>-</w:t>
      </w:r>
      <w:r>
        <w:rPr>
          <w:lang w:eastAsia="zh-CN"/>
        </w:rPr>
        <w:t>季度层面构造持仓风格变量。</w:t>
      </w:r>
    </w:p>
    <w:p w14:paraId="3ADDCB31" w14:textId="77777777" w:rsidR="00334777" w:rsidRDefault="00E62DE1">
      <w:pPr>
        <w:ind w:firstLine="420"/>
        <w:rPr>
          <w:lang w:eastAsia="zh-CN"/>
        </w:rPr>
      </w:pPr>
      <w:r>
        <w:rPr>
          <w:lang w:eastAsia="zh-CN"/>
        </w:rPr>
        <w:t>具体而言，本文将从以下几个维度刻画</w:t>
      </w:r>
      <w:r>
        <w:rPr>
          <w:lang w:eastAsia="zh-CN"/>
        </w:rPr>
        <w:t xml:space="preserve"> top fund </w:t>
      </w:r>
      <w:r>
        <w:rPr>
          <w:lang w:eastAsia="zh-CN"/>
        </w:rPr>
        <w:t>的持仓特征：第一，持仓集中度，例如持股数量、前十大持仓权重和</w:t>
      </w:r>
      <w:r>
        <w:rPr>
          <w:lang w:eastAsia="zh-CN"/>
        </w:rPr>
        <w:t xml:space="preserve"> HHI </w:t>
      </w:r>
      <w:r>
        <w:rPr>
          <w:lang w:eastAsia="zh-CN"/>
        </w:rPr>
        <w:t>指数；第二，行业配置特征，例如行业集中度和行业权重分布；第三，持仓风格暴露，例如是否更偏好价值股、成长股、大盘股、小盘股或高动量股票；第四，</w:t>
      </w:r>
      <w:proofErr w:type="gramStart"/>
      <w:r>
        <w:rPr>
          <w:lang w:eastAsia="zh-CN"/>
        </w:rPr>
        <w:t>调仓行为</w:t>
      </w:r>
      <w:proofErr w:type="gramEnd"/>
      <w:r>
        <w:rPr>
          <w:lang w:eastAsia="zh-CN"/>
        </w:rPr>
        <w:t>，例如季度持仓变化、买入卖出强度和核心持仓稳定性。</w:t>
      </w:r>
    </w:p>
    <w:p w14:paraId="69C8DD28" w14:textId="77777777" w:rsidR="00334777" w:rsidRDefault="00E62DE1">
      <w:pPr>
        <w:ind w:firstLine="420"/>
        <w:rPr>
          <w:lang w:eastAsia="zh-CN"/>
        </w:rPr>
      </w:pPr>
      <w:r>
        <w:rPr>
          <w:lang w:eastAsia="zh-CN"/>
        </w:rPr>
        <w:t>在实证检验中，本文可以构造如下回归框架：</w:t>
      </w:r>
    </w:p>
    <w:p w14:paraId="59D936E0" w14:textId="77777777" w:rsidR="00334777" w:rsidRDefault="00E62DE1">
      <w:pPr>
        <w:spacing w:before="60"/>
        <w:jc w:val="center"/>
      </w:pPr>
      <w:proofErr w:type="spellStart"/>
      <w:proofErr w:type="gramStart"/>
      <w:r>
        <w:rPr>
          <w:rFonts w:ascii="Cambria Math" w:eastAsia="Cambria Math" w:hAnsi="Cambria Math"/>
          <w:sz w:val="24"/>
        </w:rPr>
        <w:t>Style</w:t>
      </w:r>
      <w:r>
        <w:rPr>
          <w:rFonts w:ascii="Cambria Math" w:eastAsia="Cambria Math" w:hAnsi="Cambria Math"/>
          <w:i/>
          <w:sz w:val="19"/>
          <w:vertAlign w:val="subscript"/>
        </w:rPr>
        <w:t>i,q</w:t>
      </w:r>
      <w:proofErr w:type="spellEnd"/>
      <w:proofErr w:type="gramEnd"/>
      <w:r>
        <w:rPr>
          <w:rFonts w:ascii="Cambria Math" w:eastAsia="Cambria Math" w:hAnsi="Cambria Math"/>
          <w:sz w:val="24"/>
        </w:rPr>
        <w:t xml:space="preserve"> = α + β TopFund</w:t>
      </w:r>
      <w:r>
        <w:rPr>
          <w:rFonts w:ascii="Cambria Math" w:eastAsia="Cambria Math" w:hAnsi="Cambria Math"/>
          <w:i/>
          <w:sz w:val="19"/>
          <w:vertAlign w:val="subscript"/>
        </w:rPr>
        <w:t>i,q</w:t>
      </w:r>
      <w:r>
        <w:rPr>
          <w:rFonts w:ascii="Cambria Math" w:eastAsia="Cambria Math" w:hAnsi="Cambria Math"/>
          <w:sz w:val="24"/>
        </w:rPr>
        <w:t xml:space="preserve"> + γ Controls</w:t>
      </w:r>
      <w:r>
        <w:rPr>
          <w:rFonts w:ascii="Cambria Math" w:eastAsia="Cambria Math" w:hAnsi="Cambria Math"/>
          <w:i/>
          <w:sz w:val="19"/>
          <w:vertAlign w:val="subscript"/>
        </w:rPr>
        <w:t>i,q</w:t>
      </w:r>
      <w:r>
        <w:rPr>
          <w:rFonts w:ascii="Cambria Math" w:eastAsia="Cambria Math" w:hAnsi="Cambria Math"/>
          <w:sz w:val="24"/>
        </w:rPr>
        <w:t xml:space="preserve"> + </w:t>
      </w:r>
      <w:r>
        <w:rPr>
          <w:rFonts w:ascii="Cambria Math" w:eastAsia="Cambria Math" w:hAnsi="Cambria Math"/>
          <w:i/>
          <w:sz w:val="24"/>
        </w:rPr>
        <w:t>δ</w:t>
      </w:r>
      <w:r>
        <w:rPr>
          <w:rFonts w:ascii="Cambria Math" w:eastAsia="Cambria Math" w:hAnsi="Cambria Math"/>
          <w:i/>
          <w:sz w:val="19"/>
          <w:vertAlign w:val="subscript"/>
        </w:rPr>
        <w:t>q</w:t>
      </w:r>
      <w:r>
        <w:rPr>
          <w:rFonts w:ascii="Cambria Math" w:eastAsia="Cambria Math" w:hAnsi="Cambria Math"/>
          <w:sz w:val="24"/>
        </w:rPr>
        <w:t xml:space="preserve"> + </w:t>
      </w:r>
      <w:r>
        <w:rPr>
          <w:rFonts w:ascii="Cambria Math" w:eastAsia="Cambria Math" w:hAnsi="Cambria Math"/>
          <w:i/>
          <w:sz w:val="24"/>
        </w:rPr>
        <w:t>ε</w:t>
      </w:r>
      <w:r>
        <w:rPr>
          <w:rFonts w:ascii="Cambria Math" w:eastAsia="Cambria Math" w:hAnsi="Cambria Math"/>
          <w:i/>
          <w:sz w:val="19"/>
          <w:vertAlign w:val="subscript"/>
        </w:rPr>
        <w:t>i,q</w:t>
      </w:r>
      <w:r>
        <w:rPr>
          <w:rFonts w:ascii="Cambria Math" w:eastAsia="Cambria Math" w:hAnsi="Cambria Math"/>
        </w:rPr>
        <w:t xml:space="preserve">    (5)</w:t>
      </w:r>
    </w:p>
    <w:p w14:paraId="7D1B0610" w14:textId="77777777" w:rsidR="00334777" w:rsidRDefault="00E62DE1">
      <w:pPr>
        <w:ind w:firstLine="420"/>
        <w:rPr>
          <w:lang w:eastAsia="zh-CN"/>
        </w:rPr>
      </w:pPr>
      <w:r>
        <w:rPr>
          <w:lang w:eastAsia="zh-CN"/>
        </w:rPr>
        <w:t>其中，</w:t>
      </w:r>
      <w:r>
        <w:rPr>
          <w:lang w:eastAsia="zh-CN"/>
        </w:rPr>
        <w:t xml:space="preserve">Style </w:t>
      </w:r>
      <w:r>
        <w:rPr>
          <w:lang w:eastAsia="zh-CN"/>
        </w:rPr>
        <w:t>表示基金在季度层面的某类持仓风格指标，例如持仓集中度、行业集中度</w:t>
      </w:r>
      <w:proofErr w:type="gramStart"/>
      <w:r>
        <w:rPr>
          <w:lang w:eastAsia="zh-CN"/>
        </w:rPr>
        <w:t>或调仓强度</w:t>
      </w:r>
      <w:proofErr w:type="gramEnd"/>
      <w:r>
        <w:rPr>
          <w:lang w:eastAsia="zh-CN"/>
        </w:rPr>
        <w:t>；</w:t>
      </w:r>
      <w:proofErr w:type="spellStart"/>
      <w:r>
        <w:rPr>
          <w:lang w:eastAsia="zh-CN"/>
        </w:rPr>
        <w:t>TopFund</w:t>
      </w:r>
      <w:proofErr w:type="spellEnd"/>
      <w:r>
        <w:rPr>
          <w:lang w:eastAsia="zh-CN"/>
        </w:rPr>
        <w:t xml:space="preserve"> </w:t>
      </w:r>
      <w:r>
        <w:rPr>
          <w:lang w:eastAsia="zh-CN"/>
        </w:rPr>
        <w:t>表示基金是否属于机器学习识别出的</w:t>
      </w:r>
      <w:r>
        <w:rPr>
          <w:lang w:eastAsia="zh-CN"/>
        </w:rPr>
        <w:t xml:space="preserve"> D10 </w:t>
      </w:r>
      <w:r>
        <w:rPr>
          <w:lang w:eastAsia="zh-CN"/>
        </w:rPr>
        <w:t>基金；</w:t>
      </w:r>
      <w:r>
        <w:rPr>
          <w:lang w:eastAsia="zh-CN"/>
        </w:rPr>
        <w:t xml:space="preserve">Controls </w:t>
      </w:r>
      <w:r>
        <w:rPr>
          <w:lang w:eastAsia="zh-CN"/>
        </w:rPr>
        <w:t>表示基金规模、费用率、基金年龄、基金流量等控制变量；季度固定效应用于控制不同市场阶段的共同影响。</w:t>
      </w:r>
    </w:p>
    <w:p w14:paraId="10C49A16" w14:textId="77777777" w:rsidR="00334777" w:rsidRDefault="00E62DE1">
      <w:pPr>
        <w:ind w:firstLine="420"/>
        <w:rPr>
          <w:lang w:eastAsia="zh-CN"/>
        </w:rPr>
      </w:pPr>
      <w:r>
        <w:rPr>
          <w:lang w:eastAsia="zh-CN"/>
        </w:rPr>
        <w:t>如果回归系数</w:t>
      </w:r>
      <w:r>
        <w:rPr>
          <w:lang w:eastAsia="zh-CN"/>
        </w:rPr>
        <w:t xml:space="preserve"> </w:t>
      </w:r>
      <w:r>
        <w:t>β</w:t>
      </w:r>
      <w:r>
        <w:rPr>
          <w:lang w:eastAsia="zh-CN"/>
        </w:rPr>
        <w:t xml:space="preserve"> </w:t>
      </w:r>
      <w:r>
        <w:rPr>
          <w:lang w:eastAsia="zh-CN"/>
        </w:rPr>
        <w:t>显著为正或显著为负，则说明机器学习识别出的</w:t>
      </w:r>
      <w:r>
        <w:rPr>
          <w:lang w:eastAsia="zh-CN"/>
        </w:rPr>
        <w:t xml:space="preserve"> top fund </w:t>
      </w:r>
      <w:r>
        <w:rPr>
          <w:lang w:eastAsia="zh-CN"/>
        </w:rPr>
        <w:t>在真实持仓行为上确实具有系统性差异。例如，若</w:t>
      </w:r>
      <w:r>
        <w:rPr>
          <w:lang w:eastAsia="zh-CN"/>
        </w:rPr>
        <w:t xml:space="preserve"> t</w:t>
      </w:r>
      <w:r>
        <w:rPr>
          <w:lang w:eastAsia="zh-CN"/>
        </w:rPr>
        <w:t xml:space="preserve">op fund </w:t>
      </w:r>
      <w:r>
        <w:rPr>
          <w:lang w:eastAsia="zh-CN"/>
        </w:rPr>
        <w:t>的持仓集中</w:t>
      </w:r>
      <w:proofErr w:type="gramStart"/>
      <w:r>
        <w:rPr>
          <w:lang w:eastAsia="zh-CN"/>
        </w:rPr>
        <w:t>度显著</w:t>
      </w:r>
      <w:proofErr w:type="gramEnd"/>
      <w:r>
        <w:rPr>
          <w:lang w:eastAsia="zh-CN"/>
        </w:rPr>
        <w:t>更高，可能说明优秀基金经理更倾向于集中配置其高置信度股票；若其行业集中度更高，可能说明其优势来源于行业选择能力；若其核心持仓更稳定，则可能说明其投资优势来自长期持有和持续选股能力。</w:t>
      </w:r>
    </w:p>
    <w:p w14:paraId="615804A6" w14:textId="77777777" w:rsidR="00334777" w:rsidRDefault="00E62DE1">
      <w:pPr>
        <w:ind w:firstLine="420"/>
        <w:rPr>
          <w:lang w:eastAsia="zh-CN"/>
        </w:rPr>
      </w:pPr>
      <w:r>
        <w:rPr>
          <w:lang w:eastAsia="zh-CN"/>
        </w:rPr>
        <w:t>因此，本文的方法框架可以概括为两步：第一步，严格按照原文机器学习预测排序识别</w:t>
      </w:r>
      <w:r>
        <w:rPr>
          <w:lang w:eastAsia="zh-CN"/>
        </w:rPr>
        <w:t xml:space="preserve"> top fund</w:t>
      </w:r>
      <w:r>
        <w:rPr>
          <w:lang w:eastAsia="zh-CN"/>
        </w:rPr>
        <w:t>；第二步，使用</w:t>
      </w:r>
      <w:r>
        <w:rPr>
          <w:lang w:eastAsia="zh-CN"/>
        </w:rPr>
        <w:t xml:space="preserve"> S12 </w:t>
      </w:r>
      <w:r>
        <w:rPr>
          <w:lang w:eastAsia="zh-CN"/>
        </w:rPr>
        <w:t>持仓数据解释这些</w:t>
      </w:r>
      <w:r>
        <w:rPr>
          <w:lang w:eastAsia="zh-CN"/>
        </w:rPr>
        <w:t xml:space="preserve"> top fund </w:t>
      </w:r>
      <w:r>
        <w:rPr>
          <w:lang w:eastAsia="zh-CN"/>
        </w:rPr>
        <w:t>的真实投资风格。通过这一扩展，本文不仅关注机器学习模型能否选出好基金，也进一步讨论被模型识别出的好基金究竟具有怎样的投资行为特征，从而增强原文机</w:t>
      </w:r>
      <w:r>
        <w:rPr>
          <w:lang w:eastAsia="zh-CN"/>
        </w:rPr>
        <w:t>器学习</w:t>
      </w:r>
      <w:proofErr w:type="gramStart"/>
      <w:r>
        <w:rPr>
          <w:lang w:eastAsia="zh-CN"/>
        </w:rPr>
        <w:t>选基结果</w:t>
      </w:r>
      <w:proofErr w:type="gramEnd"/>
      <w:r>
        <w:rPr>
          <w:lang w:eastAsia="zh-CN"/>
        </w:rPr>
        <w:t>的经济解释性。</w:t>
      </w:r>
    </w:p>
    <w:sectPr w:rsidR="00334777" w:rsidSect="00034616">
      <w:footerReference w:type="default" r:id="rId8"/>
      <w:pgSz w:w="12240" w:h="15840"/>
      <w:pgMar w:top="1020" w:right="1332" w:bottom="1020"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48C17" w14:textId="77777777" w:rsidR="00E62DE1" w:rsidRDefault="00E62DE1">
      <w:pPr>
        <w:spacing w:after="0" w:line="240" w:lineRule="auto"/>
      </w:pPr>
      <w:r>
        <w:separator/>
      </w:r>
    </w:p>
  </w:endnote>
  <w:endnote w:type="continuationSeparator" w:id="0">
    <w:p w14:paraId="055F2BF1" w14:textId="77777777" w:rsidR="00E62DE1" w:rsidRDefault="00E62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61E80" w14:textId="77777777" w:rsidR="00334777" w:rsidRDefault="00E62DE1">
    <w:pPr>
      <w:pStyle w:val="a7"/>
      <w:jc w:val="center"/>
      <w:rPr>
        <w:lang w:eastAsia="zh-CN"/>
      </w:rPr>
    </w:pPr>
    <w:r>
      <w:rPr>
        <w:color w:val="808080"/>
        <w:sz w:val="16"/>
        <w:lang w:eastAsia="zh-CN"/>
      </w:rPr>
      <w:t>期中报告第一部分</w:t>
    </w:r>
    <w:r>
      <w:rPr>
        <w:color w:val="808080"/>
        <w:sz w:val="16"/>
        <w:lang w:eastAsia="zh-CN"/>
      </w:rPr>
      <w:t xml:space="preserve"> | </w:t>
    </w:r>
    <w:r>
      <w:rPr>
        <w:color w:val="808080"/>
        <w:sz w:val="16"/>
        <w:lang w:eastAsia="zh-CN"/>
      </w:rPr>
      <w:t>方法</w:t>
    </w:r>
    <w:r>
      <w:rPr>
        <w:color w:val="808080"/>
        <w:sz w:val="16"/>
        <w:lang w:eastAsia="zh-CN"/>
      </w:rPr>
      <w:t>/</w:t>
    </w:r>
    <w:r>
      <w:rPr>
        <w:color w:val="808080"/>
        <w:sz w:val="16"/>
        <w:lang w:eastAsia="zh-CN"/>
      </w:rPr>
      <w:t>原理</w:t>
    </w:r>
    <w:r>
      <w:rPr>
        <w:color w:val="808080"/>
        <w:sz w:val="16"/>
        <w:lang w:eastAsia="zh-CN"/>
      </w:rPr>
      <w:t>/</w:t>
    </w:r>
    <w:r>
      <w:rPr>
        <w:color w:val="808080"/>
        <w:sz w:val="16"/>
        <w:lang w:eastAsia="zh-CN"/>
      </w:rPr>
      <w:t>算法介绍</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021CC" w14:textId="77777777" w:rsidR="00E62DE1" w:rsidRDefault="00E62DE1">
      <w:pPr>
        <w:spacing w:after="0" w:line="240" w:lineRule="auto"/>
      </w:pPr>
      <w:r>
        <w:separator/>
      </w:r>
    </w:p>
  </w:footnote>
  <w:footnote w:type="continuationSeparator" w:id="0">
    <w:p w14:paraId="0C03A6AB" w14:textId="77777777" w:rsidR="00E62DE1" w:rsidRDefault="00E62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777"/>
    <w:rsid w:val="009D1DA4"/>
    <w:rsid w:val="00AA1D8D"/>
    <w:rsid w:val="00B47730"/>
    <w:rsid w:val="00CB0664"/>
    <w:rsid w:val="00E62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6E2C41"/>
  <w14:defaultImageDpi w14:val="300"/>
  <w15:docId w15:val="{28072D89-4E91-4B30-8B74-5B082E121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98"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160" w:after="8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1083</Words>
  <Characters>1246</Characters>
  <Application>Microsoft Office Word</Application>
  <DocSecurity>0</DocSecurity>
  <Lines>34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昱锟 陈</cp:lastModifiedBy>
  <cp:revision>3</cp:revision>
  <dcterms:created xsi:type="dcterms:W3CDTF">2013-12-23T23:15:00Z</dcterms:created>
  <dcterms:modified xsi:type="dcterms:W3CDTF">2026-05-21T03:53:00Z</dcterms:modified>
  <cp:category/>
</cp:coreProperties>
</file>