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46FBA" w14:textId="05AA4900" w:rsidR="00CF0C3C" w:rsidRPr="00C31412" w:rsidRDefault="00CF0C3C" w:rsidP="00D830B7">
      <w:pPr>
        <w:rPr>
          <w:rFonts w:ascii="Times New Roman" w:hAnsi="Times New Roman" w:cs="Times New Roman"/>
          <w:sz w:val="32"/>
          <w:szCs w:val="32"/>
        </w:rPr>
      </w:pPr>
      <w:r>
        <w:rPr>
          <w:b/>
          <w:bCs/>
        </w:rPr>
        <w:t xml:space="preserve">                                         </w:t>
      </w:r>
      <w:r w:rsidRPr="00C31412">
        <w:rPr>
          <w:rFonts w:ascii="Times New Roman" w:hAnsi="Times New Roman" w:cs="Times New Roman"/>
          <w:sz w:val="32"/>
          <w:szCs w:val="32"/>
        </w:rPr>
        <w:t>Early Warning Risk &amp; Audit Effectiveness Dashboard Using Power BI</w:t>
      </w:r>
    </w:p>
    <w:p w14:paraId="05AF24D7" w14:textId="77777777" w:rsidR="00CF0C3C" w:rsidRPr="00CF0C3C" w:rsidRDefault="00CF0C3C" w:rsidP="00CF0C3C">
      <w:pPr>
        <w:rPr>
          <w:rFonts w:ascii="Times New Roman" w:hAnsi="Times New Roman" w:cs="Times New Roman"/>
          <w:b/>
          <w:bCs/>
          <w:sz w:val="40"/>
          <w:szCs w:val="40"/>
        </w:rPr>
      </w:pPr>
      <w:r w:rsidRPr="00CF0C3C">
        <w:rPr>
          <w:rFonts w:ascii="Times New Roman" w:hAnsi="Times New Roman" w:cs="Times New Roman"/>
          <w:b/>
          <w:bCs/>
          <w:sz w:val="40"/>
          <w:szCs w:val="40"/>
        </w:rPr>
        <w:t>Abstract</w:t>
      </w:r>
    </w:p>
    <w:p w14:paraId="2B24FFA8" w14:textId="77777777" w:rsidR="00CF0C3C" w:rsidRPr="00CF0C3C" w:rsidRDefault="00CF0C3C" w:rsidP="00CF0C3C">
      <w:pPr>
        <w:rPr>
          <w:rFonts w:ascii="Times New Roman" w:hAnsi="Times New Roman" w:cs="Times New Roman"/>
          <w:sz w:val="28"/>
          <w:szCs w:val="28"/>
        </w:rPr>
      </w:pPr>
      <w:r w:rsidRPr="00CF0C3C">
        <w:rPr>
          <w:rFonts w:ascii="Times New Roman" w:hAnsi="Times New Roman" w:cs="Times New Roman"/>
          <w:sz w:val="28"/>
          <w:szCs w:val="28"/>
        </w:rPr>
        <w:t>In today’s data-driven audit and compliance environment, organizations face increasing exposure to financial risk, fraud, and regulatory violations. Traditional audit approaches are often reactive, identifying risks only after significant damage has occurred. This project presents an Early Warning Risk &amp; Audit Effectiveness Dashboard developed using Power BI, designed to proactively monitor audit quality, financial risk impact, compliance violations, and fraud detection effectiveness.</w:t>
      </w:r>
    </w:p>
    <w:p w14:paraId="4570A8AC" w14:textId="77777777" w:rsidR="00CF0C3C" w:rsidRPr="00CF0C3C" w:rsidRDefault="00CF0C3C" w:rsidP="00CF0C3C">
      <w:pPr>
        <w:rPr>
          <w:rFonts w:ascii="Times New Roman" w:hAnsi="Times New Roman" w:cs="Times New Roman"/>
          <w:sz w:val="28"/>
          <w:szCs w:val="28"/>
        </w:rPr>
      </w:pPr>
      <w:r w:rsidRPr="00CF0C3C">
        <w:rPr>
          <w:rFonts w:ascii="Times New Roman" w:hAnsi="Times New Roman" w:cs="Times New Roman"/>
          <w:sz w:val="28"/>
          <w:szCs w:val="28"/>
        </w:rPr>
        <w:t>The dashboard integrates audit, compliance, industry risk, and AI-assisted auditing metrics to provide actionable insights for stakeholders. By leveraging data analytics, KPI tracking, and visual storytelling, the solution enables early identification of high-risk areas, improves audit effectiveness, and supports data-driven decision-making. This project demonstrates the application of business intelligence, risk analytics, and compliance monitoring suitable for real-world enterprise environments.</w:t>
      </w:r>
    </w:p>
    <w:p w14:paraId="4643B525" w14:textId="65A7A681" w:rsidR="00AD5154" w:rsidRDefault="00CF0C3C">
      <w:r>
        <w:rPr>
          <w:noProof/>
        </w:rPr>
        <w:drawing>
          <wp:inline distT="0" distB="0" distL="0" distR="0" wp14:anchorId="2C98E9EA" wp14:editId="5FA80466">
            <wp:extent cx="6996752" cy="3589020"/>
            <wp:effectExtent l="0" t="0" r="0" b="0"/>
            <wp:docPr id="13042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19877" name="Picture 1304219877"/>
                    <pic:cNvPicPr/>
                  </pic:nvPicPr>
                  <pic:blipFill>
                    <a:blip r:embed="rId6">
                      <a:extLst>
                        <a:ext uri="{28A0092B-C50C-407E-A947-70E740481C1C}">
                          <a14:useLocalDpi xmlns:a14="http://schemas.microsoft.com/office/drawing/2010/main" val="0"/>
                        </a:ext>
                      </a:extLst>
                    </a:blip>
                    <a:stretch>
                      <a:fillRect/>
                    </a:stretch>
                  </pic:blipFill>
                  <pic:spPr>
                    <a:xfrm>
                      <a:off x="0" y="0"/>
                      <a:ext cx="7006201" cy="3593867"/>
                    </a:xfrm>
                    <a:prstGeom prst="rect">
                      <a:avLst/>
                    </a:prstGeom>
                  </pic:spPr>
                </pic:pic>
              </a:graphicData>
            </a:graphic>
          </wp:inline>
        </w:drawing>
      </w:r>
    </w:p>
    <w:p w14:paraId="3774A4BE" w14:textId="77777777" w:rsidR="00CF0C3C" w:rsidRDefault="00CF0C3C"/>
    <w:p w14:paraId="79892345" w14:textId="77777777" w:rsidR="00CF0C3C" w:rsidRPr="00CF0C3C" w:rsidRDefault="00CF0C3C" w:rsidP="00CF0C3C">
      <w:pPr>
        <w:rPr>
          <w:rFonts w:ascii="Times New Roman" w:hAnsi="Times New Roman" w:cs="Times New Roman"/>
          <w:b/>
          <w:bCs/>
          <w:sz w:val="40"/>
          <w:szCs w:val="40"/>
        </w:rPr>
      </w:pPr>
      <w:r w:rsidRPr="00CF0C3C">
        <w:rPr>
          <w:rFonts w:ascii="Times New Roman" w:hAnsi="Times New Roman" w:cs="Times New Roman"/>
          <w:b/>
          <w:bCs/>
          <w:sz w:val="40"/>
          <w:szCs w:val="40"/>
        </w:rPr>
        <w:t>Key Performance Indicators (KPI) Explanation</w:t>
      </w:r>
    </w:p>
    <w:p w14:paraId="1D1B06EE"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1. Total Audit Amount</w:t>
      </w:r>
    </w:p>
    <w:p w14:paraId="712508A2" w14:textId="6E183B55" w:rsidR="00CF0C3C" w:rsidRPr="00CF0C3C" w:rsidRDefault="00CF0C3C" w:rsidP="00CF0C3C">
      <w:pPr>
        <w:rPr>
          <w:rFonts w:ascii="Times New Roman" w:hAnsi="Times New Roman" w:cs="Times New Roman"/>
          <w:sz w:val="28"/>
          <w:szCs w:val="28"/>
        </w:rPr>
      </w:pPr>
      <w:r w:rsidRPr="00CF0C3C">
        <w:rPr>
          <w:rFonts w:ascii="Times New Roman" w:hAnsi="Times New Roman" w:cs="Times New Roman"/>
          <w:sz w:val="28"/>
          <w:szCs w:val="28"/>
        </w:rPr>
        <w:t>Represents the overall audit exposure handled by firms.</w:t>
      </w:r>
      <w:r w:rsidRPr="00CF0C3C">
        <w:rPr>
          <w:rFonts w:ascii="Times New Roman" w:hAnsi="Times New Roman" w:cs="Times New Roman"/>
          <w:sz w:val="28"/>
          <w:szCs w:val="28"/>
        </w:rPr>
        <w:br/>
        <w:t>Business Value: Indicates scale and operational responsibility.</w:t>
      </w:r>
    </w:p>
    <w:p w14:paraId="34C920F8"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2. Fraud Detection Effectiveness</w:t>
      </w:r>
    </w:p>
    <w:p w14:paraId="22C12F91" w14:textId="77777777" w:rsidR="00CF0C3C" w:rsidRPr="00FB46AD" w:rsidRDefault="00CF0C3C" w:rsidP="00CF0C3C">
      <w:pPr>
        <w:rPr>
          <w:rFonts w:ascii="Times New Roman" w:hAnsi="Times New Roman" w:cs="Times New Roman"/>
          <w:sz w:val="28"/>
          <w:szCs w:val="28"/>
        </w:rPr>
      </w:pPr>
      <w:r w:rsidRPr="00CF0C3C">
        <w:rPr>
          <w:rFonts w:ascii="Times New Roman" w:hAnsi="Times New Roman" w:cs="Times New Roman"/>
          <w:sz w:val="28"/>
          <w:szCs w:val="28"/>
        </w:rPr>
        <w:t>Calculated as:</w:t>
      </w:r>
    </w:p>
    <w:p w14:paraId="3546F14B" w14:textId="7E8DD8C0" w:rsidR="00CF0C3C" w:rsidRPr="00CF0C3C" w:rsidRDefault="00CF0C3C" w:rsidP="00CF0C3C">
      <w:pPr>
        <w:rPr>
          <w:rFonts w:ascii="Times New Roman" w:hAnsi="Times New Roman" w:cs="Times New Roman"/>
          <w:sz w:val="28"/>
          <w:szCs w:val="28"/>
        </w:rPr>
      </w:pPr>
      <w:r w:rsidRPr="00CF0C3C">
        <w:rPr>
          <w:rFonts w:ascii="Times New Roman" w:hAnsi="Times New Roman" w:cs="Times New Roman"/>
          <w:sz w:val="28"/>
          <w:szCs w:val="28"/>
        </w:rPr>
        <w:t>Fraud Detected / Total Audits</w:t>
      </w:r>
    </w:p>
    <w:p w14:paraId="087081F6" w14:textId="32A9177A" w:rsidR="00CF0C3C" w:rsidRPr="00CF0C3C" w:rsidRDefault="00CF0C3C" w:rsidP="00CF0C3C">
      <w:pPr>
        <w:rPr>
          <w:rFonts w:ascii="Times New Roman" w:hAnsi="Times New Roman" w:cs="Times New Roman"/>
          <w:sz w:val="28"/>
          <w:szCs w:val="28"/>
        </w:rPr>
      </w:pPr>
      <w:r w:rsidRPr="00CF0C3C">
        <w:rPr>
          <w:rFonts w:ascii="Times New Roman" w:hAnsi="Times New Roman" w:cs="Times New Roman"/>
          <w:sz w:val="28"/>
          <w:szCs w:val="28"/>
        </w:rPr>
        <w:t>Business Value: Measures the efficiency of audit mechanisms in identifying fraud.</w:t>
      </w:r>
    </w:p>
    <w:p w14:paraId="5F3681EC"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3. High-Risk Exposure Rate</w:t>
      </w:r>
    </w:p>
    <w:p w14:paraId="64881E2A" w14:textId="1BF676DE" w:rsidR="00CF0C3C" w:rsidRPr="00CF0C3C" w:rsidRDefault="00CF0C3C" w:rsidP="00CF0C3C">
      <w:pPr>
        <w:rPr>
          <w:rFonts w:ascii="Times New Roman" w:hAnsi="Times New Roman" w:cs="Times New Roman"/>
          <w:sz w:val="24"/>
          <w:szCs w:val="24"/>
        </w:rPr>
      </w:pPr>
      <w:r w:rsidRPr="00CF0C3C">
        <w:rPr>
          <w:rFonts w:ascii="Times New Roman" w:hAnsi="Times New Roman" w:cs="Times New Roman"/>
          <w:sz w:val="28"/>
          <w:szCs w:val="28"/>
        </w:rPr>
        <w:t>Shows the proportion of audits categorized as high risk.</w:t>
      </w:r>
      <w:r w:rsidRPr="00CF0C3C">
        <w:rPr>
          <w:rFonts w:ascii="Times New Roman" w:hAnsi="Times New Roman" w:cs="Times New Roman"/>
          <w:sz w:val="28"/>
          <w:szCs w:val="28"/>
        </w:rPr>
        <w:br/>
        <w:t>Business Value: Acts as an early warning indicator</w:t>
      </w:r>
      <w:r w:rsidRPr="00CF0C3C">
        <w:rPr>
          <w:rFonts w:ascii="Times New Roman" w:hAnsi="Times New Roman" w:cs="Times New Roman"/>
          <w:sz w:val="24"/>
          <w:szCs w:val="24"/>
        </w:rPr>
        <w:t>.</w:t>
      </w:r>
    </w:p>
    <w:p w14:paraId="54FA1729" w14:textId="77777777" w:rsidR="00CF0C3C" w:rsidRPr="00CF0C3C" w:rsidRDefault="00CF0C3C" w:rsidP="00D830B7">
      <w:r w:rsidRPr="00CF0C3C">
        <w:lastRenderedPageBreak/>
        <w:t xml:space="preserve">4. </w:t>
      </w:r>
      <w:r w:rsidRPr="00D830B7">
        <w:rPr>
          <w:rFonts w:ascii="Times New Roman" w:hAnsi="Times New Roman" w:cs="Times New Roman"/>
          <w:b/>
          <w:bCs/>
          <w:sz w:val="36"/>
          <w:szCs w:val="36"/>
        </w:rPr>
        <w:t>Financial Risk Impact</w:t>
      </w:r>
    </w:p>
    <w:p w14:paraId="474850E6" w14:textId="593AEA6E" w:rsidR="00CF0C3C" w:rsidRPr="00CF0C3C" w:rsidRDefault="00CF0C3C" w:rsidP="00CF0C3C">
      <w:pPr>
        <w:rPr>
          <w:rFonts w:ascii="Times New Roman" w:hAnsi="Times New Roman" w:cs="Times New Roman"/>
          <w:sz w:val="28"/>
          <w:szCs w:val="28"/>
        </w:rPr>
      </w:pPr>
      <w:r w:rsidRPr="00CF0C3C">
        <w:rPr>
          <w:rFonts w:ascii="Times New Roman" w:hAnsi="Times New Roman" w:cs="Times New Roman"/>
          <w:sz w:val="28"/>
          <w:szCs w:val="28"/>
        </w:rPr>
        <w:t>Total financial loss arising from audit failures or compliance breaches.</w:t>
      </w:r>
      <w:r w:rsidRPr="00CF0C3C">
        <w:rPr>
          <w:rFonts w:ascii="Times New Roman" w:hAnsi="Times New Roman" w:cs="Times New Roman"/>
          <w:sz w:val="28"/>
          <w:szCs w:val="28"/>
        </w:rPr>
        <w:br/>
        <w:t>Business Value: Directly links audit quality with financial outcomes.</w:t>
      </w:r>
    </w:p>
    <w:p w14:paraId="3C546BBC"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5. Compliance Violation Density</w:t>
      </w:r>
    </w:p>
    <w:p w14:paraId="0DB5DF85" w14:textId="77777777" w:rsidR="00CF0C3C" w:rsidRPr="00CF0C3C" w:rsidRDefault="00CF0C3C" w:rsidP="00CF0C3C">
      <w:pPr>
        <w:rPr>
          <w:rFonts w:ascii="Times New Roman" w:hAnsi="Times New Roman" w:cs="Times New Roman"/>
          <w:sz w:val="28"/>
          <w:szCs w:val="28"/>
        </w:rPr>
      </w:pPr>
      <w:r w:rsidRPr="00CF0C3C">
        <w:rPr>
          <w:rFonts w:ascii="Times New Roman" w:hAnsi="Times New Roman" w:cs="Times New Roman"/>
          <w:sz w:val="28"/>
          <w:szCs w:val="28"/>
        </w:rPr>
        <w:t>Compliance violations per audit.</w:t>
      </w:r>
      <w:r w:rsidRPr="00CF0C3C">
        <w:rPr>
          <w:rFonts w:ascii="Times New Roman" w:hAnsi="Times New Roman" w:cs="Times New Roman"/>
          <w:sz w:val="28"/>
          <w:szCs w:val="28"/>
        </w:rPr>
        <w:br/>
        <w:t>Business Value: Evaluates regulatory adherence strength.</w:t>
      </w:r>
    </w:p>
    <w:p w14:paraId="652B44F6" w14:textId="77777777" w:rsidR="00CF0C3C" w:rsidRPr="00CF0C3C" w:rsidRDefault="00CF0C3C" w:rsidP="00CF0C3C">
      <w:pPr>
        <w:rPr>
          <w:rFonts w:ascii="Times New Roman" w:hAnsi="Times New Roman" w:cs="Times New Roman"/>
          <w:b/>
          <w:bCs/>
          <w:sz w:val="40"/>
          <w:szCs w:val="40"/>
        </w:rPr>
      </w:pPr>
      <w:r w:rsidRPr="00CF0C3C">
        <w:rPr>
          <w:rFonts w:ascii="Times New Roman" w:hAnsi="Times New Roman" w:cs="Times New Roman"/>
          <w:b/>
          <w:bCs/>
          <w:sz w:val="40"/>
          <w:szCs w:val="40"/>
        </w:rPr>
        <w:t>Dashboard Visual Analysis</w:t>
      </w:r>
    </w:p>
    <w:p w14:paraId="48017E17"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Industry-Wise Risk Concentration</w:t>
      </w:r>
    </w:p>
    <w:p w14:paraId="7C4F0155" w14:textId="77777777" w:rsidR="00CF0C3C" w:rsidRPr="00CF0C3C" w:rsidRDefault="00CF0C3C" w:rsidP="00CF0C3C">
      <w:pPr>
        <w:numPr>
          <w:ilvl w:val="0"/>
          <w:numId w:val="1"/>
        </w:numPr>
        <w:rPr>
          <w:rFonts w:ascii="Times New Roman" w:hAnsi="Times New Roman" w:cs="Times New Roman"/>
          <w:sz w:val="28"/>
          <w:szCs w:val="28"/>
        </w:rPr>
      </w:pPr>
      <w:r w:rsidRPr="00CF0C3C">
        <w:rPr>
          <w:rFonts w:ascii="Times New Roman" w:hAnsi="Times New Roman" w:cs="Times New Roman"/>
          <w:sz w:val="28"/>
          <w:szCs w:val="28"/>
        </w:rPr>
        <w:t>Identifies industries with the highest audit risk exposure</w:t>
      </w:r>
    </w:p>
    <w:p w14:paraId="7DF316EE" w14:textId="77777777" w:rsidR="00CF0C3C" w:rsidRPr="00CF0C3C" w:rsidRDefault="00CF0C3C" w:rsidP="00CF0C3C">
      <w:pPr>
        <w:numPr>
          <w:ilvl w:val="0"/>
          <w:numId w:val="1"/>
        </w:numPr>
        <w:rPr>
          <w:rFonts w:ascii="Times New Roman" w:hAnsi="Times New Roman" w:cs="Times New Roman"/>
          <w:sz w:val="28"/>
          <w:szCs w:val="28"/>
        </w:rPr>
      </w:pPr>
      <w:r w:rsidRPr="00CF0C3C">
        <w:rPr>
          <w:rFonts w:ascii="Times New Roman" w:hAnsi="Times New Roman" w:cs="Times New Roman"/>
          <w:sz w:val="28"/>
          <w:szCs w:val="28"/>
        </w:rPr>
        <w:t>Healthcare and Tech show elevated risk levels</w:t>
      </w:r>
    </w:p>
    <w:p w14:paraId="7B1608E6" w14:textId="1E67F9AE" w:rsidR="00CF0C3C" w:rsidRPr="00CF0C3C" w:rsidRDefault="00CF0C3C" w:rsidP="00CF0C3C">
      <w:pPr>
        <w:numPr>
          <w:ilvl w:val="0"/>
          <w:numId w:val="1"/>
        </w:numPr>
        <w:rPr>
          <w:rFonts w:ascii="Times New Roman" w:hAnsi="Times New Roman" w:cs="Times New Roman"/>
          <w:sz w:val="28"/>
          <w:szCs w:val="28"/>
        </w:rPr>
      </w:pPr>
      <w:r w:rsidRPr="00CF0C3C">
        <w:rPr>
          <w:rFonts w:ascii="Times New Roman" w:hAnsi="Times New Roman" w:cs="Times New Roman"/>
          <w:sz w:val="28"/>
          <w:szCs w:val="28"/>
        </w:rPr>
        <w:t>Enables industry-focused risk mitigation strategies</w:t>
      </w:r>
    </w:p>
    <w:p w14:paraId="17604755"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Firm-Wise &amp; Compliance Comparison</w:t>
      </w:r>
    </w:p>
    <w:p w14:paraId="639D5162" w14:textId="77777777" w:rsidR="00CF0C3C" w:rsidRPr="00CF0C3C" w:rsidRDefault="00CF0C3C" w:rsidP="00CF0C3C">
      <w:pPr>
        <w:numPr>
          <w:ilvl w:val="0"/>
          <w:numId w:val="2"/>
        </w:numPr>
        <w:rPr>
          <w:rFonts w:ascii="Times New Roman" w:hAnsi="Times New Roman" w:cs="Times New Roman"/>
          <w:sz w:val="28"/>
          <w:szCs w:val="28"/>
        </w:rPr>
      </w:pPr>
      <w:r w:rsidRPr="00CF0C3C">
        <w:rPr>
          <w:rFonts w:ascii="Times New Roman" w:hAnsi="Times New Roman" w:cs="Times New Roman"/>
          <w:sz w:val="28"/>
          <w:szCs w:val="28"/>
        </w:rPr>
        <w:t>Compares Big4 firms based on:</w:t>
      </w:r>
    </w:p>
    <w:p w14:paraId="2547FDB6" w14:textId="77777777" w:rsidR="00CF0C3C" w:rsidRPr="00CF0C3C" w:rsidRDefault="00CF0C3C" w:rsidP="00CF0C3C">
      <w:pPr>
        <w:numPr>
          <w:ilvl w:val="1"/>
          <w:numId w:val="2"/>
        </w:numPr>
        <w:rPr>
          <w:rFonts w:ascii="Times New Roman" w:hAnsi="Times New Roman" w:cs="Times New Roman"/>
          <w:sz w:val="28"/>
          <w:szCs w:val="28"/>
        </w:rPr>
      </w:pPr>
      <w:r w:rsidRPr="00CF0C3C">
        <w:rPr>
          <w:rFonts w:ascii="Times New Roman" w:hAnsi="Times New Roman" w:cs="Times New Roman"/>
          <w:sz w:val="28"/>
          <w:szCs w:val="28"/>
        </w:rPr>
        <w:t>High-risk cases</w:t>
      </w:r>
    </w:p>
    <w:p w14:paraId="55DCF22D" w14:textId="77777777" w:rsidR="00CF0C3C" w:rsidRPr="00CF0C3C" w:rsidRDefault="00CF0C3C" w:rsidP="00CF0C3C">
      <w:pPr>
        <w:numPr>
          <w:ilvl w:val="1"/>
          <w:numId w:val="2"/>
        </w:numPr>
        <w:rPr>
          <w:rFonts w:ascii="Times New Roman" w:hAnsi="Times New Roman" w:cs="Times New Roman"/>
          <w:sz w:val="28"/>
          <w:szCs w:val="28"/>
        </w:rPr>
      </w:pPr>
      <w:r w:rsidRPr="00CF0C3C">
        <w:rPr>
          <w:rFonts w:ascii="Times New Roman" w:hAnsi="Times New Roman" w:cs="Times New Roman"/>
          <w:sz w:val="28"/>
          <w:szCs w:val="28"/>
        </w:rPr>
        <w:t>Compliance violations</w:t>
      </w:r>
    </w:p>
    <w:p w14:paraId="742AB779" w14:textId="68893E2B" w:rsidR="00CF0C3C" w:rsidRPr="00CF0C3C" w:rsidRDefault="00CF0C3C" w:rsidP="00CF0C3C">
      <w:pPr>
        <w:numPr>
          <w:ilvl w:val="0"/>
          <w:numId w:val="2"/>
        </w:numPr>
        <w:rPr>
          <w:rFonts w:ascii="Times New Roman" w:hAnsi="Times New Roman" w:cs="Times New Roman"/>
          <w:sz w:val="28"/>
          <w:szCs w:val="28"/>
        </w:rPr>
      </w:pPr>
      <w:r w:rsidRPr="00CF0C3C">
        <w:rPr>
          <w:rFonts w:ascii="Times New Roman" w:hAnsi="Times New Roman" w:cs="Times New Roman"/>
          <w:sz w:val="28"/>
          <w:szCs w:val="28"/>
        </w:rPr>
        <w:t>Supports benchmarking and competitive audit analysis</w:t>
      </w:r>
    </w:p>
    <w:p w14:paraId="25CD92BF"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Impact of AI on Audit Effectiveness</w:t>
      </w:r>
    </w:p>
    <w:p w14:paraId="5A83718B" w14:textId="77777777" w:rsidR="00CF0C3C" w:rsidRPr="00CF0C3C" w:rsidRDefault="00CF0C3C" w:rsidP="00CF0C3C">
      <w:pPr>
        <w:numPr>
          <w:ilvl w:val="0"/>
          <w:numId w:val="3"/>
        </w:numPr>
        <w:rPr>
          <w:sz w:val="28"/>
          <w:szCs w:val="28"/>
        </w:rPr>
      </w:pPr>
      <w:r w:rsidRPr="00CF0C3C">
        <w:rPr>
          <w:sz w:val="28"/>
          <w:szCs w:val="28"/>
        </w:rPr>
        <w:t>Visual comparison between AI usage and audit quality</w:t>
      </w:r>
    </w:p>
    <w:p w14:paraId="6054C937" w14:textId="2A19F7EC" w:rsidR="00CF0C3C" w:rsidRPr="00CF0C3C" w:rsidRDefault="00CF0C3C" w:rsidP="00CF0C3C">
      <w:pPr>
        <w:numPr>
          <w:ilvl w:val="0"/>
          <w:numId w:val="3"/>
        </w:numPr>
        <w:rPr>
          <w:sz w:val="28"/>
          <w:szCs w:val="28"/>
        </w:rPr>
      </w:pPr>
      <w:r w:rsidRPr="00CF0C3C">
        <w:rPr>
          <w:sz w:val="28"/>
          <w:szCs w:val="28"/>
        </w:rPr>
        <w:t>Demonstrates that AI-enabled audits improve accuracy and quality</w:t>
      </w:r>
    </w:p>
    <w:p w14:paraId="2FB82BF5" w14:textId="77777777" w:rsidR="00CF0C3C" w:rsidRPr="00CF0C3C" w:rsidRDefault="00CF0C3C" w:rsidP="00CF0C3C">
      <w:pPr>
        <w:rPr>
          <w:b/>
          <w:bCs/>
          <w:sz w:val="36"/>
          <w:szCs w:val="36"/>
        </w:rPr>
      </w:pPr>
      <w:r w:rsidRPr="00CF0C3C">
        <w:rPr>
          <w:b/>
          <w:bCs/>
          <w:sz w:val="36"/>
          <w:szCs w:val="36"/>
        </w:rPr>
        <w:t>Audit Quality vs Client Satisfaction</w:t>
      </w:r>
    </w:p>
    <w:p w14:paraId="477B1BD6" w14:textId="77777777" w:rsidR="00CF0C3C" w:rsidRPr="00CF0C3C" w:rsidRDefault="00CF0C3C" w:rsidP="00CF0C3C">
      <w:pPr>
        <w:numPr>
          <w:ilvl w:val="0"/>
          <w:numId w:val="4"/>
        </w:numPr>
        <w:rPr>
          <w:rFonts w:ascii="Times New Roman" w:hAnsi="Times New Roman" w:cs="Times New Roman"/>
          <w:sz w:val="28"/>
          <w:szCs w:val="28"/>
        </w:rPr>
      </w:pPr>
      <w:r w:rsidRPr="00CF0C3C">
        <w:rPr>
          <w:rFonts w:ascii="Times New Roman" w:hAnsi="Times New Roman" w:cs="Times New Roman"/>
          <w:sz w:val="28"/>
          <w:szCs w:val="28"/>
        </w:rPr>
        <w:t>Positive correlation between audit quality and client satisfaction</w:t>
      </w:r>
    </w:p>
    <w:p w14:paraId="4E9724A9" w14:textId="1FB996C8" w:rsidR="00CF0C3C" w:rsidRPr="00CF0C3C" w:rsidRDefault="00CF0C3C" w:rsidP="00CF0C3C">
      <w:pPr>
        <w:numPr>
          <w:ilvl w:val="0"/>
          <w:numId w:val="4"/>
        </w:numPr>
        <w:rPr>
          <w:rFonts w:ascii="Times New Roman" w:hAnsi="Times New Roman" w:cs="Times New Roman"/>
          <w:sz w:val="28"/>
          <w:szCs w:val="28"/>
        </w:rPr>
      </w:pPr>
      <w:r w:rsidRPr="00CF0C3C">
        <w:rPr>
          <w:rFonts w:ascii="Times New Roman" w:hAnsi="Times New Roman" w:cs="Times New Roman"/>
          <w:sz w:val="28"/>
          <w:szCs w:val="28"/>
        </w:rPr>
        <w:t>Highlights the business value of strong audit governance</w:t>
      </w:r>
    </w:p>
    <w:p w14:paraId="176644AF"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High-Risk Case Trend</w:t>
      </w:r>
    </w:p>
    <w:p w14:paraId="4965A685" w14:textId="77777777" w:rsidR="00CF0C3C" w:rsidRPr="00CF0C3C" w:rsidRDefault="00CF0C3C" w:rsidP="00CF0C3C">
      <w:pPr>
        <w:numPr>
          <w:ilvl w:val="0"/>
          <w:numId w:val="5"/>
        </w:numPr>
        <w:rPr>
          <w:rFonts w:ascii="Times New Roman" w:hAnsi="Times New Roman" w:cs="Times New Roman"/>
          <w:sz w:val="28"/>
          <w:szCs w:val="28"/>
        </w:rPr>
      </w:pPr>
      <w:r w:rsidRPr="00CF0C3C">
        <w:rPr>
          <w:rFonts w:ascii="Times New Roman" w:hAnsi="Times New Roman" w:cs="Times New Roman"/>
          <w:sz w:val="28"/>
          <w:szCs w:val="28"/>
        </w:rPr>
        <w:t>Year-wise trend analysis</w:t>
      </w:r>
    </w:p>
    <w:p w14:paraId="5BB217F4" w14:textId="77777777" w:rsidR="00CF0C3C" w:rsidRPr="00CF0C3C" w:rsidRDefault="00CF0C3C" w:rsidP="00CF0C3C">
      <w:pPr>
        <w:numPr>
          <w:ilvl w:val="0"/>
          <w:numId w:val="5"/>
        </w:numPr>
        <w:rPr>
          <w:rFonts w:ascii="Times New Roman" w:hAnsi="Times New Roman" w:cs="Times New Roman"/>
          <w:sz w:val="28"/>
          <w:szCs w:val="28"/>
        </w:rPr>
      </w:pPr>
      <w:r w:rsidRPr="00CF0C3C">
        <w:rPr>
          <w:rFonts w:ascii="Times New Roman" w:hAnsi="Times New Roman" w:cs="Times New Roman"/>
          <w:sz w:val="28"/>
          <w:szCs w:val="28"/>
        </w:rPr>
        <w:t>Detects risk spikes and improvement periods</w:t>
      </w:r>
    </w:p>
    <w:p w14:paraId="757567A7" w14:textId="7CD3BD33" w:rsidR="00CF0C3C" w:rsidRPr="00CF0C3C" w:rsidRDefault="00CF0C3C" w:rsidP="00CF0C3C">
      <w:pPr>
        <w:numPr>
          <w:ilvl w:val="0"/>
          <w:numId w:val="5"/>
        </w:numPr>
        <w:rPr>
          <w:sz w:val="28"/>
          <w:szCs w:val="28"/>
        </w:rPr>
      </w:pPr>
      <w:r w:rsidRPr="00CF0C3C">
        <w:rPr>
          <w:rFonts w:ascii="Times New Roman" w:hAnsi="Times New Roman" w:cs="Times New Roman"/>
          <w:sz w:val="28"/>
          <w:szCs w:val="28"/>
        </w:rPr>
        <w:t>Useful for predictive risk planning</w:t>
      </w:r>
    </w:p>
    <w:p w14:paraId="34166F40"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Tools &amp; Technologies Used</w:t>
      </w:r>
    </w:p>
    <w:p w14:paraId="5BB6AE35" w14:textId="77777777" w:rsidR="00CF0C3C" w:rsidRPr="00CF0C3C" w:rsidRDefault="00CF0C3C" w:rsidP="00CF0C3C">
      <w:pPr>
        <w:numPr>
          <w:ilvl w:val="0"/>
          <w:numId w:val="6"/>
        </w:numPr>
        <w:rPr>
          <w:rFonts w:ascii="Times New Roman" w:hAnsi="Times New Roman" w:cs="Times New Roman"/>
          <w:sz w:val="28"/>
          <w:szCs w:val="28"/>
        </w:rPr>
      </w:pPr>
      <w:r w:rsidRPr="00CF0C3C">
        <w:rPr>
          <w:rFonts w:ascii="Times New Roman" w:hAnsi="Times New Roman" w:cs="Times New Roman"/>
          <w:sz w:val="28"/>
          <w:szCs w:val="28"/>
        </w:rPr>
        <w:t>Power BI – Dashboard development &amp; visualization</w:t>
      </w:r>
    </w:p>
    <w:p w14:paraId="0A461DCB" w14:textId="77777777" w:rsidR="00CF0C3C" w:rsidRPr="00CF0C3C" w:rsidRDefault="00CF0C3C" w:rsidP="00CF0C3C">
      <w:pPr>
        <w:numPr>
          <w:ilvl w:val="0"/>
          <w:numId w:val="6"/>
        </w:numPr>
        <w:rPr>
          <w:rFonts w:ascii="Times New Roman" w:hAnsi="Times New Roman" w:cs="Times New Roman"/>
          <w:sz w:val="28"/>
          <w:szCs w:val="28"/>
        </w:rPr>
      </w:pPr>
      <w:r w:rsidRPr="00CF0C3C">
        <w:rPr>
          <w:rFonts w:ascii="Times New Roman" w:hAnsi="Times New Roman" w:cs="Times New Roman"/>
          <w:sz w:val="28"/>
          <w:szCs w:val="28"/>
        </w:rPr>
        <w:t>DAX (Data Analysis Expressions) – KPI calculations</w:t>
      </w:r>
    </w:p>
    <w:p w14:paraId="3EF1B5DC" w14:textId="77777777" w:rsidR="00CF0C3C" w:rsidRPr="00CF0C3C" w:rsidRDefault="00CF0C3C" w:rsidP="00CF0C3C">
      <w:pPr>
        <w:numPr>
          <w:ilvl w:val="0"/>
          <w:numId w:val="6"/>
        </w:numPr>
        <w:rPr>
          <w:rFonts w:ascii="Times New Roman" w:hAnsi="Times New Roman" w:cs="Times New Roman"/>
          <w:sz w:val="28"/>
          <w:szCs w:val="28"/>
        </w:rPr>
      </w:pPr>
      <w:r w:rsidRPr="00CF0C3C">
        <w:rPr>
          <w:rFonts w:ascii="Times New Roman" w:hAnsi="Times New Roman" w:cs="Times New Roman"/>
          <w:sz w:val="28"/>
          <w:szCs w:val="28"/>
        </w:rPr>
        <w:t>Microsoft Excel / CSV – Data storage</w:t>
      </w:r>
    </w:p>
    <w:p w14:paraId="3059FEBB" w14:textId="49D8E1D5" w:rsidR="00CF0C3C" w:rsidRPr="00CF0C3C" w:rsidRDefault="00CF0C3C" w:rsidP="00CF0C3C">
      <w:pPr>
        <w:numPr>
          <w:ilvl w:val="0"/>
          <w:numId w:val="6"/>
        </w:numPr>
        <w:rPr>
          <w:rFonts w:ascii="Times New Roman" w:hAnsi="Times New Roman" w:cs="Times New Roman"/>
          <w:sz w:val="28"/>
          <w:szCs w:val="28"/>
        </w:rPr>
      </w:pPr>
      <w:r w:rsidRPr="00CF0C3C">
        <w:rPr>
          <w:rFonts w:ascii="Times New Roman" w:hAnsi="Times New Roman" w:cs="Times New Roman"/>
          <w:sz w:val="28"/>
          <w:szCs w:val="28"/>
        </w:rPr>
        <w:t xml:space="preserve">Data </w:t>
      </w:r>
      <w:proofErr w:type="spellStart"/>
      <w:r w:rsidRPr="00CF0C3C">
        <w:rPr>
          <w:rFonts w:ascii="Times New Roman" w:hAnsi="Times New Roman" w:cs="Times New Roman"/>
          <w:sz w:val="28"/>
          <w:szCs w:val="28"/>
        </w:rPr>
        <w:t>Modeling</w:t>
      </w:r>
      <w:proofErr w:type="spellEnd"/>
      <w:r w:rsidRPr="00CF0C3C">
        <w:rPr>
          <w:rFonts w:ascii="Times New Roman" w:hAnsi="Times New Roman" w:cs="Times New Roman"/>
          <w:sz w:val="28"/>
          <w:szCs w:val="28"/>
        </w:rPr>
        <w:t xml:space="preserve"> &amp; ETL Concepts</w:t>
      </w:r>
    </w:p>
    <w:p w14:paraId="078E119F"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lastRenderedPageBreak/>
        <w:t>Business Impact &amp; Use Cases</w:t>
      </w:r>
    </w:p>
    <w:p w14:paraId="7046B163" w14:textId="77777777" w:rsidR="00CF0C3C" w:rsidRPr="00CF0C3C" w:rsidRDefault="00CF0C3C" w:rsidP="00CF0C3C">
      <w:pPr>
        <w:numPr>
          <w:ilvl w:val="0"/>
          <w:numId w:val="7"/>
        </w:numPr>
        <w:rPr>
          <w:rFonts w:ascii="Times New Roman" w:hAnsi="Times New Roman" w:cs="Times New Roman"/>
          <w:sz w:val="28"/>
          <w:szCs w:val="28"/>
        </w:rPr>
      </w:pPr>
      <w:r w:rsidRPr="00CF0C3C">
        <w:rPr>
          <w:rFonts w:ascii="Times New Roman" w:hAnsi="Times New Roman" w:cs="Times New Roman"/>
          <w:sz w:val="28"/>
          <w:szCs w:val="28"/>
        </w:rPr>
        <w:t>Enterprise Risk Management (ERM)</w:t>
      </w:r>
    </w:p>
    <w:p w14:paraId="63101EBF" w14:textId="77777777" w:rsidR="00CF0C3C" w:rsidRPr="00CF0C3C" w:rsidRDefault="00CF0C3C" w:rsidP="00CF0C3C">
      <w:pPr>
        <w:numPr>
          <w:ilvl w:val="0"/>
          <w:numId w:val="7"/>
        </w:numPr>
        <w:rPr>
          <w:rFonts w:ascii="Times New Roman" w:hAnsi="Times New Roman" w:cs="Times New Roman"/>
          <w:sz w:val="28"/>
          <w:szCs w:val="28"/>
        </w:rPr>
      </w:pPr>
      <w:r w:rsidRPr="00CF0C3C">
        <w:rPr>
          <w:rFonts w:ascii="Times New Roman" w:hAnsi="Times New Roman" w:cs="Times New Roman"/>
          <w:sz w:val="28"/>
          <w:szCs w:val="28"/>
        </w:rPr>
        <w:t>Internal &amp; External Audit Teams</w:t>
      </w:r>
    </w:p>
    <w:p w14:paraId="7C7861EB" w14:textId="77777777" w:rsidR="00CF0C3C" w:rsidRPr="00CF0C3C" w:rsidRDefault="00CF0C3C" w:rsidP="00CF0C3C">
      <w:pPr>
        <w:numPr>
          <w:ilvl w:val="0"/>
          <w:numId w:val="7"/>
        </w:numPr>
        <w:rPr>
          <w:rFonts w:ascii="Times New Roman" w:hAnsi="Times New Roman" w:cs="Times New Roman"/>
          <w:sz w:val="28"/>
          <w:szCs w:val="28"/>
        </w:rPr>
      </w:pPr>
      <w:r w:rsidRPr="00CF0C3C">
        <w:rPr>
          <w:rFonts w:ascii="Times New Roman" w:hAnsi="Times New Roman" w:cs="Times New Roman"/>
          <w:sz w:val="28"/>
          <w:szCs w:val="28"/>
        </w:rPr>
        <w:t>Compliance Monitoring Units</w:t>
      </w:r>
    </w:p>
    <w:p w14:paraId="31518116" w14:textId="77777777" w:rsidR="00CF0C3C" w:rsidRPr="00CF0C3C" w:rsidRDefault="00CF0C3C" w:rsidP="00CF0C3C">
      <w:pPr>
        <w:numPr>
          <w:ilvl w:val="0"/>
          <w:numId w:val="7"/>
        </w:numPr>
        <w:rPr>
          <w:rFonts w:ascii="Times New Roman" w:hAnsi="Times New Roman" w:cs="Times New Roman"/>
          <w:sz w:val="28"/>
          <w:szCs w:val="28"/>
        </w:rPr>
      </w:pPr>
      <w:r w:rsidRPr="00CF0C3C">
        <w:rPr>
          <w:rFonts w:ascii="Times New Roman" w:hAnsi="Times New Roman" w:cs="Times New Roman"/>
          <w:sz w:val="28"/>
          <w:szCs w:val="28"/>
        </w:rPr>
        <w:t>CFO &amp; Risk Leadership Decision Support</w:t>
      </w:r>
    </w:p>
    <w:p w14:paraId="7A7B6EC5" w14:textId="2C7F6FBC" w:rsidR="00CF0C3C" w:rsidRPr="00CF0C3C" w:rsidRDefault="00CF0C3C" w:rsidP="00CF0C3C">
      <w:pPr>
        <w:numPr>
          <w:ilvl w:val="0"/>
          <w:numId w:val="7"/>
        </w:numPr>
        <w:rPr>
          <w:rFonts w:ascii="Times New Roman" w:hAnsi="Times New Roman" w:cs="Times New Roman"/>
          <w:sz w:val="28"/>
          <w:szCs w:val="28"/>
        </w:rPr>
      </w:pPr>
      <w:r w:rsidRPr="00CF0C3C">
        <w:rPr>
          <w:rFonts w:ascii="Times New Roman" w:hAnsi="Times New Roman" w:cs="Times New Roman"/>
          <w:sz w:val="28"/>
          <w:szCs w:val="28"/>
        </w:rPr>
        <w:t>AI-driven Audit Transformation Initiatives</w:t>
      </w:r>
    </w:p>
    <w:p w14:paraId="6C55801D" w14:textId="77777777" w:rsidR="00CF0C3C" w:rsidRPr="00CF0C3C" w:rsidRDefault="00CF0C3C" w:rsidP="00CF0C3C">
      <w:pPr>
        <w:rPr>
          <w:rFonts w:ascii="Times New Roman" w:hAnsi="Times New Roman" w:cs="Times New Roman"/>
          <w:b/>
          <w:bCs/>
          <w:sz w:val="36"/>
          <w:szCs w:val="36"/>
        </w:rPr>
      </w:pPr>
      <w:r w:rsidRPr="00CF0C3C">
        <w:rPr>
          <w:rFonts w:ascii="Times New Roman" w:hAnsi="Times New Roman" w:cs="Times New Roman"/>
          <w:b/>
          <w:bCs/>
          <w:sz w:val="36"/>
          <w:szCs w:val="36"/>
        </w:rPr>
        <w:t>Limitations</w:t>
      </w:r>
    </w:p>
    <w:p w14:paraId="2720BED0" w14:textId="77777777" w:rsidR="00CF0C3C" w:rsidRPr="00CF0C3C" w:rsidRDefault="00CF0C3C" w:rsidP="00CF0C3C">
      <w:pPr>
        <w:numPr>
          <w:ilvl w:val="0"/>
          <w:numId w:val="8"/>
        </w:numPr>
        <w:rPr>
          <w:rFonts w:ascii="Times New Roman" w:hAnsi="Times New Roman" w:cs="Times New Roman"/>
          <w:sz w:val="28"/>
          <w:szCs w:val="28"/>
        </w:rPr>
      </w:pPr>
      <w:r w:rsidRPr="00CF0C3C">
        <w:rPr>
          <w:rFonts w:ascii="Times New Roman" w:hAnsi="Times New Roman" w:cs="Times New Roman"/>
          <w:sz w:val="28"/>
          <w:szCs w:val="28"/>
        </w:rPr>
        <w:t>Dataset is simulated (non-confidential)</w:t>
      </w:r>
    </w:p>
    <w:p w14:paraId="2E450928" w14:textId="77777777" w:rsidR="00CF0C3C" w:rsidRPr="00CF0C3C" w:rsidRDefault="00CF0C3C" w:rsidP="00CF0C3C">
      <w:pPr>
        <w:numPr>
          <w:ilvl w:val="0"/>
          <w:numId w:val="8"/>
        </w:numPr>
        <w:rPr>
          <w:rFonts w:ascii="Times New Roman" w:hAnsi="Times New Roman" w:cs="Times New Roman"/>
          <w:sz w:val="28"/>
          <w:szCs w:val="28"/>
        </w:rPr>
      </w:pPr>
      <w:r w:rsidRPr="00CF0C3C">
        <w:rPr>
          <w:rFonts w:ascii="Times New Roman" w:hAnsi="Times New Roman" w:cs="Times New Roman"/>
          <w:sz w:val="28"/>
          <w:szCs w:val="28"/>
        </w:rPr>
        <w:t>No real-time streaming data</w:t>
      </w:r>
    </w:p>
    <w:p w14:paraId="3C0E2307" w14:textId="19E08A5E" w:rsidR="00CF0C3C" w:rsidRPr="00CF0C3C" w:rsidRDefault="00CF0C3C" w:rsidP="00CF0C3C">
      <w:pPr>
        <w:numPr>
          <w:ilvl w:val="0"/>
          <w:numId w:val="8"/>
        </w:numPr>
        <w:rPr>
          <w:rFonts w:ascii="Times New Roman" w:hAnsi="Times New Roman" w:cs="Times New Roman"/>
          <w:sz w:val="28"/>
          <w:szCs w:val="28"/>
        </w:rPr>
      </w:pPr>
      <w:r w:rsidRPr="00CF0C3C">
        <w:rPr>
          <w:rFonts w:ascii="Times New Roman" w:hAnsi="Times New Roman" w:cs="Times New Roman"/>
          <w:sz w:val="28"/>
          <w:szCs w:val="28"/>
        </w:rPr>
        <w:t>Advanced ML fraud models not included</w:t>
      </w:r>
    </w:p>
    <w:p w14:paraId="05628688" w14:textId="77777777" w:rsidR="00CF0C3C" w:rsidRPr="00CF0C3C" w:rsidRDefault="00CF0C3C" w:rsidP="00CF0C3C">
      <w:pPr>
        <w:rPr>
          <w:b/>
          <w:bCs/>
          <w:sz w:val="40"/>
          <w:szCs w:val="40"/>
        </w:rPr>
      </w:pPr>
      <w:r w:rsidRPr="00CF0C3C">
        <w:rPr>
          <w:b/>
          <w:bCs/>
          <w:sz w:val="40"/>
          <w:szCs w:val="40"/>
        </w:rPr>
        <w:t>Future Enhancements</w:t>
      </w:r>
    </w:p>
    <w:p w14:paraId="2FCFD1B8" w14:textId="77777777" w:rsidR="00CF0C3C" w:rsidRPr="00CF0C3C" w:rsidRDefault="00CF0C3C" w:rsidP="00CF0C3C">
      <w:pPr>
        <w:numPr>
          <w:ilvl w:val="0"/>
          <w:numId w:val="9"/>
        </w:numPr>
        <w:rPr>
          <w:rFonts w:ascii="Times New Roman" w:hAnsi="Times New Roman" w:cs="Times New Roman"/>
          <w:sz w:val="28"/>
          <w:szCs w:val="28"/>
        </w:rPr>
      </w:pPr>
      <w:r w:rsidRPr="00CF0C3C">
        <w:rPr>
          <w:rFonts w:ascii="Times New Roman" w:hAnsi="Times New Roman" w:cs="Times New Roman"/>
          <w:sz w:val="28"/>
          <w:szCs w:val="28"/>
        </w:rPr>
        <w:t xml:space="preserve">Integration with real-time </w:t>
      </w:r>
      <w:proofErr w:type="spellStart"/>
      <w:r w:rsidRPr="00CF0C3C">
        <w:rPr>
          <w:rFonts w:ascii="Times New Roman" w:hAnsi="Times New Roman" w:cs="Times New Roman"/>
          <w:sz w:val="28"/>
          <w:szCs w:val="28"/>
        </w:rPr>
        <w:t>audit</w:t>
      </w:r>
      <w:proofErr w:type="spellEnd"/>
      <w:r w:rsidRPr="00CF0C3C">
        <w:rPr>
          <w:rFonts w:ascii="Times New Roman" w:hAnsi="Times New Roman" w:cs="Times New Roman"/>
          <w:sz w:val="28"/>
          <w:szCs w:val="28"/>
        </w:rPr>
        <w:t xml:space="preserve"> systems</w:t>
      </w:r>
    </w:p>
    <w:p w14:paraId="52AD502B" w14:textId="77777777" w:rsidR="00CF0C3C" w:rsidRPr="00CF0C3C" w:rsidRDefault="00CF0C3C" w:rsidP="00CF0C3C">
      <w:pPr>
        <w:numPr>
          <w:ilvl w:val="0"/>
          <w:numId w:val="9"/>
        </w:numPr>
        <w:rPr>
          <w:rFonts w:ascii="Times New Roman" w:hAnsi="Times New Roman" w:cs="Times New Roman"/>
          <w:sz w:val="28"/>
          <w:szCs w:val="28"/>
        </w:rPr>
      </w:pPr>
      <w:r w:rsidRPr="00CF0C3C">
        <w:rPr>
          <w:rFonts w:ascii="Times New Roman" w:hAnsi="Times New Roman" w:cs="Times New Roman"/>
          <w:sz w:val="28"/>
          <w:szCs w:val="28"/>
        </w:rPr>
        <w:t>Predictive risk scoring using Machine Learning</w:t>
      </w:r>
    </w:p>
    <w:p w14:paraId="5DE950AB" w14:textId="77777777" w:rsidR="00CF0C3C" w:rsidRPr="00CF0C3C" w:rsidRDefault="00CF0C3C" w:rsidP="00CF0C3C">
      <w:pPr>
        <w:numPr>
          <w:ilvl w:val="0"/>
          <w:numId w:val="9"/>
        </w:numPr>
        <w:rPr>
          <w:rFonts w:ascii="Times New Roman" w:hAnsi="Times New Roman" w:cs="Times New Roman"/>
          <w:sz w:val="28"/>
          <w:szCs w:val="28"/>
        </w:rPr>
      </w:pPr>
      <w:r w:rsidRPr="00CF0C3C">
        <w:rPr>
          <w:rFonts w:ascii="Times New Roman" w:hAnsi="Times New Roman" w:cs="Times New Roman"/>
          <w:sz w:val="28"/>
          <w:szCs w:val="28"/>
        </w:rPr>
        <w:t>Automated compliance alerts</w:t>
      </w:r>
    </w:p>
    <w:p w14:paraId="5AC8A229" w14:textId="77777777" w:rsidR="00CF0C3C" w:rsidRPr="00CF0C3C" w:rsidRDefault="00CF0C3C" w:rsidP="00CF0C3C">
      <w:pPr>
        <w:numPr>
          <w:ilvl w:val="0"/>
          <w:numId w:val="9"/>
        </w:numPr>
        <w:rPr>
          <w:rFonts w:ascii="Times New Roman" w:hAnsi="Times New Roman" w:cs="Times New Roman"/>
          <w:sz w:val="28"/>
          <w:szCs w:val="28"/>
        </w:rPr>
      </w:pPr>
      <w:r w:rsidRPr="00CF0C3C">
        <w:rPr>
          <w:rFonts w:ascii="Times New Roman" w:hAnsi="Times New Roman" w:cs="Times New Roman"/>
          <w:sz w:val="28"/>
          <w:szCs w:val="28"/>
        </w:rPr>
        <w:t>Role-based dashboard access</w:t>
      </w:r>
    </w:p>
    <w:p w14:paraId="0A8517B6" w14:textId="3E9FF214" w:rsidR="00CF0C3C" w:rsidRPr="00CF0C3C" w:rsidRDefault="00CF0C3C" w:rsidP="00CF0C3C">
      <w:pPr>
        <w:numPr>
          <w:ilvl w:val="0"/>
          <w:numId w:val="9"/>
        </w:numPr>
        <w:rPr>
          <w:rFonts w:ascii="Times New Roman" w:hAnsi="Times New Roman" w:cs="Times New Roman"/>
          <w:sz w:val="28"/>
          <w:szCs w:val="28"/>
        </w:rPr>
      </w:pPr>
      <w:r w:rsidRPr="00CF0C3C">
        <w:rPr>
          <w:rFonts w:ascii="Times New Roman" w:hAnsi="Times New Roman" w:cs="Times New Roman"/>
          <w:sz w:val="28"/>
          <w:szCs w:val="28"/>
        </w:rPr>
        <w:t>Natural Language Query (NLQ) support</w:t>
      </w:r>
    </w:p>
    <w:p w14:paraId="2EEB4EE6" w14:textId="77777777" w:rsidR="00CF0C3C" w:rsidRPr="00CF0C3C" w:rsidRDefault="00CF0C3C" w:rsidP="00CF0C3C">
      <w:pPr>
        <w:rPr>
          <w:b/>
          <w:bCs/>
          <w:sz w:val="40"/>
          <w:szCs w:val="40"/>
        </w:rPr>
      </w:pPr>
      <w:r w:rsidRPr="00CF0C3C">
        <w:rPr>
          <w:b/>
          <w:bCs/>
          <w:sz w:val="40"/>
          <w:szCs w:val="40"/>
        </w:rPr>
        <w:t>Conclusion</w:t>
      </w:r>
    </w:p>
    <w:p w14:paraId="143EA6B9" w14:textId="77777777" w:rsidR="00CF0C3C" w:rsidRPr="00CF0C3C" w:rsidRDefault="00CF0C3C" w:rsidP="00CF0C3C">
      <w:pPr>
        <w:rPr>
          <w:rFonts w:ascii="Times New Roman" w:hAnsi="Times New Roman" w:cs="Times New Roman"/>
          <w:sz w:val="28"/>
          <w:szCs w:val="28"/>
        </w:rPr>
      </w:pPr>
      <w:r w:rsidRPr="00CF0C3C">
        <w:rPr>
          <w:rFonts w:ascii="Times New Roman" w:hAnsi="Times New Roman" w:cs="Times New Roman"/>
          <w:sz w:val="28"/>
          <w:szCs w:val="28"/>
        </w:rPr>
        <w:t>This project successfully demonstrates how Power BI and data analytics can be used to build an early warning audit and risk monitoring system. By transforming audit data into actionable insights, the dashboard enhances fraud detection, compliance governance, and financial risk control. The solution aligns with modern enterprise audit practices and is highly relevant for data analyst, risk analyst, and business intelligence roles.</w:t>
      </w:r>
    </w:p>
    <w:p w14:paraId="1BAFC45F" w14:textId="77777777" w:rsidR="00CF0C3C" w:rsidRPr="00FB46AD" w:rsidRDefault="00CF0C3C">
      <w:pPr>
        <w:rPr>
          <w:sz w:val="28"/>
          <w:szCs w:val="28"/>
        </w:rPr>
      </w:pPr>
    </w:p>
    <w:sectPr w:rsidR="00CF0C3C" w:rsidRPr="00FB46AD" w:rsidSect="00662EE2">
      <w:type w:val="continuous"/>
      <w:pgSz w:w="11900" w:h="16820"/>
      <w:pgMar w:top="0" w:right="0" w:bottom="0" w:left="283"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194B"/>
    <w:multiLevelType w:val="multilevel"/>
    <w:tmpl w:val="F9BA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7690E"/>
    <w:multiLevelType w:val="multilevel"/>
    <w:tmpl w:val="1EB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B11B3"/>
    <w:multiLevelType w:val="multilevel"/>
    <w:tmpl w:val="66CC3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B53D5"/>
    <w:multiLevelType w:val="multilevel"/>
    <w:tmpl w:val="C20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92D89"/>
    <w:multiLevelType w:val="multilevel"/>
    <w:tmpl w:val="579A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170C7"/>
    <w:multiLevelType w:val="multilevel"/>
    <w:tmpl w:val="C7E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C4361"/>
    <w:multiLevelType w:val="multilevel"/>
    <w:tmpl w:val="64F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74AB8"/>
    <w:multiLevelType w:val="multilevel"/>
    <w:tmpl w:val="5A16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431C5"/>
    <w:multiLevelType w:val="multilevel"/>
    <w:tmpl w:val="43BA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696305">
    <w:abstractNumId w:val="1"/>
  </w:num>
  <w:num w:numId="2" w16cid:durableId="826746289">
    <w:abstractNumId w:val="2"/>
  </w:num>
  <w:num w:numId="3" w16cid:durableId="1585531690">
    <w:abstractNumId w:val="5"/>
  </w:num>
  <w:num w:numId="4" w16cid:durableId="1739010572">
    <w:abstractNumId w:val="7"/>
  </w:num>
  <w:num w:numId="5" w16cid:durableId="616987890">
    <w:abstractNumId w:val="6"/>
  </w:num>
  <w:num w:numId="6" w16cid:durableId="1952131751">
    <w:abstractNumId w:val="3"/>
  </w:num>
  <w:num w:numId="7" w16cid:durableId="1981035924">
    <w:abstractNumId w:val="8"/>
  </w:num>
  <w:num w:numId="8" w16cid:durableId="698506102">
    <w:abstractNumId w:val="4"/>
  </w:num>
  <w:num w:numId="9" w16cid:durableId="103253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3C"/>
    <w:rsid w:val="00624B46"/>
    <w:rsid w:val="00662EE2"/>
    <w:rsid w:val="006968B7"/>
    <w:rsid w:val="008329E1"/>
    <w:rsid w:val="008D711E"/>
    <w:rsid w:val="00A2561C"/>
    <w:rsid w:val="00AA61E4"/>
    <w:rsid w:val="00AD174A"/>
    <w:rsid w:val="00AD5154"/>
    <w:rsid w:val="00BE150A"/>
    <w:rsid w:val="00C31412"/>
    <w:rsid w:val="00CF0C3C"/>
    <w:rsid w:val="00D830B7"/>
    <w:rsid w:val="00FB4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A856"/>
  <w15:chartTrackingRefBased/>
  <w15:docId w15:val="{2C613C6E-A311-411F-9955-B36A93624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C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C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C3C"/>
    <w:rPr>
      <w:rFonts w:eastAsiaTheme="majorEastAsia" w:cstheme="majorBidi"/>
      <w:color w:val="272727" w:themeColor="text1" w:themeTint="D8"/>
    </w:rPr>
  </w:style>
  <w:style w:type="paragraph" w:styleId="Title">
    <w:name w:val="Title"/>
    <w:basedOn w:val="Normal"/>
    <w:next w:val="Normal"/>
    <w:link w:val="TitleChar"/>
    <w:uiPriority w:val="10"/>
    <w:qFormat/>
    <w:rsid w:val="00CF0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C3C"/>
    <w:pPr>
      <w:spacing w:before="160"/>
      <w:jc w:val="center"/>
    </w:pPr>
    <w:rPr>
      <w:i/>
      <w:iCs/>
      <w:color w:val="404040" w:themeColor="text1" w:themeTint="BF"/>
    </w:rPr>
  </w:style>
  <w:style w:type="character" w:customStyle="1" w:styleId="QuoteChar">
    <w:name w:val="Quote Char"/>
    <w:basedOn w:val="DefaultParagraphFont"/>
    <w:link w:val="Quote"/>
    <w:uiPriority w:val="29"/>
    <w:rsid w:val="00CF0C3C"/>
    <w:rPr>
      <w:i/>
      <w:iCs/>
      <w:color w:val="404040" w:themeColor="text1" w:themeTint="BF"/>
    </w:rPr>
  </w:style>
  <w:style w:type="paragraph" w:styleId="ListParagraph">
    <w:name w:val="List Paragraph"/>
    <w:basedOn w:val="Normal"/>
    <w:uiPriority w:val="34"/>
    <w:qFormat/>
    <w:rsid w:val="00CF0C3C"/>
    <w:pPr>
      <w:ind w:left="720"/>
      <w:contextualSpacing/>
    </w:pPr>
  </w:style>
  <w:style w:type="character" w:styleId="IntenseEmphasis">
    <w:name w:val="Intense Emphasis"/>
    <w:basedOn w:val="DefaultParagraphFont"/>
    <w:uiPriority w:val="21"/>
    <w:qFormat/>
    <w:rsid w:val="00CF0C3C"/>
    <w:rPr>
      <w:i/>
      <w:iCs/>
      <w:color w:val="2F5496" w:themeColor="accent1" w:themeShade="BF"/>
    </w:rPr>
  </w:style>
  <w:style w:type="paragraph" w:styleId="IntenseQuote">
    <w:name w:val="Intense Quote"/>
    <w:basedOn w:val="Normal"/>
    <w:next w:val="Normal"/>
    <w:link w:val="IntenseQuoteChar"/>
    <w:uiPriority w:val="30"/>
    <w:qFormat/>
    <w:rsid w:val="00CF0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C3C"/>
    <w:rPr>
      <w:i/>
      <w:iCs/>
      <w:color w:val="2F5496" w:themeColor="accent1" w:themeShade="BF"/>
    </w:rPr>
  </w:style>
  <w:style w:type="character" w:styleId="IntenseReference">
    <w:name w:val="Intense Reference"/>
    <w:basedOn w:val="DefaultParagraphFont"/>
    <w:uiPriority w:val="32"/>
    <w:qFormat/>
    <w:rsid w:val="00CF0C3C"/>
    <w:rPr>
      <w:b/>
      <w:bCs/>
      <w:smallCaps/>
      <w:color w:val="2F5496" w:themeColor="accent1" w:themeShade="BF"/>
      <w:spacing w:val="5"/>
    </w:rPr>
  </w:style>
  <w:style w:type="paragraph" w:styleId="NoSpacing">
    <w:name w:val="No Spacing"/>
    <w:uiPriority w:val="1"/>
    <w:qFormat/>
    <w:rsid w:val="00D830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38BF8-9170-4D8F-94D6-D6F707269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M</dc:creator>
  <cp:keywords/>
  <dc:description/>
  <cp:lastModifiedBy>MURALI M</cp:lastModifiedBy>
  <cp:revision>5</cp:revision>
  <dcterms:created xsi:type="dcterms:W3CDTF">2026-01-22T10:18:00Z</dcterms:created>
  <dcterms:modified xsi:type="dcterms:W3CDTF">2026-01-29T10:34:00Z</dcterms:modified>
</cp:coreProperties>
</file>