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Portrait of the Non-Supporter of the Bogotá Metro Project</w:t>
      </w:r>
    </w:p>
    <w:p>
      <w:r/>
      <w:r>
        <w:rPr>
          <w:b/>
        </w:rPr>
        <w:t>Author: Zhanchao Yang</w:t>
      </w:r>
      <w:r/>
    </w:p>
    <w:p>
      <w:r/>
    </w:p>
    <w:p>
      <w:r/>
      <w:r>
        <w:rPr>
          <w:b/>
        </w:rPr>
        <w:t>Sample size:</w:t>
      </w:r>
      <w:r>
        <w:t xml:space="preserve"> n = 45</w:t>
      </w:r>
    </w:p>
    <w:p>
      <w:r/>
    </w:p>
    <w:p>
      <w:pPr>
        <w:pStyle w:val="Heading2"/>
      </w:pPr>
      <w:r>
        <w:t>Purpose of the Analysis</w:t>
      </w:r>
    </w:p>
    <w:p>
      <w:r/>
    </w:p>
    <w:p>
      <w:r>
        <w:t>Only around 10% of the overall survey sample expressed opposition or hesitation toward the Bogotá Metro project. This analysis focuses on understanding why this small yet important group holds such views. By examining their socio-economic characteristics, household conditions, transportation behaviors, and perceptions of public services, the goal is to uncover the underlying factors contributing to their lack of support. Insights from this profile can help policymakers and planners address concerns, tailor engagement strategies, and ensure that the Metro system meets the needs and expectations of all residents, including its skeptics.</w:t>
      </w:r>
    </w:p>
    <w:p>
      <w:r/>
    </w:p>
    <w:p>
      <w:pPr>
        <w:pStyle w:val="Heading2"/>
      </w:pPr>
      <w:r>
        <w:t>General Location</w:t>
      </w:r>
    </w:p>
    <w:p>
      <w:r>
        <w:t>(by percentage)</w:t>
      </w:r>
    </w:p>
    <w:p>
      <w:r/>
    </w:p>
    <w:p>
      <w:r>
        <w:t>![](../output/Layout.jpg)</w:t>
      </w:r>
    </w:p>
    <w:p>
      <w:r/>
    </w:p>
    <w:p>
      <w:r/>
    </w:p>
    <w:p>
      <w:pPr>
        <w:pStyle w:val="Heading2"/>
      </w:pPr>
      <w:r>
        <w:t>Demographics</w:t>
      </w:r>
    </w:p>
    <w:p>
      <w:r/>
    </w:p>
    <w:p>
      <w:r>
        <w:t xml:space="preserve">- 29 (64%) live in a </w:t>
      </w:r>
      <w:r>
        <w:rPr>
          <w:b/>
        </w:rPr>
        <w:t>house</w:t>
      </w:r>
      <w:r>
        <w:t xml:space="preserve">, 16 (36%) live in an </w:t>
      </w:r>
      <w:r>
        <w:rPr>
          <w:b/>
        </w:rPr>
        <w:t>apartment</w:t>
      </w:r>
      <w:r/>
    </w:p>
    <w:p>
      <w:r>
        <w:t xml:space="preserve">- 31 (69%) live </w:t>
      </w:r>
      <w:r>
        <w:rPr>
          <w:b/>
        </w:rPr>
        <w:t>alone</w:t>
      </w:r>
      <w:r>
        <w:t xml:space="preserve">, 8 live </w:t>
      </w:r>
      <w:r>
        <w:rPr>
          <w:b/>
        </w:rPr>
        <w:t>as a couple</w:t>
      </w:r>
      <w:r>
        <w:t xml:space="preserve">, and 4 in </w:t>
      </w:r>
      <w:r>
        <w:rPr>
          <w:b/>
        </w:rPr>
        <w:t>3-person households</w:t>
      </w:r>
      <w:r>
        <w:t xml:space="preserve"> (generally small household size)</w:t>
      </w:r>
    </w:p>
    <w:p>
      <w:r>
        <w:t xml:space="preserve">- 5 (11%) have experienced </w:t>
      </w:r>
      <w:r>
        <w:rPr>
          <w:b/>
        </w:rPr>
        <w:t>sexual or other types of violence</w:t>
      </w:r>
      <w:r>
        <w:t xml:space="preserve"> in public transportation</w:t>
      </w:r>
    </w:p>
    <w:p>
      <w:r>
        <w:t xml:space="preserve">- </w:t>
      </w:r>
      <w:r>
        <w:rPr>
          <w:b/>
        </w:rPr>
        <w:t>Primary transport mode</w:t>
      </w:r>
      <w:r>
        <w:t>:</w:t>
      </w:r>
    </w:p>
    <w:p>
      <w:r>
        <w:t xml:space="preserve">  - 18 (40%) use </w:t>
      </w:r>
      <w:r>
        <w:rPr>
          <w:b/>
        </w:rPr>
        <w:t>BRT</w:t>
      </w:r>
      <w:r/>
    </w:p>
    <w:p>
      <w:r>
        <w:t xml:space="preserve">  - 10 (22%) use </w:t>
      </w:r>
      <w:r>
        <w:rPr>
          <w:b/>
        </w:rPr>
        <w:t>SITP or other public transport</w:t>
      </w:r>
      <w:r/>
    </w:p>
    <w:p>
      <w:r>
        <w:t xml:space="preserve">  - 2 walk</w:t>
      </w:r>
    </w:p>
    <w:p>
      <w:r>
        <w:t xml:space="preserve">- </w:t>
      </w:r>
      <w:r>
        <w:rPr>
          <w:b/>
        </w:rPr>
        <w:t>Housing ownership</w:t>
      </w:r>
      <w:r>
        <w:t>:</w:t>
      </w:r>
    </w:p>
    <w:p>
      <w:r>
        <w:t xml:space="preserve">  - 14 (31%) own</w:t>
      </w:r>
    </w:p>
    <w:p>
      <w:r>
        <w:t xml:space="preserve">  - 31 (69%) rent (sample: 60% rent, 40% own)</w:t>
      </w:r>
    </w:p>
    <w:p>
      <w:r>
        <w:t xml:space="preserve">- 28 (62%) have lived at their current location for </w:t>
      </w:r>
      <w:r>
        <w:rPr>
          <w:b/>
        </w:rPr>
        <w:t>5+ years</w:t>
      </w:r>
      <w:r>
        <w:t xml:space="preserve"> (sample = 56%)</w:t>
      </w:r>
    </w:p>
    <w:p>
      <w:r>
        <w:t xml:space="preserve">  - 11 have lived </w:t>
      </w:r>
      <w:r>
        <w:rPr>
          <w:b/>
        </w:rPr>
        <w:t>1–5 years</w:t>
      </w:r>
      <w:r/>
    </w:p>
    <w:p>
      <w:r>
        <w:t xml:space="preserve">  - 6 have lived </w:t>
      </w:r>
      <w:r>
        <w:rPr>
          <w:b/>
        </w:rPr>
        <w:t>less than 1 year</w:t>
      </w:r>
      <w:r/>
    </w:p>
    <w:p>
      <w:r>
        <w:t xml:space="preserve">- 18 (40%) have </w:t>
      </w:r>
      <w:r>
        <w:rPr>
          <w:b/>
        </w:rPr>
        <w:t>private parking spaces</w:t>
      </w:r>
      <w:r/>
    </w:p>
    <w:p>
      <w:r/>
    </w:p>
    <w:p>
      <w:r/>
    </w:p>
    <w:p>
      <w:pPr>
        <w:pStyle w:val="Heading2"/>
      </w:pPr>
      <w:r>
        <w:t>Income</w:t>
      </w:r>
    </w:p>
    <w:p>
      <w:r/>
    </w:p>
    <w:tbl>
      <w:tblPr>
        <w:tblW w:type="auto" w:w="0"/>
        <w:tblLook w:firstColumn="1" w:firstRow="1" w:lastColumn="0" w:lastRow="0" w:noHBand="0" w:noVBand="1" w:val="04A0"/>
      </w:tblPr>
      <w:tblGrid>
        <w:gridCol w:w="4320"/>
        <w:gridCol w:w="4320"/>
      </w:tblGrid>
      <w:tr>
        <w:tc>
          <w:tcPr>
            <w:tcW w:type="dxa" w:w="4320"/>
          </w:tcPr>
          <w:p>
            <w:r>
              <w:t>Income Range</w:t>
            </w:r>
          </w:p>
        </w:tc>
        <w:tc>
          <w:tcPr>
            <w:tcW w:type="dxa" w:w="4320"/>
          </w:tcPr>
          <w:p>
            <w:r>
              <w:t>Count</w:t>
            </w:r>
          </w:p>
        </w:tc>
      </w:tr>
      <w:tr>
        <w:tc>
          <w:tcPr>
            <w:tcW w:type="dxa" w:w="4320"/>
          </w:tcPr>
          <w:p>
            <w:r>
              <w:t>$0 - $400,000</w:t>
            </w:r>
          </w:p>
        </w:tc>
        <w:tc>
          <w:tcPr>
            <w:tcW w:type="dxa" w:w="4320"/>
          </w:tcPr>
          <w:p>
            <w:r>
              <w:t>0</w:t>
            </w:r>
          </w:p>
        </w:tc>
      </w:tr>
      <w:tr>
        <w:tc>
          <w:tcPr>
            <w:tcW w:type="dxa" w:w="4320"/>
          </w:tcPr>
          <w:p>
            <w:r>
              <w:t>$400,001 - $800,000</w:t>
            </w:r>
          </w:p>
        </w:tc>
        <w:tc>
          <w:tcPr>
            <w:tcW w:type="dxa" w:w="4320"/>
          </w:tcPr>
          <w:p>
            <w:r>
              <w:t>4</w:t>
            </w:r>
          </w:p>
        </w:tc>
      </w:tr>
      <w:tr>
        <w:tc>
          <w:tcPr>
            <w:tcW w:type="dxa" w:w="4320"/>
          </w:tcPr>
          <w:p>
            <w:r>
              <w:t>$800,001 - $1,160,000</w:t>
            </w:r>
          </w:p>
        </w:tc>
        <w:tc>
          <w:tcPr>
            <w:tcW w:type="dxa" w:w="4320"/>
          </w:tcPr>
          <w:p>
            <w:r>
              <w:t>5</w:t>
            </w:r>
          </w:p>
        </w:tc>
      </w:tr>
      <w:tr>
        <w:tc>
          <w:tcPr>
            <w:tcW w:type="dxa" w:w="4320"/>
          </w:tcPr>
          <w:p>
            <w:r>
              <w:t>$1,160,001 - $1,500,000</w:t>
            </w:r>
          </w:p>
        </w:tc>
        <w:tc>
          <w:tcPr>
            <w:tcW w:type="dxa" w:w="4320"/>
          </w:tcPr>
          <w:p>
            <w:r>
              <w:t>7</w:t>
            </w:r>
          </w:p>
        </w:tc>
      </w:tr>
      <w:tr>
        <w:tc>
          <w:tcPr>
            <w:tcW w:type="dxa" w:w="4320"/>
          </w:tcPr>
          <w:p>
            <w:r>
              <w:t>$1,500,001 - $2,000,000</w:t>
            </w:r>
          </w:p>
        </w:tc>
        <w:tc>
          <w:tcPr>
            <w:tcW w:type="dxa" w:w="4320"/>
          </w:tcPr>
          <w:p>
            <w:r>
              <w:t>5</w:t>
            </w:r>
          </w:p>
        </w:tc>
      </w:tr>
      <w:tr>
        <w:tc>
          <w:tcPr>
            <w:tcW w:type="dxa" w:w="4320"/>
          </w:tcPr>
          <w:p>
            <w:r>
              <w:t>$2,000,001 - $2,500,000</w:t>
            </w:r>
          </w:p>
        </w:tc>
        <w:tc>
          <w:tcPr>
            <w:tcW w:type="dxa" w:w="4320"/>
          </w:tcPr>
          <w:p>
            <w:r>
              <w:t>5</w:t>
            </w:r>
          </w:p>
        </w:tc>
      </w:tr>
      <w:tr>
        <w:tc>
          <w:tcPr>
            <w:tcW w:type="dxa" w:w="4320"/>
          </w:tcPr>
          <w:p>
            <w:r>
              <w:t>$2,500,001 - $3,500,000</w:t>
            </w:r>
          </w:p>
        </w:tc>
        <w:tc>
          <w:tcPr>
            <w:tcW w:type="dxa" w:w="4320"/>
          </w:tcPr>
          <w:p>
            <w:r>
              <w:t>5</w:t>
            </w:r>
          </w:p>
        </w:tc>
      </w:tr>
      <w:tr>
        <w:tc>
          <w:tcPr>
            <w:tcW w:type="dxa" w:w="4320"/>
          </w:tcPr>
          <w:p>
            <w:r>
              <w:t>$3,500,001 - $4,900,000</w:t>
            </w:r>
          </w:p>
        </w:tc>
        <w:tc>
          <w:tcPr>
            <w:tcW w:type="dxa" w:w="4320"/>
          </w:tcPr>
          <w:p>
            <w:r>
              <w:t>5</w:t>
            </w:r>
          </w:p>
        </w:tc>
      </w:tr>
      <w:tr>
        <w:tc>
          <w:tcPr>
            <w:tcW w:type="dxa" w:w="4320"/>
          </w:tcPr>
          <w:p>
            <w:r>
              <w:t>$4,900,001 - $6,800,000</w:t>
            </w:r>
          </w:p>
        </w:tc>
        <w:tc>
          <w:tcPr>
            <w:tcW w:type="dxa" w:w="4320"/>
          </w:tcPr>
          <w:p>
            <w:r>
              <w:t>2</w:t>
            </w:r>
          </w:p>
        </w:tc>
      </w:tr>
      <w:tr>
        <w:tc>
          <w:tcPr>
            <w:tcW w:type="dxa" w:w="4320"/>
          </w:tcPr>
          <w:p>
            <w:r>
              <w:t>$6,800,001 - $9,000,000</w:t>
            </w:r>
          </w:p>
        </w:tc>
        <w:tc>
          <w:tcPr>
            <w:tcW w:type="dxa" w:w="4320"/>
          </w:tcPr>
          <w:p>
            <w:r>
              <w:t>2</w:t>
            </w:r>
          </w:p>
        </w:tc>
      </w:tr>
      <w:tr>
        <w:tc>
          <w:tcPr>
            <w:tcW w:type="dxa" w:w="4320"/>
          </w:tcPr>
          <w:p>
            <w:r>
              <w:t>Más de $9,000,000</w:t>
            </w:r>
          </w:p>
        </w:tc>
        <w:tc>
          <w:tcPr>
            <w:tcW w:type="dxa" w:w="4320"/>
          </w:tcPr>
          <w:p>
            <w:r>
              <w:t>1</w:t>
            </w:r>
          </w:p>
        </w:tc>
      </w:tr>
      <w:tr>
        <w:tc>
          <w:tcPr>
            <w:tcW w:type="dxa" w:w="4320"/>
          </w:tcPr>
          <w:p>
            <w:r>
              <w:t>NS/NR</w:t>
            </w:r>
          </w:p>
        </w:tc>
        <w:tc>
          <w:tcPr>
            <w:tcW w:type="dxa" w:w="4320"/>
          </w:tcPr>
          <w:p>
            <w:r>
              <w:t>4</w:t>
            </w:r>
          </w:p>
        </w:tc>
      </w:tr>
    </w:tbl>
    <w:p>
      <w:r/>
    </w:p>
    <w:p>
      <w:r/>
    </w:p>
    <w:p>
      <w:pPr>
        <w:pStyle w:val="Heading2"/>
      </w:pPr>
      <w:r>
        <w:t>Perception of Current Public Transportation Systems</w:t>
      </w:r>
    </w:p>
    <w:p>
      <w:r/>
    </w:p>
    <w:tbl>
      <w:tblPr>
        <w:tblW w:type="auto" w:w="0"/>
        <w:tblLook w:firstColumn="1" w:firstRow="1" w:lastColumn="0" w:lastRow="0" w:noHBand="0" w:noVBand="1" w:val="04A0"/>
      </w:tblPr>
      <w:tblGrid>
        <w:gridCol w:w="2880"/>
        <w:gridCol w:w="2880"/>
        <w:gridCol w:w="2880"/>
      </w:tblGrid>
      <w:tr>
        <w:tc>
          <w:tcPr>
            <w:tcW w:type="dxa" w:w="2880"/>
          </w:tcPr>
          <w:p>
            <w:r>
              <w:t>Statement</w:t>
            </w:r>
          </w:p>
        </w:tc>
        <w:tc>
          <w:tcPr>
            <w:tcW w:type="dxa" w:w="2880"/>
          </w:tcPr>
          <w:p>
            <w:r>
              <w:t>Agree</w:t>
            </w:r>
          </w:p>
        </w:tc>
        <w:tc>
          <w:tcPr>
            <w:tcW w:type="dxa" w:w="2880"/>
          </w:tcPr>
          <w:p>
            <w:r>
              <w:t>Disagree</w:t>
            </w:r>
          </w:p>
        </w:tc>
      </w:tr>
      <w:tr>
        <w:tc>
          <w:tcPr>
            <w:tcW w:type="dxa" w:w="2880"/>
          </w:tcPr>
          <w:p>
            <w:r>
              <w:t>Quick and fast</w:t>
            </w:r>
          </w:p>
        </w:tc>
        <w:tc>
          <w:tcPr>
            <w:tcW w:type="dxa" w:w="2880"/>
          </w:tcPr>
          <w:p>
            <w:r>
              <w:t>12</w:t>
            </w:r>
          </w:p>
        </w:tc>
        <w:tc>
          <w:tcPr>
            <w:tcW w:type="dxa" w:w="2880"/>
          </w:tcPr>
          <w:p>
            <w:r>
              <w:t>33</w:t>
            </w:r>
          </w:p>
        </w:tc>
      </w:tr>
      <w:tr>
        <w:tc>
          <w:tcPr>
            <w:tcW w:type="dxa" w:w="2880"/>
          </w:tcPr>
          <w:p>
            <w:r>
              <w:t>Benefit to health</w:t>
            </w:r>
          </w:p>
        </w:tc>
        <w:tc>
          <w:tcPr>
            <w:tcW w:type="dxa" w:w="2880"/>
          </w:tcPr>
          <w:p>
            <w:r>
              <w:t>12</w:t>
            </w:r>
          </w:p>
        </w:tc>
        <w:tc>
          <w:tcPr>
            <w:tcW w:type="dxa" w:w="2880"/>
          </w:tcPr>
          <w:p>
            <w:r>
              <w:t>33</w:t>
            </w:r>
          </w:p>
        </w:tc>
      </w:tr>
      <w:tr>
        <w:tc>
          <w:tcPr>
            <w:tcW w:type="dxa" w:w="2880"/>
          </w:tcPr>
          <w:p>
            <w:r>
              <w:t>On time</w:t>
            </w:r>
          </w:p>
        </w:tc>
        <w:tc>
          <w:tcPr>
            <w:tcW w:type="dxa" w:w="2880"/>
          </w:tcPr>
          <w:p>
            <w:r>
              <w:t>10</w:t>
            </w:r>
          </w:p>
        </w:tc>
        <w:tc>
          <w:tcPr>
            <w:tcW w:type="dxa" w:w="2880"/>
          </w:tcPr>
          <w:p>
            <w:r>
              <w:t>35</w:t>
            </w:r>
          </w:p>
        </w:tc>
      </w:tr>
      <w:tr>
        <w:tc>
          <w:tcPr>
            <w:tcW w:type="dxa" w:w="2880"/>
          </w:tcPr>
          <w:p>
            <w:r>
              <w:t>Environmentally friendly</w:t>
            </w:r>
          </w:p>
        </w:tc>
        <w:tc>
          <w:tcPr>
            <w:tcW w:type="dxa" w:w="2880"/>
          </w:tcPr>
          <w:p>
            <w:r>
              <w:t>19</w:t>
            </w:r>
          </w:p>
        </w:tc>
        <w:tc>
          <w:tcPr>
            <w:tcW w:type="dxa" w:w="2880"/>
          </w:tcPr>
          <w:p>
            <w:r>
              <w:t>26</w:t>
            </w:r>
          </w:p>
        </w:tc>
      </w:tr>
      <w:tr>
        <w:tc>
          <w:tcPr>
            <w:tcW w:type="dxa" w:w="2880"/>
          </w:tcPr>
          <w:p>
            <w:r>
              <w:t>Safety choice</w:t>
            </w:r>
          </w:p>
        </w:tc>
        <w:tc>
          <w:tcPr>
            <w:tcW w:type="dxa" w:w="2880"/>
          </w:tcPr>
          <w:p>
            <w:r>
              <w:t>8</w:t>
            </w:r>
          </w:p>
        </w:tc>
        <w:tc>
          <w:tcPr>
            <w:tcW w:type="dxa" w:w="2880"/>
          </w:tcPr>
          <w:p>
            <w:r>
              <w:t>37</w:t>
            </w:r>
          </w:p>
        </w:tc>
      </w:tr>
      <w:tr>
        <w:tc>
          <w:tcPr>
            <w:tcW w:type="dxa" w:w="2880"/>
          </w:tcPr>
          <w:p>
            <w:r>
              <w:t>Prefer other modes</w:t>
            </w:r>
          </w:p>
        </w:tc>
        <w:tc>
          <w:tcPr>
            <w:tcW w:type="dxa" w:w="2880"/>
          </w:tcPr>
          <w:p>
            <w:r>
              <w:t>39</w:t>
            </w:r>
          </w:p>
        </w:tc>
        <w:tc>
          <w:tcPr>
            <w:tcW w:type="dxa" w:w="2880"/>
          </w:tcPr>
          <w:p>
            <w:r>
              <w:t>6</w:t>
            </w:r>
          </w:p>
        </w:tc>
      </w:tr>
    </w:tbl>
    <w:p>
      <w:r/>
    </w:p>
    <w:p>
      <w:r>
        <w:t>&gt; Most people disagree and hold a relatively conservative view of the current public transportation system, which may be a contributing factor to disagreement or a lack of confidence in the metro system functioning in a satisfactory and reliable manner for essential travel.</w:t>
      </w:r>
    </w:p>
    <w:p>
      <w:r/>
    </w:p>
    <w:p>
      <w:r/>
    </w:p>
    <w:p>
      <w:pPr>
        <w:pStyle w:val="Heading2"/>
      </w:pPr>
      <w:r>
        <w:t>Most Important Factor in Travel</w:t>
      </w:r>
    </w:p>
    <w:p>
      <w:r/>
    </w:p>
    <w:tbl>
      <w:tblPr>
        <w:tblW w:type="auto" w:w="0"/>
        <w:tblLook w:firstColumn="1" w:firstRow="1" w:lastColumn="0" w:lastRow="0" w:noHBand="0" w:noVBand="1" w:val="04A0"/>
      </w:tblPr>
      <w:tblGrid>
        <w:gridCol w:w="4320"/>
        <w:gridCol w:w="4320"/>
      </w:tblGrid>
      <w:tr>
        <w:tc>
          <w:tcPr>
            <w:tcW w:type="dxa" w:w="4320"/>
          </w:tcPr>
          <w:p>
            <w:r>
              <w:t>Factor</w:t>
            </w:r>
          </w:p>
        </w:tc>
        <w:tc>
          <w:tcPr>
            <w:tcW w:type="dxa" w:w="4320"/>
          </w:tcPr>
          <w:p>
            <w:r>
              <w:t>Count (%)</w:t>
            </w:r>
          </w:p>
        </w:tc>
      </w:tr>
      <w:tr>
        <w:tc>
          <w:tcPr>
            <w:tcW w:type="dxa" w:w="4320"/>
          </w:tcPr>
          <w:p>
            <w:r>
              <w:t>Travel time</w:t>
            </w:r>
          </w:p>
        </w:tc>
        <w:tc>
          <w:tcPr>
            <w:tcW w:type="dxa" w:w="4320"/>
          </w:tcPr>
          <w:p>
            <w:r>
              <w:t>11 (24%)</w:t>
            </w:r>
          </w:p>
        </w:tc>
      </w:tr>
      <w:tr>
        <w:tc>
          <w:tcPr>
            <w:tcW w:type="dxa" w:w="4320"/>
          </w:tcPr>
          <w:p>
            <w:r>
              <w:t>Close to stations</w:t>
            </w:r>
          </w:p>
        </w:tc>
        <w:tc>
          <w:tcPr>
            <w:tcW w:type="dxa" w:w="4320"/>
          </w:tcPr>
          <w:p>
            <w:r>
              <w:t>3 (6.66%)</w:t>
            </w:r>
          </w:p>
        </w:tc>
      </w:tr>
      <w:tr>
        <w:tc>
          <w:tcPr>
            <w:tcW w:type="dxa" w:w="4320"/>
          </w:tcPr>
          <w:p>
            <w:r>
              <w:t>Comfort</w:t>
            </w:r>
          </w:p>
        </w:tc>
        <w:tc>
          <w:tcPr>
            <w:tcW w:type="dxa" w:w="4320"/>
          </w:tcPr>
          <w:p>
            <w:r>
              <w:t>6 (13.33%)</w:t>
            </w:r>
          </w:p>
        </w:tc>
      </w:tr>
      <w:tr>
        <w:tc>
          <w:tcPr>
            <w:tcW w:type="dxa" w:w="4320"/>
          </w:tcPr>
          <w:p>
            <w:r>
              <w:t>Safety</w:t>
            </w:r>
          </w:p>
        </w:tc>
        <w:tc>
          <w:tcPr>
            <w:tcW w:type="dxa" w:w="4320"/>
          </w:tcPr>
          <w:p>
            <w:r>
              <w:t>14 (31%)</w:t>
            </w:r>
          </w:p>
        </w:tc>
      </w:tr>
      <w:tr>
        <w:tc>
          <w:tcPr>
            <w:tcW w:type="dxa" w:w="4320"/>
          </w:tcPr>
          <w:p>
            <w:r>
              <w:t>Expense (fare)</w:t>
            </w:r>
          </w:p>
        </w:tc>
        <w:tc>
          <w:tcPr>
            <w:tcW w:type="dxa" w:w="4320"/>
          </w:tcPr>
          <w:p>
            <w:r>
              <w:t>5 (11%)</w:t>
            </w:r>
          </w:p>
        </w:tc>
      </w:tr>
      <w:tr>
        <w:tc>
          <w:tcPr>
            <w:tcW w:type="dxa" w:w="4320"/>
          </w:tcPr>
          <w:p>
            <w:r>
              <w:t>On time</w:t>
            </w:r>
          </w:p>
        </w:tc>
        <w:tc>
          <w:tcPr>
            <w:tcW w:type="dxa" w:w="4320"/>
          </w:tcPr>
          <w:p>
            <w:r>
              <w:t>6 (13.33%)</w:t>
            </w:r>
          </w:p>
        </w:tc>
      </w:tr>
      <w:tr>
        <w:tc>
          <w:tcPr>
            <w:tcW w:type="dxa" w:w="4320"/>
          </w:tcPr>
          <w:p>
            <w:r>
              <w:t>Environmental impact</w:t>
            </w:r>
          </w:p>
        </w:tc>
        <w:tc>
          <w:tcPr>
            <w:tcW w:type="dxa" w:w="4320"/>
          </w:tcPr>
          <w:p>
            <w:r>
              <w:t>0</w:t>
            </w:r>
          </w:p>
        </w:tc>
      </w:tr>
    </w:tbl>
    <w:p>
      <w:r/>
    </w:p>
    <w:p>
      <w:r/>
    </w:p>
    <w:p>
      <w:pPr>
        <w:pStyle w:val="Heading2"/>
      </w:pPr>
      <w:r>
        <w:t>Construction Impact on Commuting Time</w:t>
      </w:r>
    </w:p>
    <w:p>
      <w:r/>
    </w:p>
    <w:tbl>
      <w:tblPr>
        <w:tblW w:type="auto" w:w="0"/>
        <w:tblLook w:firstColumn="1" w:firstRow="1" w:lastColumn="0" w:lastRow="0" w:noHBand="0" w:noVBand="1" w:val="04A0"/>
      </w:tblPr>
      <w:tblGrid>
        <w:gridCol w:w="4320"/>
        <w:gridCol w:w="4320"/>
      </w:tblGrid>
      <w:tr>
        <w:tc>
          <w:tcPr>
            <w:tcW w:type="dxa" w:w="4320"/>
          </w:tcPr>
          <w:p>
            <w:r>
              <w:t>Change</w:t>
            </w:r>
          </w:p>
        </w:tc>
        <w:tc>
          <w:tcPr>
            <w:tcW w:type="dxa" w:w="4320"/>
          </w:tcPr>
          <w:p>
            <w:r>
              <w:t>Count</w:t>
            </w:r>
          </w:p>
        </w:tc>
      </w:tr>
      <w:tr>
        <w:tc>
          <w:tcPr>
            <w:tcW w:type="dxa" w:w="4320"/>
          </w:tcPr>
          <w:p>
            <w:r>
              <w:t>Increase</w:t>
            </w:r>
          </w:p>
        </w:tc>
        <w:tc>
          <w:tcPr>
            <w:tcW w:type="dxa" w:w="4320"/>
          </w:tcPr>
          <w:p>
            <w:r>
              <w:t>31</w:t>
            </w:r>
          </w:p>
        </w:tc>
      </w:tr>
      <w:tr>
        <w:tc>
          <w:tcPr>
            <w:tcW w:type="dxa" w:w="4320"/>
          </w:tcPr>
          <w:p>
            <w:r>
              <w:t>Same</w:t>
            </w:r>
          </w:p>
        </w:tc>
        <w:tc>
          <w:tcPr>
            <w:tcW w:type="dxa" w:w="4320"/>
          </w:tcPr>
          <w:p>
            <w:r>
              <w:t>6</w:t>
            </w:r>
          </w:p>
        </w:tc>
      </w:tr>
      <w:tr>
        <w:tc>
          <w:tcPr>
            <w:tcW w:type="dxa" w:w="4320"/>
          </w:tcPr>
          <w:p>
            <w:r>
              <w:t>Decrease</w:t>
            </w:r>
          </w:p>
        </w:tc>
        <w:tc>
          <w:tcPr>
            <w:tcW w:type="dxa" w:w="4320"/>
          </w:tcPr>
          <w:p>
            <w:r>
              <w:t>8</w:t>
            </w:r>
          </w:p>
        </w:tc>
      </w:tr>
    </w:tbl>
    <w:p>
      <w:r/>
    </w:p>
    <w:p>
      <w:r/>
    </w:p>
    <w:p>
      <w:pPr>
        <w:pStyle w:val="Heading2"/>
      </w:pPr>
      <w:r>
        <w:t>After Implementation: Mode to Station</w:t>
      </w:r>
    </w:p>
    <w:p>
      <w:r/>
    </w:p>
    <w:tbl>
      <w:tblPr>
        <w:tblW w:type="auto" w:w="0"/>
        <w:tblLook w:firstColumn="1" w:firstRow="1" w:lastColumn="0" w:lastRow="0" w:noHBand="0" w:noVBand="1" w:val="04A0"/>
      </w:tblPr>
      <w:tblGrid>
        <w:gridCol w:w="4320"/>
        <w:gridCol w:w="4320"/>
      </w:tblGrid>
      <w:tr>
        <w:tc>
          <w:tcPr>
            <w:tcW w:type="dxa" w:w="4320"/>
          </w:tcPr>
          <w:p>
            <w:r>
              <w:t>Mode</w:t>
            </w:r>
          </w:p>
        </w:tc>
        <w:tc>
          <w:tcPr>
            <w:tcW w:type="dxa" w:w="4320"/>
          </w:tcPr>
          <w:p>
            <w:r>
              <w:t>Count</w:t>
            </w:r>
          </w:p>
        </w:tc>
      </w:tr>
      <w:tr>
        <w:tc>
          <w:tcPr>
            <w:tcW w:type="dxa" w:w="4320"/>
          </w:tcPr>
          <w:p>
            <w:r>
              <w:t>Walk</w:t>
            </w:r>
          </w:p>
        </w:tc>
        <w:tc>
          <w:tcPr>
            <w:tcW w:type="dxa" w:w="4320"/>
          </w:tcPr>
          <w:p>
            <w:r>
              <w:t>33</w:t>
            </w:r>
          </w:p>
        </w:tc>
      </w:tr>
      <w:tr>
        <w:tc>
          <w:tcPr>
            <w:tcW w:type="dxa" w:w="4320"/>
          </w:tcPr>
          <w:p>
            <w:r>
              <w:t>Bicycle</w:t>
            </w:r>
          </w:p>
        </w:tc>
        <w:tc>
          <w:tcPr>
            <w:tcW w:type="dxa" w:w="4320"/>
          </w:tcPr>
          <w:p>
            <w:r>
              <w:t>6</w:t>
            </w:r>
          </w:p>
        </w:tc>
      </w:tr>
      <w:tr>
        <w:tc>
          <w:tcPr>
            <w:tcW w:type="dxa" w:w="4320"/>
          </w:tcPr>
          <w:p>
            <w:r>
              <w:t>Zonal bus</w:t>
            </w:r>
          </w:p>
        </w:tc>
        <w:tc>
          <w:tcPr>
            <w:tcW w:type="dxa" w:w="4320"/>
          </w:tcPr>
          <w:p>
            <w:r>
              <w:t>1</w:t>
            </w:r>
          </w:p>
        </w:tc>
      </w:tr>
      <w:tr>
        <w:tc>
          <w:tcPr>
            <w:tcW w:type="dxa" w:w="4320"/>
          </w:tcPr>
          <w:p>
            <w:r>
              <w:t>BRT</w:t>
            </w:r>
          </w:p>
        </w:tc>
        <w:tc>
          <w:tcPr>
            <w:tcW w:type="dxa" w:w="4320"/>
          </w:tcPr>
          <w:p>
            <w:r>
              <w:t>1</w:t>
            </w:r>
          </w:p>
        </w:tc>
      </w:tr>
      <w:tr>
        <w:tc>
          <w:tcPr>
            <w:tcW w:type="dxa" w:w="4320"/>
          </w:tcPr>
          <w:p>
            <w:r>
              <w:t>Taxi</w:t>
            </w:r>
          </w:p>
        </w:tc>
        <w:tc>
          <w:tcPr>
            <w:tcW w:type="dxa" w:w="4320"/>
          </w:tcPr>
          <w:p>
            <w:r>
              <w:t>1</w:t>
            </w:r>
          </w:p>
        </w:tc>
      </w:tr>
      <w:tr>
        <w:tc>
          <w:tcPr>
            <w:tcW w:type="dxa" w:w="4320"/>
          </w:tcPr>
          <w:p>
            <w:r>
              <w:t>Other</w:t>
            </w:r>
          </w:p>
        </w:tc>
        <w:tc>
          <w:tcPr>
            <w:tcW w:type="dxa" w:w="4320"/>
          </w:tcPr>
          <w:p>
            <w:r>
              <w:t>3</w:t>
            </w:r>
          </w:p>
        </w:tc>
      </w:tr>
    </w:tbl>
    <w:p>
      <w:r/>
    </w:p>
    <w:p>
      <w:r/>
      <w:r>
        <w:rPr>
          <w:b/>
        </w:rPr>
        <w:t>Fare Willing to Pay:</w:t>
      </w:r>
      <w:r/>
    </w:p>
    <w:p>
      <w:r>
        <w:t xml:space="preserve">38 (84%) are willing to pay </w:t>
      </w:r>
      <w:r>
        <w:rPr>
          <w:b/>
        </w:rPr>
        <w:t>$0 to $3,200</w:t>
      </w:r>
      <w:r/>
    </w:p>
    <w:p>
      <w:r/>
    </w:p>
    <w:p>
      <w:r/>
    </w:p>
    <w:p>
      <w:pPr>
        <w:pStyle w:val="Heading2"/>
      </w:pPr>
      <w:r>
        <w:t>Expected Impact Perception</w:t>
      </w:r>
    </w:p>
    <w:p>
      <w:r/>
    </w:p>
    <w:p>
      <w:pPr>
        <w:pStyle w:val="Heading3"/>
      </w:pPr>
      <w:r>
        <w:t>Renting &amp; Property Cost</w:t>
      </w:r>
    </w:p>
    <w:p>
      <w:r>
        <w:t>- Increase: 30</w:t>
      </w:r>
    </w:p>
    <w:p>
      <w:r>
        <w:t>- No change: 10</w:t>
      </w:r>
    </w:p>
    <w:p>
      <w:r>
        <w:t>- Decrease: 5</w:t>
      </w:r>
    </w:p>
    <w:p>
      <w:r/>
    </w:p>
    <w:p>
      <w:pPr>
        <w:pStyle w:val="Heading3"/>
      </w:pPr>
      <w:r>
        <w:t>Community Safety</w:t>
      </w:r>
    </w:p>
    <w:p>
      <w:r>
        <w:t>- Increase: 17</w:t>
      </w:r>
    </w:p>
    <w:p>
      <w:r>
        <w:t>- No change: 15</w:t>
      </w:r>
    </w:p>
    <w:p>
      <w:r>
        <w:t>- Decrease: 13</w:t>
      </w:r>
    </w:p>
    <w:p>
      <w:r/>
    </w:p>
    <w:p>
      <w:pPr>
        <w:pStyle w:val="Heading3"/>
      </w:pPr>
      <w:r>
        <w:t>Living Expense</w:t>
      </w:r>
    </w:p>
    <w:p>
      <w:r>
        <w:t>- Increase: 27</w:t>
      </w:r>
    </w:p>
    <w:p>
      <w:r>
        <w:t>- No change: 14</w:t>
      </w:r>
    </w:p>
    <w:p>
      <w:r>
        <w:t>- Decrease: 4</w:t>
      </w:r>
    </w:p>
    <w:p>
      <w:r/>
    </w:p>
    <w:p>
      <w:pPr>
        <w:pStyle w:val="Heading3"/>
      </w:pPr>
      <w:r>
        <w:t>Local Commercial Activity</w:t>
      </w:r>
    </w:p>
    <w:p>
      <w:r>
        <w:t>- Increase: 20</w:t>
      </w:r>
    </w:p>
    <w:p>
      <w:r>
        <w:t>- No change: 16</w:t>
      </w:r>
    </w:p>
    <w:p>
      <w:r>
        <w:t>- Decrease: 9</w:t>
      </w:r>
    </w:p>
    <w:p>
      <w:r/>
    </w:p>
    <w:p>
      <w:pPr>
        <w:pStyle w:val="Heading3"/>
      </w:pPr>
      <w:r>
        <w:t>Public Transit Satisfaction</w:t>
      </w:r>
    </w:p>
    <w:p>
      <w:r>
        <w:t>- Increase: 14</w:t>
      </w:r>
    </w:p>
    <w:p>
      <w:r>
        <w:t>- No change: 14</w:t>
      </w:r>
    </w:p>
    <w:p>
      <w:r>
        <w:t>- Decrease: 17</w:t>
      </w:r>
    </w:p>
    <w:p>
      <w:r/>
    </w:p>
    <w:p>
      <w:pPr>
        <w:pStyle w:val="Heading3"/>
      </w:pPr>
      <w:r>
        <w:t>Commuting Time</w:t>
      </w:r>
    </w:p>
    <w:p>
      <w:r>
        <w:t>- Increase: 8</w:t>
      </w:r>
    </w:p>
    <w:p>
      <w:r>
        <w:t>- No change: 18</w:t>
      </w:r>
    </w:p>
    <w:p>
      <w:r>
        <w:t>- Decrease: 19</w:t>
      </w:r>
    </w:p>
    <w:p>
      <w:r/>
    </w:p>
    <w:p>
      <w:pPr>
        <w:pStyle w:val="Heading3"/>
      </w:pPr>
      <w:r>
        <w:t>Public Space</w:t>
      </w:r>
    </w:p>
    <w:p>
      <w:r>
        <w:t>- Increase: 13</w:t>
      </w:r>
    </w:p>
    <w:p>
      <w:r>
        <w:t>- No change: 10</w:t>
      </w:r>
    </w:p>
    <w:p>
      <w:r>
        <w:t>- Decrease: 22</w:t>
      </w:r>
    </w:p>
    <w:p>
      <w:r/>
    </w:p>
    <w:p>
      <w:pPr>
        <w:pStyle w:val="Heading3"/>
      </w:pPr>
      <w:r>
        <w:t>New Housing Project Development</w:t>
      </w:r>
    </w:p>
    <w:p>
      <w:r>
        <w:t>- Increase: 21</w:t>
      </w:r>
    </w:p>
    <w:p>
      <w:r>
        <w:t>- No change: 14</w:t>
      </w:r>
    </w:p>
    <w:p>
      <w:r>
        <w:t>- Decrease: 10</w:t>
      </w:r>
    </w:p>
    <w:p>
      <w:r/>
    </w:p>
    <w:p>
      <w:pPr>
        <w:pStyle w:val="Heading2"/>
      </w:pPr>
      <w:r>
        <w:t>Key Takeaway</w:t>
      </w:r>
    </w:p>
    <w:p>
      <w:r/>
    </w:p>
    <w:p>
      <w:r>
        <w:t>Non-supporters of the Bogotá Metro project are predominantly renters (69%), long-term residents, and solo householders, with a strong reliance on BRT and SITP systems. Despite being public transport users, they express widespread dissatisfaction with current services, citing concerns over punctuality, safety, and comfort. Their top priorities in transportation are safety and travel time, yet most expect the Metro to increase housing costs, living expenses, and construction-related commute times. A large majority (84%) are only willing to pay the lowest fare tier, and over half plan to walk to future Metro stations. Overall, the profile suggests that non-supporters are cost-conscious, safety-oriented, and skeptical of public infrastructure improvements, highlighting the need for targeted communication and design strategies that address affordability, accessibility, and trust in service reliability.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