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E39EB" w14:textId="77777777" w:rsidR="006A1E9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7860C66F" w14:textId="77777777" w:rsidR="006A1E91" w:rsidRDefault="006A1E9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6A1E91" w14:paraId="3B551B22" w14:textId="77777777">
        <w:trPr>
          <w:trHeight w:val="278"/>
          <w:tblHeader/>
        </w:trPr>
        <w:tc>
          <w:tcPr>
            <w:tcW w:w="4515" w:type="dxa"/>
            <w:tcMar>
              <w:top w:w="100" w:type="dxa"/>
              <w:left w:w="100" w:type="dxa"/>
              <w:bottom w:w="100" w:type="dxa"/>
              <w:right w:w="100" w:type="dxa"/>
            </w:tcMar>
          </w:tcPr>
          <w:p w14:paraId="33A976E7" w14:textId="77777777" w:rsidR="006A1E9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tcMar>
              <w:top w:w="100" w:type="dxa"/>
              <w:left w:w="100" w:type="dxa"/>
              <w:bottom w:w="100" w:type="dxa"/>
              <w:right w:w="100" w:type="dxa"/>
            </w:tcMar>
          </w:tcPr>
          <w:p w14:paraId="07434906" w14:textId="507251F9" w:rsidR="006A1E91" w:rsidRDefault="00E06B5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July</w:t>
            </w:r>
            <w:r w:rsidR="00000000">
              <w:rPr>
                <w:rFonts w:ascii="Times New Roman" w:eastAsia="Times New Roman" w:hAnsi="Times New Roman" w:cs="Times New Roman"/>
                <w:sz w:val="24"/>
                <w:szCs w:val="24"/>
              </w:rPr>
              <w:t xml:space="preserve"> </w:t>
            </w:r>
            <w:r w:rsidR="00000000">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5</w:t>
            </w:r>
          </w:p>
        </w:tc>
      </w:tr>
      <w:tr w:rsidR="006A1E91" w14:paraId="083F5B5B" w14:textId="77777777">
        <w:trPr>
          <w:trHeight w:val="278"/>
          <w:tblHeader/>
        </w:trPr>
        <w:tc>
          <w:tcPr>
            <w:tcW w:w="4515" w:type="dxa"/>
            <w:tcMar>
              <w:top w:w="100" w:type="dxa"/>
              <w:left w:w="100" w:type="dxa"/>
              <w:bottom w:w="100" w:type="dxa"/>
              <w:right w:w="100" w:type="dxa"/>
            </w:tcMar>
          </w:tcPr>
          <w:p w14:paraId="4AFECAC8" w14:textId="77777777" w:rsidR="006A1E91"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tcMar>
              <w:top w:w="100" w:type="dxa"/>
              <w:left w:w="100" w:type="dxa"/>
              <w:bottom w:w="100" w:type="dxa"/>
              <w:right w:w="100" w:type="dxa"/>
            </w:tcMar>
          </w:tcPr>
          <w:p w14:paraId="2BB635EC" w14:textId="39D65150" w:rsidR="006A1E91" w:rsidRPr="007E350E" w:rsidRDefault="007E350E">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7E350E">
              <w:rPr>
                <w:rFonts w:ascii="Times New Roman" w:eastAsia="Times New Roman" w:hAnsi="Times New Roman" w:cs="Times New Roman"/>
                <w:color w:val="000000"/>
                <w:sz w:val="24"/>
                <w:szCs w:val="24"/>
              </w:rPr>
              <w:t>SWUID20250184320</w:t>
            </w:r>
          </w:p>
        </w:tc>
      </w:tr>
      <w:tr w:rsidR="006A1E91" w14:paraId="54843F64" w14:textId="77777777">
        <w:trPr>
          <w:trHeight w:val="278"/>
          <w:tblHeader/>
        </w:trPr>
        <w:tc>
          <w:tcPr>
            <w:tcW w:w="4515" w:type="dxa"/>
            <w:tcMar>
              <w:top w:w="100" w:type="dxa"/>
              <w:left w:w="100" w:type="dxa"/>
              <w:bottom w:w="100" w:type="dxa"/>
              <w:right w:w="100" w:type="dxa"/>
            </w:tcMar>
          </w:tcPr>
          <w:p w14:paraId="01A06384" w14:textId="77777777" w:rsidR="006A1E9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tcMar>
              <w:top w:w="100" w:type="dxa"/>
              <w:left w:w="100" w:type="dxa"/>
              <w:bottom w:w="100" w:type="dxa"/>
              <w:right w:w="100" w:type="dxa"/>
            </w:tcMar>
          </w:tcPr>
          <w:p w14:paraId="01166DF0" w14:textId="623C7B48" w:rsidR="006A1E91" w:rsidRDefault="007E350E">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 Payment Fraud Detection</w:t>
            </w:r>
          </w:p>
        </w:tc>
      </w:tr>
      <w:tr w:rsidR="006A1E91" w14:paraId="6E86F84A" w14:textId="77777777">
        <w:trPr>
          <w:trHeight w:val="278"/>
          <w:tblHeader/>
        </w:trPr>
        <w:tc>
          <w:tcPr>
            <w:tcW w:w="4515" w:type="dxa"/>
            <w:tcMar>
              <w:top w:w="100" w:type="dxa"/>
              <w:left w:w="100" w:type="dxa"/>
              <w:bottom w:w="100" w:type="dxa"/>
              <w:right w:w="100" w:type="dxa"/>
            </w:tcMar>
          </w:tcPr>
          <w:p w14:paraId="7080D54C" w14:textId="77777777" w:rsidR="006A1E91"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tcMar>
              <w:top w:w="100" w:type="dxa"/>
              <w:left w:w="100" w:type="dxa"/>
              <w:bottom w:w="100" w:type="dxa"/>
              <w:right w:w="100" w:type="dxa"/>
            </w:tcMar>
          </w:tcPr>
          <w:p w14:paraId="1983C0C5" w14:textId="77777777" w:rsidR="006A1E91"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4AF02DF6" w14:textId="77777777" w:rsidR="006A1E91" w:rsidRDefault="006A1E91">
      <w:pPr>
        <w:widowControl w:val="0"/>
        <w:pBdr>
          <w:top w:val="nil"/>
          <w:left w:val="nil"/>
          <w:bottom w:val="nil"/>
          <w:right w:val="nil"/>
          <w:between w:val="nil"/>
        </w:pBdr>
        <w:rPr>
          <w:rFonts w:ascii="Times New Roman" w:eastAsia="Times New Roman" w:hAnsi="Times New Roman" w:cs="Times New Roman"/>
          <w:color w:val="000000"/>
        </w:rPr>
      </w:pPr>
    </w:p>
    <w:p w14:paraId="7B20129A" w14:textId="4F54445B" w:rsidR="006A1E91" w:rsidRDefault="00000000" w:rsidP="007E350E">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Problem Statements</w:t>
      </w:r>
      <w:r w:rsidR="007E350E">
        <w:rPr>
          <w:rFonts w:ascii="Times New Roman" w:eastAsia="Times New Roman" w:hAnsi="Times New Roman" w:cs="Times New Roman"/>
          <w:b/>
          <w:sz w:val="24"/>
          <w:szCs w:val="24"/>
        </w:rPr>
        <w:t>:</w:t>
      </w:r>
      <w:r>
        <w:rPr>
          <w:rFonts w:ascii="Times New Roman" w:eastAsia="Times New Roman" w:hAnsi="Times New Roman" w:cs="Times New Roman"/>
          <w:b/>
          <w:color w:val="000000"/>
          <w:sz w:val="24"/>
          <w:szCs w:val="24"/>
        </w:rPr>
        <w:t xml:space="preserve"> </w:t>
      </w:r>
    </w:p>
    <w:p w14:paraId="18768ECA" w14:textId="77777777" w:rsidR="006A1E91" w:rsidRDefault="006A1E91">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61D6BF89" w14:textId="38C62B3B" w:rsidR="00D02AD4" w:rsidRPr="00D02AD4" w:rsidRDefault="00D02AD4" w:rsidP="00D02AD4">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b/>
          <w:bCs/>
          <w:color w:val="000000"/>
          <w:sz w:val="24"/>
          <w:szCs w:val="24"/>
        </w:rPr>
      </w:pPr>
      <w:r w:rsidRPr="00D02AD4">
        <w:rPr>
          <w:rFonts w:ascii="Times New Roman" w:eastAsia="Times New Roman" w:hAnsi="Times New Roman" w:cs="Times New Roman"/>
          <w:b/>
          <w:bCs/>
          <w:color w:val="000000"/>
          <w:sz w:val="24"/>
          <w:szCs w:val="24"/>
        </w:rPr>
        <w:t>Statement</w:t>
      </w:r>
      <w:r>
        <w:rPr>
          <w:rFonts w:ascii="Times New Roman" w:eastAsia="Times New Roman" w:hAnsi="Times New Roman" w:cs="Times New Roman"/>
          <w:b/>
          <w:bCs/>
          <w:color w:val="000000"/>
          <w:sz w:val="24"/>
          <w:szCs w:val="24"/>
        </w:rPr>
        <w:t xml:space="preserve"> 1</w:t>
      </w:r>
      <w:r w:rsidRPr="00D02AD4">
        <w:rPr>
          <w:rFonts w:ascii="Times New Roman" w:eastAsia="Times New Roman" w:hAnsi="Times New Roman" w:cs="Times New Roman"/>
          <w:b/>
          <w:bCs/>
          <w:color w:val="000000"/>
          <w:sz w:val="24"/>
          <w:szCs w:val="24"/>
        </w:rPr>
        <w:t>:</w:t>
      </w:r>
    </w:p>
    <w:p w14:paraId="067EC3F0" w14:textId="2B64A680" w:rsidR="00D02AD4" w:rsidRPr="00D02AD4" w:rsidRDefault="00D02AD4" w:rsidP="00D02AD4">
      <w:pPr>
        <w:widowControl w:val="0"/>
        <w:pBdr>
          <w:top w:val="nil"/>
          <w:left w:val="nil"/>
          <w:bottom w:val="nil"/>
          <w:right w:val="nil"/>
          <w:between w:val="nil"/>
        </w:pBdr>
        <w:spacing w:before="183" w:line="208" w:lineRule="auto"/>
        <w:ind w:left="20" w:right="1030" w:hanging="20"/>
        <w:jc w:val="both"/>
        <w:rPr>
          <w:rFonts w:ascii="Times New Roman" w:eastAsia="Times New Roman" w:hAnsi="Times New Roman" w:cs="Times New Roman"/>
          <w:color w:val="000000"/>
          <w:sz w:val="24"/>
          <w:szCs w:val="24"/>
        </w:rPr>
      </w:pPr>
      <w:r w:rsidRPr="00D02AD4">
        <w:rPr>
          <w:rFonts w:ascii="Times New Roman" w:eastAsia="Times New Roman" w:hAnsi="Times New Roman" w:cs="Times New Roman"/>
          <w:color w:val="000000"/>
          <w:sz w:val="24"/>
          <w:szCs w:val="24"/>
        </w:rPr>
        <w:t>For regular users of digital payments, the convenience of cashless transactions is often overshadowed by rising concerns about stealthy frauds. Despite being tech-aware, these users are vulnerable to advanced fraudulent techniques like phishing, token misuse, or transaction manipulation that bypass traditional alerts. The lack of intelligent, real-time fraud detection creates friction in their daily routines, leading to hesitation in using services they once relied on confidently.</w:t>
      </w:r>
    </w:p>
    <w:p w14:paraId="0BB5BADE" w14:textId="10BCFF86" w:rsidR="006A1E91" w:rsidRDefault="00D02AD4">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b/>
          <w:bCs/>
          <w:color w:val="000000"/>
          <w:sz w:val="24"/>
          <w:szCs w:val="24"/>
        </w:rPr>
      </w:pPr>
      <w:r w:rsidRPr="00D02AD4">
        <w:rPr>
          <w:rFonts w:ascii="Times New Roman" w:eastAsia="Times New Roman" w:hAnsi="Times New Roman" w:cs="Times New Roman"/>
          <w:b/>
          <w:bCs/>
          <w:color w:val="000000"/>
          <w:sz w:val="24"/>
          <w:szCs w:val="24"/>
        </w:rPr>
        <w:t>Statement 2:</w:t>
      </w:r>
    </w:p>
    <w:p w14:paraId="3F9AE2FE" w14:textId="5B25D10C" w:rsidR="00D02AD4" w:rsidRPr="00D02AD4" w:rsidRDefault="00D02AD4" w:rsidP="00D02AD4">
      <w:pPr>
        <w:widowControl w:val="0"/>
        <w:pBdr>
          <w:top w:val="nil"/>
          <w:left w:val="nil"/>
          <w:bottom w:val="nil"/>
          <w:right w:val="nil"/>
          <w:between w:val="nil"/>
        </w:pBdr>
        <w:spacing w:before="183" w:line="208" w:lineRule="auto"/>
        <w:ind w:left="20" w:right="1030" w:hanging="20"/>
        <w:jc w:val="both"/>
        <w:rPr>
          <w:rFonts w:ascii="Times New Roman" w:eastAsia="Times New Roman" w:hAnsi="Times New Roman" w:cs="Times New Roman"/>
          <w:color w:val="000000"/>
          <w:sz w:val="24"/>
          <w:szCs w:val="24"/>
        </w:rPr>
      </w:pPr>
      <w:r w:rsidRPr="00D02AD4">
        <w:rPr>
          <w:rFonts w:ascii="Times New Roman" w:eastAsia="Times New Roman" w:hAnsi="Times New Roman" w:cs="Times New Roman"/>
          <w:color w:val="000000"/>
          <w:sz w:val="24"/>
          <w:szCs w:val="24"/>
        </w:rPr>
        <w:t>Customers who place deep trust in online banking systems often feel blindsided when fraudulent activity occurs. Their confidence in the platform’s security leaves them unprepared for anomalies, making the breach not only financial but emotional. The betrayal of that trust—due to delayed alerts, vague explanations, or lack of user-centric prevention tools—can result in a lasting fear of digital platforms, damaging their willingness to engage with online financial services again.</w:t>
      </w:r>
    </w:p>
    <w:p w14:paraId="5682611A" w14:textId="24B2A11C" w:rsidR="006A1E91" w:rsidRDefault="00000000" w:rsidP="00D02AD4">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62D4002E" w14:textId="77777777" w:rsidR="006A1E91" w:rsidRDefault="006A1E91">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901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3"/>
        <w:gridCol w:w="1568"/>
        <w:gridCol w:w="1429"/>
        <w:gridCol w:w="1356"/>
        <w:gridCol w:w="1175"/>
        <w:gridCol w:w="1706"/>
      </w:tblGrid>
      <w:tr w:rsidR="00D02AD4" w14:paraId="286F682E" w14:textId="77777777" w:rsidTr="00D02AD4">
        <w:trPr>
          <w:trHeight w:val="612"/>
        </w:trPr>
        <w:tc>
          <w:tcPr>
            <w:tcW w:w="1783" w:type="dxa"/>
            <w:tcMar>
              <w:top w:w="100" w:type="dxa"/>
              <w:left w:w="100" w:type="dxa"/>
              <w:bottom w:w="100" w:type="dxa"/>
              <w:right w:w="100" w:type="dxa"/>
            </w:tcMar>
          </w:tcPr>
          <w:p w14:paraId="7A17C777" w14:textId="77777777" w:rsidR="006A1E91"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7D4C0980" w14:textId="77777777" w:rsidR="006A1E91"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68" w:type="dxa"/>
            <w:tcMar>
              <w:top w:w="100" w:type="dxa"/>
              <w:left w:w="100" w:type="dxa"/>
              <w:bottom w:w="100" w:type="dxa"/>
              <w:right w:w="100" w:type="dxa"/>
            </w:tcMar>
          </w:tcPr>
          <w:p w14:paraId="69157BA4" w14:textId="77777777" w:rsidR="006A1E91"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7835446D" w14:textId="77777777" w:rsidR="006A1E91"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429" w:type="dxa"/>
            <w:tcMar>
              <w:top w:w="100" w:type="dxa"/>
              <w:left w:w="100" w:type="dxa"/>
              <w:bottom w:w="100" w:type="dxa"/>
              <w:right w:w="100" w:type="dxa"/>
            </w:tcMar>
          </w:tcPr>
          <w:p w14:paraId="2E8F017C" w14:textId="77777777" w:rsidR="006A1E91"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356" w:type="dxa"/>
            <w:tcMar>
              <w:top w:w="100" w:type="dxa"/>
              <w:left w:w="100" w:type="dxa"/>
              <w:bottom w:w="100" w:type="dxa"/>
              <w:right w:w="100" w:type="dxa"/>
            </w:tcMar>
          </w:tcPr>
          <w:p w14:paraId="3F38BD80" w14:textId="77777777" w:rsidR="006A1E91"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175" w:type="dxa"/>
            <w:tcMar>
              <w:top w:w="100" w:type="dxa"/>
              <w:left w:w="100" w:type="dxa"/>
              <w:bottom w:w="100" w:type="dxa"/>
              <w:right w:w="100" w:type="dxa"/>
            </w:tcMar>
          </w:tcPr>
          <w:p w14:paraId="7ECAADF7" w14:textId="77777777" w:rsidR="006A1E91"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706" w:type="dxa"/>
            <w:tcMar>
              <w:top w:w="100" w:type="dxa"/>
              <w:left w:w="100" w:type="dxa"/>
              <w:bottom w:w="100" w:type="dxa"/>
              <w:right w:w="100" w:type="dxa"/>
            </w:tcMar>
          </w:tcPr>
          <w:p w14:paraId="4080CE19" w14:textId="77777777" w:rsidR="006A1E91"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D02AD4" w14:paraId="76D76863" w14:textId="77777777" w:rsidTr="00D02AD4">
        <w:trPr>
          <w:trHeight w:val="1791"/>
        </w:trPr>
        <w:tc>
          <w:tcPr>
            <w:tcW w:w="1783" w:type="dxa"/>
            <w:tcMar>
              <w:top w:w="100" w:type="dxa"/>
              <w:left w:w="100" w:type="dxa"/>
              <w:bottom w:w="100" w:type="dxa"/>
              <w:right w:w="100" w:type="dxa"/>
            </w:tcMar>
          </w:tcPr>
          <w:p w14:paraId="54FC710B" w14:textId="7E02B230" w:rsidR="006A1E91" w:rsidRDefault="00D02AD4">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sidRPr="00D02AD4">
              <w:rPr>
                <w:rFonts w:ascii="Times New Roman" w:eastAsia="Times New Roman" w:hAnsi="Times New Roman" w:cs="Times New Roman"/>
                <w:color w:val="000000"/>
              </w:rPr>
              <w:t>A regular digital payment user</w:t>
            </w:r>
          </w:p>
        </w:tc>
        <w:tc>
          <w:tcPr>
            <w:tcW w:w="1568" w:type="dxa"/>
            <w:tcMar>
              <w:top w:w="100" w:type="dxa"/>
              <w:left w:w="100" w:type="dxa"/>
              <w:bottom w:w="100" w:type="dxa"/>
              <w:right w:w="100" w:type="dxa"/>
            </w:tcMar>
          </w:tcPr>
          <w:p w14:paraId="7389A602" w14:textId="1D8B9162" w:rsidR="006A1E91" w:rsidRDefault="00D02AD4">
            <w:pPr>
              <w:widowControl w:val="0"/>
              <w:pBdr>
                <w:top w:val="nil"/>
                <w:left w:val="nil"/>
                <w:bottom w:val="nil"/>
                <w:right w:val="nil"/>
                <w:between w:val="nil"/>
              </w:pBdr>
              <w:rPr>
                <w:rFonts w:ascii="Times New Roman" w:eastAsia="Times New Roman" w:hAnsi="Times New Roman" w:cs="Times New Roman"/>
                <w:color w:val="000000"/>
              </w:rPr>
            </w:pPr>
            <w:r w:rsidRPr="00D02AD4">
              <w:rPr>
                <w:rFonts w:ascii="Times New Roman" w:eastAsia="Times New Roman" w:hAnsi="Times New Roman" w:cs="Times New Roman"/>
                <w:color w:val="000000"/>
              </w:rPr>
              <w:t>Make safe online transactions without constantly worrying</w:t>
            </w:r>
          </w:p>
        </w:tc>
        <w:tc>
          <w:tcPr>
            <w:tcW w:w="1429" w:type="dxa"/>
            <w:tcMar>
              <w:top w:w="100" w:type="dxa"/>
              <w:left w:w="100" w:type="dxa"/>
              <w:bottom w:w="100" w:type="dxa"/>
              <w:right w:w="100" w:type="dxa"/>
            </w:tcMar>
          </w:tcPr>
          <w:p w14:paraId="02B293F7" w14:textId="3D87F58A" w:rsidR="006A1E91" w:rsidRDefault="00D02AD4">
            <w:pPr>
              <w:widowControl w:val="0"/>
              <w:pBdr>
                <w:top w:val="nil"/>
                <w:left w:val="nil"/>
                <w:bottom w:val="nil"/>
                <w:right w:val="nil"/>
                <w:between w:val="nil"/>
              </w:pBdr>
              <w:rPr>
                <w:rFonts w:ascii="Times New Roman" w:eastAsia="Times New Roman" w:hAnsi="Times New Roman" w:cs="Times New Roman"/>
                <w:color w:val="000000"/>
              </w:rPr>
            </w:pPr>
            <w:r w:rsidRPr="00D02AD4">
              <w:rPr>
                <w:rFonts w:ascii="Times New Roman" w:eastAsia="Times New Roman" w:hAnsi="Times New Roman" w:cs="Times New Roman"/>
                <w:color w:val="000000"/>
              </w:rPr>
              <w:t>I occasionally see unfamiliar or unauthorized charges</w:t>
            </w:r>
          </w:p>
        </w:tc>
        <w:tc>
          <w:tcPr>
            <w:tcW w:w="1356" w:type="dxa"/>
            <w:tcMar>
              <w:top w:w="100" w:type="dxa"/>
              <w:left w:w="100" w:type="dxa"/>
              <w:bottom w:w="100" w:type="dxa"/>
              <w:right w:w="100" w:type="dxa"/>
            </w:tcMar>
          </w:tcPr>
          <w:p w14:paraId="17E31A50" w14:textId="225A4789" w:rsidR="006A1E91" w:rsidRDefault="00D02AD4">
            <w:pPr>
              <w:widowControl w:val="0"/>
              <w:pBdr>
                <w:top w:val="nil"/>
                <w:left w:val="nil"/>
                <w:bottom w:val="nil"/>
                <w:right w:val="nil"/>
                <w:between w:val="nil"/>
              </w:pBdr>
              <w:rPr>
                <w:rFonts w:ascii="Times New Roman" w:eastAsia="Times New Roman" w:hAnsi="Times New Roman" w:cs="Times New Roman"/>
                <w:color w:val="000000"/>
              </w:rPr>
            </w:pPr>
            <w:r w:rsidRPr="00D02AD4">
              <w:rPr>
                <w:rFonts w:ascii="Times New Roman" w:eastAsia="Times New Roman" w:hAnsi="Times New Roman" w:cs="Times New Roman"/>
                <w:color w:val="000000"/>
              </w:rPr>
              <w:t>I occasionally see unfamiliar or unauthorized charges</w:t>
            </w:r>
          </w:p>
        </w:tc>
        <w:tc>
          <w:tcPr>
            <w:tcW w:w="1175" w:type="dxa"/>
            <w:tcMar>
              <w:top w:w="100" w:type="dxa"/>
              <w:left w:w="100" w:type="dxa"/>
              <w:bottom w:w="100" w:type="dxa"/>
              <w:right w:w="100" w:type="dxa"/>
            </w:tcMar>
          </w:tcPr>
          <w:p w14:paraId="7E752FA6" w14:textId="541424A2" w:rsidR="006A1E91" w:rsidRDefault="00D02AD4">
            <w:pPr>
              <w:widowControl w:val="0"/>
              <w:pBdr>
                <w:top w:val="nil"/>
                <w:left w:val="nil"/>
                <w:bottom w:val="nil"/>
                <w:right w:val="nil"/>
                <w:between w:val="nil"/>
              </w:pBdr>
              <w:rPr>
                <w:rFonts w:ascii="Times New Roman" w:eastAsia="Times New Roman" w:hAnsi="Times New Roman" w:cs="Times New Roman"/>
                <w:color w:val="000000"/>
              </w:rPr>
            </w:pPr>
            <w:r w:rsidRPr="00D02AD4">
              <w:rPr>
                <w:rFonts w:ascii="Times New Roman" w:eastAsia="Times New Roman" w:hAnsi="Times New Roman" w:cs="Times New Roman"/>
                <w:color w:val="000000"/>
              </w:rPr>
              <w:t>There's no real-time fraud alert or blocking system in place</w:t>
            </w:r>
          </w:p>
        </w:tc>
        <w:tc>
          <w:tcPr>
            <w:tcW w:w="1706" w:type="dxa"/>
            <w:tcMar>
              <w:top w:w="100" w:type="dxa"/>
              <w:left w:w="100" w:type="dxa"/>
              <w:bottom w:w="100" w:type="dxa"/>
              <w:right w:w="100" w:type="dxa"/>
            </w:tcMar>
          </w:tcPr>
          <w:p w14:paraId="70B1FA2C" w14:textId="70835CB2" w:rsidR="006A1E91" w:rsidRDefault="00D02AD4">
            <w:pPr>
              <w:widowControl w:val="0"/>
              <w:pBdr>
                <w:top w:val="nil"/>
                <w:left w:val="nil"/>
                <w:bottom w:val="nil"/>
                <w:right w:val="nil"/>
                <w:between w:val="nil"/>
              </w:pBdr>
              <w:rPr>
                <w:rFonts w:ascii="Times New Roman" w:eastAsia="Times New Roman" w:hAnsi="Times New Roman" w:cs="Times New Roman"/>
                <w:color w:val="000000"/>
              </w:rPr>
            </w:pPr>
            <w:r w:rsidRPr="00D02AD4">
              <w:rPr>
                <w:rFonts w:ascii="Times New Roman" w:eastAsia="Times New Roman" w:hAnsi="Times New Roman" w:cs="Times New Roman"/>
                <w:color w:val="000000"/>
              </w:rPr>
              <w:t>Anxious, helpless, and concerned about my money</w:t>
            </w:r>
          </w:p>
        </w:tc>
      </w:tr>
      <w:tr w:rsidR="00D02AD4" w14:paraId="7D78E085" w14:textId="77777777" w:rsidTr="00D02AD4">
        <w:trPr>
          <w:trHeight w:val="310"/>
        </w:trPr>
        <w:tc>
          <w:tcPr>
            <w:tcW w:w="1783" w:type="dxa"/>
            <w:tcMar>
              <w:top w:w="100" w:type="dxa"/>
              <w:left w:w="100" w:type="dxa"/>
              <w:bottom w:w="100" w:type="dxa"/>
              <w:right w:w="100" w:type="dxa"/>
            </w:tcMar>
          </w:tcPr>
          <w:p w14:paraId="40CC884A" w14:textId="1C44604A" w:rsidR="006A1E91" w:rsidRDefault="00D02AD4">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sidRPr="00D02AD4">
              <w:rPr>
                <w:rFonts w:ascii="Times New Roman" w:eastAsia="Times New Roman" w:hAnsi="Times New Roman" w:cs="Times New Roman"/>
                <w:color w:val="000000"/>
              </w:rPr>
              <w:t>A customer who trusts online banking</w:t>
            </w:r>
          </w:p>
        </w:tc>
        <w:tc>
          <w:tcPr>
            <w:tcW w:w="1568" w:type="dxa"/>
            <w:tcMar>
              <w:top w:w="100" w:type="dxa"/>
              <w:left w:w="100" w:type="dxa"/>
              <w:bottom w:w="100" w:type="dxa"/>
              <w:right w:w="100" w:type="dxa"/>
            </w:tcMar>
          </w:tcPr>
          <w:p w14:paraId="01954F23" w14:textId="337006B6" w:rsidR="006A1E91" w:rsidRDefault="00D02AD4">
            <w:pPr>
              <w:widowControl w:val="0"/>
              <w:pBdr>
                <w:top w:val="nil"/>
                <w:left w:val="nil"/>
                <w:bottom w:val="nil"/>
                <w:right w:val="nil"/>
                <w:between w:val="nil"/>
              </w:pBdr>
              <w:rPr>
                <w:rFonts w:ascii="Times New Roman" w:eastAsia="Times New Roman" w:hAnsi="Times New Roman" w:cs="Times New Roman"/>
                <w:color w:val="000000"/>
              </w:rPr>
            </w:pPr>
            <w:r w:rsidRPr="00D02AD4">
              <w:rPr>
                <w:rFonts w:ascii="Times New Roman" w:eastAsia="Times New Roman" w:hAnsi="Times New Roman" w:cs="Times New Roman"/>
                <w:color w:val="000000"/>
              </w:rPr>
              <w:t>Keep my financial data and transactions secure</w:t>
            </w:r>
          </w:p>
        </w:tc>
        <w:tc>
          <w:tcPr>
            <w:tcW w:w="1429" w:type="dxa"/>
            <w:tcMar>
              <w:top w:w="100" w:type="dxa"/>
              <w:left w:w="100" w:type="dxa"/>
              <w:bottom w:w="100" w:type="dxa"/>
              <w:right w:w="100" w:type="dxa"/>
            </w:tcMar>
          </w:tcPr>
          <w:p w14:paraId="5809936E" w14:textId="7B1C04E0" w:rsidR="006A1E91" w:rsidRDefault="00D02AD4">
            <w:pPr>
              <w:widowControl w:val="0"/>
              <w:pBdr>
                <w:top w:val="nil"/>
                <w:left w:val="nil"/>
                <w:bottom w:val="nil"/>
                <w:right w:val="nil"/>
                <w:between w:val="nil"/>
              </w:pBdr>
              <w:rPr>
                <w:rFonts w:ascii="Times New Roman" w:eastAsia="Times New Roman" w:hAnsi="Times New Roman" w:cs="Times New Roman"/>
                <w:color w:val="000000"/>
              </w:rPr>
            </w:pPr>
            <w:r w:rsidRPr="00D02AD4">
              <w:rPr>
                <w:rFonts w:ascii="Times New Roman" w:eastAsia="Times New Roman" w:hAnsi="Times New Roman" w:cs="Times New Roman"/>
                <w:color w:val="000000"/>
              </w:rPr>
              <w:t>Fraudsters keep finding loopholes to bypass basic security</w:t>
            </w:r>
          </w:p>
        </w:tc>
        <w:tc>
          <w:tcPr>
            <w:tcW w:w="1356" w:type="dxa"/>
            <w:tcMar>
              <w:top w:w="100" w:type="dxa"/>
              <w:left w:w="100" w:type="dxa"/>
              <w:bottom w:w="100" w:type="dxa"/>
              <w:right w:w="100" w:type="dxa"/>
            </w:tcMar>
          </w:tcPr>
          <w:p w14:paraId="0269D921" w14:textId="2BE5A6BA" w:rsidR="006A1E91" w:rsidRDefault="00D02AD4">
            <w:pPr>
              <w:widowControl w:val="0"/>
              <w:pBdr>
                <w:top w:val="nil"/>
                <w:left w:val="nil"/>
                <w:bottom w:val="nil"/>
                <w:right w:val="nil"/>
                <w:between w:val="nil"/>
              </w:pBdr>
              <w:rPr>
                <w:rFonts w:ascii="Times New Roman" w:eastAsia="Times New Roman" w:hAnsi="Times New Roman" w:cs="Times New Roman"/>
                <w:color w:val="000000"/>
              </w:rPr>
            </w:pPr>
            <w:r w:rsidRPr="00D02AD4">
              <w:rPr>
                <w:rFonts w:ascii="Times New Roman" w:eastAsia="Times New Roman" w:hAnsi="Times New Roman" w:cs="Times New Roman"/>
                <w:color w:val="000000"/>
              </w:rPr>
              <w:t>Fraudsters keep finding loopholes to bypass basic security</w:t>
            </w:r>
          </w:p>
        </w:tc>
        <w:tc>
          <w:tcPr>
            <w:tcW w:w="1175" w:type="dxa"/>
            <w:tcMar>
              <w:top w:w="100" w:type="dxa"/>
              <w:left w:w="100" w:type="dxa"/>
              <w:bottom w:w="100" w:type="dxa"/>
              <w:right w:w="100" w:type="dxa"/>
            </w:tcMar>
          </w:tcPr>
          <w:p w14:paraId="31BB70B9" w14:textId="0371C037" w:rsidR="006A1E91" w:rsidRDefault="00D02AD4">
            <w:pPr>
              <w:widowControl w:val="0"/>
              <w:pBdr>
                <w:top w:val="nil"/>
                <w:left w:val="nil"/>
                <w:bottom w:val="nil"/>
                <w:right w:val="nil"/>
                <w:between w:val="nil"/>
              </w:pBdr>
              <w:rPr>
                <w:rFonts w:ascii="Times New Roman" w:eastAsia="Times New Roman" w:hAnsi="Times New Roman" w:cs="Times New Roman"/>
                <w:color w:val="000000"/>
              </w:rPr>
            </w:pPr>
            <w:r w:rsidRPr="00D02AD4">
              <w:rPr>
                <w:rFonts w:ascii="Times New Roman" w:eastAsia="Times New Roman" w:hAnsi="Times New Roman" w:cs="Times New Roman"/>
                <w:color w:val="000000"/>
              </w:rPr>
              <w:t>Fraud detection systems are reactive rather than predictive</w:t>
            </w:r>
          </w:p>
        </w:tc>
        <w:tc>
          <w:tcPr>
            <w:tcW w:w="1706" w:type="dxa"/>
            <w:tcMar>
              <w:top w:w="100" w:type="dxa"/>
              <w:left w:w="100" w:type="dxa"/>
              <w:bottom w:w="100" w:type="dxa"/>
              <w:right w:w="100" w:type="dxa"/>
            </w:tcMar>
          </w:tcPr>
          <w:p w14:paraId="7EE049B7" w14:textId="64703F9F" w:rsidR="006A1E91" w:rsidRDefault="00D02AD4">
            <w:pPr>
              <w:widowControl w:val="0"/>
              <w:pBdr>
                <w:top w:val="nil"/>
                <w:left w:val="nil"/>
                <w:bottom w:val="nil"/>
                <w:right w:val="nil"/>
                <w:between w:val="nil"/>
              </w:pBdr>
              <w:rPr>
                <w:rFonts w:ascii="Times New Roman" w:eastAsia="Times New Roman" w:hAnsi="Times New Roman" w:cs="Times New Roman"/>
                <w:color w:val="000000"/>
              </w:rPr>
            </w:pPr>
            <w:r w:rsidRPr="00D02AD4">
              <w:rPr>
                <w:rFonts w:ascii="Times New Roman" w:eastAsia="Times New Roman" w:hAnsi="Times New Roman" w:cs="Times New Roman"/>
                <w:color w:val="000000"/>
              </w:rPr>
              <w:t>Frustrated and less confident in using digital platforms</w:t>
            </w:r>
          </w:p>
        </w:tc>
      </w:tr>
    </w:tbl>
    <w:p w14:paraId="214A5604" w14:textId="77777777" w:rsidR="006A1E91" w:rsidRDefault="006A1E91">
      <w:pPr>
        <w:widowControl w:val="0"/>
        <w:pBdr>
          <w:top w:val="nil"/>
          <w:left w:val="nil"/>
          <w:bottom w:val="nil"/>
          <w:right w:val="nil"/>
          <w:between w:val="nil"/>
        </w:pBdr>
        <w:rPr>
          <w:rFonts w:ascii="Times New Roman" w:eastAsia="Times New Roman" w:hAnsi="Times New Roman" w:cs="Times New Roman"/>
          <w:color w:val="000000"/>
        </w:rPr>
      </w:pPr>
    </w:p>
    <w:sectPr w:rsidR="006A1E91">
      <w:headerReference w:type="default" r:id="rId6"/>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406B2" w14:textId="77777777" w:rsidR="00674001" w:rsidRDefault="00674001">
      <w:pPr>
        <w:spacing w:line="240" w:lineRule="auto"/>
      </w:pPr>
      <w:r>
        <w:separator/>
      </w:r>
    </w:p>
  </w:endnote>
  <w:endnote w:type="continuationSeparator" w:id="0">
    <w:p w14:paraId="0A02C89D" w14:textId="77777777" w:rsidR="00674001" w:rsidRDefault="006740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17D88" w14:textId="77777777" w:rsidR="00674001" w:rsidRDefault="00674001">
      <w:pPr>
        <w:spacing w:line="240" w:lineRule="auto"/>
      </w:pPr>
      <w:r>
        <w:separator/>
      </w:r>
    </w:p>
  </w:footnote>
  <w:footnote w:type="continuationSeparator" w:id="0">
    <w:p w14:paraId="341F9527" w14:textId="77777777" w:rsidR="00674001" w:rsidRDefault="006740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F5612" w14:textId="77777777" w:rsidR="006A1E91"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238B19EE" wp14:editId="2A6E76C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ACECC43" wp14:editId="1A7F13B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2C5D697" w14:textId="77777777" w:rsidR="006A1E91" w:rsidRDefault="006A1E91">
    <w:pPr>
      <w:widowControl w:val="0"/>
      <w:spacing w:line="240" w:lineRule="auto"/>
      <w:rPr>
        <w:rFonts w:ascii="Calibri" w:eastAsia="Calibri" w:hAnsi="Calibri" w:cs="Calibri"/>
      </w:rPr>
    </w:pPr>
  </w:p>
  <w:p w14:paraId="2AC647D5" w14:textId="77777777" w:rsidR="006A1E91" w:rsidRDefault="006A1E9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E91"/>
    <w:rsid w:val="00525274"/>
    <w:rsid w:val="00674001"/>
    <w:rsid w:val="006A1E91"/>
    <w:rsid w:val="007E350E"/>
    <w:rsid w:val="009D0CC0"/>
    <w:rsid w:val="00D02AD4"/>
    <w:rsid w:val="00E06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9C74"/>
  <w15:docId w15:val="{5876DE3A-AB27-4F88-8671-3B128CF6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82222">
      <w:bodyDiv w:val="1"/>
      <w:marLeft w:val="0"/>
      <w:marRight w:val="0"/>
      <w:marTop w:val="0"/>
      <w:marBottom w:val="0"/>
      <w:divBdr>
        <w:top w:val="none" w:sz="0" w:space="0" w:color="auto"/>
        <w:left w:val="none" w:sz="0" w:space="0" w:color="auto"/>
        <w:bottom w:val="none" w:sz="0" w:space="0" w:color="auto"/>
        <w:right w:val="none" w:sz="0" w:space="0" w:color="auto"/>
      </w:divBdr>
      <w:divsChild>
        <w:div w:id="169210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093">
      <w:bodyDiv w:val="1"/>
      <w:marLeft w:val="0"/>
      <w:marRight w:val="0"/>
      <w:marTop w:val="0"/>
      <w:marBottom w:val="0"/>
      <w:divBdr>
        <w:top w:val="none" w:sz="0" w:space="0" w:color="auto"/>
        <w:left w:val="none" w:sz="0" w:space="0" w:color="auto"/>
        <w:bottom w:val="none" w:sz="0" w:space="0" w:color="auto"/>
        <w:right w:val="none" w:sz="0" w:space="0" w:color="auto"/>
      </w:divBdr>
      <w:divsChild>
        <w:div w:id="111216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MUSKAN SHARMA</cp:lastModifiedBy>
  <cp:revision>3</cp:revision>
  <dcterms:created xsi:type="dcterms:W3CDTF">2025-07-20T06:01:00Z</dcterms:created>
  <dcterms:modified xsi:type="dcterms:W3CDTF">2025-07-20T10:37:00Z</dcterms:modified>
</cp:coreProperties>
</file>