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639C" w14:textId="670DC136" w:rsidR="000A54EB" w:rsidRDefault="007B651D" w:rsidP="001D64F5">
      <w:pPr>
        <w:spacing w:line="480" w:lineRule="auto"/>
        <w:rPr>
          <w:rFonts w:ascii="Arial" w:hAnsi="Arial" w:cs="Arial"/>
          <w:sz w:val="24"/>
          <w:szCs w:val="24"/>
          <w:lang w:val="en-US"/>
        </w:rPr>
      </w:pPr>
      <w:r w:rsidRPr="00715851">
        <w:rPr>
          <w:rFonts w:ascii="Arial" w:hAnsi="Arial" w:cs="Arial"/>
          <w:sz w:val="24"/>
          <w:szCs w:val="24"/>
          <w:lang w:val="en-US"/>
        </w:rPr>
        <w:t>James, I appreciate your informative and well-structured post</w:t>
      </w:r>
      <w:r w:rsidRPr="00715851">
        <w:rPr>
          <w:rFonts w:ascii="Arial" w:hAnsi="Arial" w:cs="Arial"/>
          <w:sz w:val="24"/>
          <w:szCs w:val="24"/>
          <w:lang w:val="en-US"/>
        </w:rPr>
        <w:t xml:space="preserve"> that covers various perspectives on the topic.</w:t>
      </w:r>
      <w:r w:rsidR="00C05757">
        <w:rPr>
          <w:rFonts w:ascii="Arial" w:hAnsi="Arial" w:cs="Arial"/>
          <w:sz w:val="24"/>
          <w:szCs w:val="24"/>
          <w:lang w:val="en-US"/>
        </w:rPr>
        <w:t xml:space="preserve"> As from</w:t>
      </w:r>
      <w:r w:rsidR="007A037C" w:rsidRPr="007A037C">
        <w:rPr>
          <w:rFonts w:ascii="Arial" w:hAnsi="Arial" w:cs="Arial"/>
          <w:sz w:val="24"/>
          <w:szCs w:val="24"/>
          <w:lang w:val="en-US"/>
        </w:rPr>
        <w:t xml:space="preserve"> </w:t>
      </w:r>
      <w:r w:rsidR="007A037C">
        <w:rPr>
          <w:rFonts w:ascii="Arial" w:hAnsi="Arial" w:cs="Arial"/>
          <w:sz w:val="24"/>
          <w:szCs w:val="24"/>
          <w:lang w:val="en-US"/>
        </w:rPr>
        <w:t>your post,</w:t>
      </w:r>
      <w:sdt>
        <w:sdtPr>
          <w:rPr>
            <w:rFonts w:ascii="Arial" w:hAnsi="Arial" w:cs="Arial"/>
            <w:sz w:val="24"/>
            <w:szCs w:val="24"/>
            <w:lang w:val="en-US"/>
          </w:rPr>
          <w:id w:val="-580368273"/>
          <w:citation/>
        </w:sdtPr>
        <w:sdtContent>
          <w:r w:rsidR="00C05757" w:rsidRPr="00715851">
            <w:rPr>
              <w:rFonts w:ascii="Arial" w:hAnsi="Arial" w:cs="Arial"/>
              <w:sz w:val="24"/>
              <w:szCs w:val="24"/>
              <w:lang w:val="en-US"/>
            </w:rPr>
            <w:fldChar w:fldCharType="begin"/>
          </w:r>
          <w:r w:rsidR="00C05757" w:rsidRPr="00715851">
            <w:rPr>
              <w:rFonts w:ascii="Arial" w:hAnsi="Arial" w:cs="Arial"/>
              <w:sz w:val="24"/>
              <w:szCs w:val="24"/>
              <w:lang w:val="en-US"/>
            </w:rPr>
            <w:instrText xml:space="preserve"> CITATION ACMND1 \l 1033 </w:instrText>
          </w:r>
          <w:r w:rsidR="00C05757" w:rsidRPr="00715851">
            <w:rPr>
              <w:rFonts w:ascii="Arial" w:hAnsi="Arial" w:cs="Arial"/>
              <w:sz w:val="24"/>
              <w:szCs w:val="24"/>
              <w:lang w:val="en-US"/>
            </w:rPr>
            <w:fldChar w:fldCharType="separate"/>
          </w:r>
          <w:r w:rsidR="00FF4790">
            <w:rPr>
              <w:rFonts w:ascii="Arial" w:hAnsi="Arial" w:cs="Arial"/>
              <w:noProof/>
              <w:sz w:val="24"/>
              <w:szCs w:val="24"/>
              <w:lang w:val="en-US"/>
            </w:rPr>
            <w:t xml:space="preserve"> </w:t>
          </w:r>
          <w:r w:rsidR="00FF4790" w:rsidRPr="00FF4790">
            <w:rPr>
              <w:rFonts w:ascii="Arial" w:hAnsi="Arial" w:cs="Arial"/>
              <w:noProof/>
              <w:sz w:val="24"/>
              <w:szCs w:val="24"/>
              <w:lang w:val="en-US"/>
            </w:rPr>
            <w:t>(ACM, N.D.)</w:t>
          </w:r>
          <w:r w:rsidR="00C05757" w:rsidRPr="00715851">
            <w:rPr>
              <w:rFonts w:ascii="Arial" w:hAnsi="Arial" w:cs="Arial"/>
              <w:sz w:val="24"/>
              <w:szCs w:val="24"/>
              <w:lang w:val="en-US"/>
            </w:rPr>
            <w:fldChar w:fldCharType="end"/>
          </w:r>
        </w:sdtContent>
      </w:sdt>
      <w:r w:rsidR="001D64F5">
        <w:rPr>
          <w:rFonts w:ascii="Arial" w:hAnsi="Arial" w:cs="Arial"/>
          <w:sz w:val="24"/>
          <w:szCs w:val="24"/>
          <w:lang w:val="en-US"/>
        </w:rPr>
        <w:t>,</w:t>
      </w:r>
      <w:r w:rsidR="003B106F">
        <w:rPr>
          <w:rFonts w:ascii="Arial" w:hAnsi="Arial" w:cs="Arial"/>
          <w:sz w:val="24"/>
          <w:szCs w:val="24"/>
          <w:lang w:val="en-US"/>
        </w:rPr>
        <w:t xml:space="preserve"> </w:t>
      </w:r>
      <w:sdt>
        <w:sdtPr>
          <w:rPr>
            <w:rFonts w:ascii="Arial" w:hAnsi="Arial" w:cs="Arial"/>
            <w:sz w:val="24"/>
            <w:szCs w:val="24"/>
            <w:lang w:val="en-US"/>
          </w:rPr>
          <w:id w:val="176928732"/>
          <w:citation/>
        </w:sdtPr>
        <w:sdtContent>
          <w:r w:rsidR="003B106F">
            <w:rPr>
              <w:rFonts w:ascii="Arial" w:hAnsi="Arial" w:cs="Arial"/>
              <w:sz w:val="24"/>
              <w:szCs w:val="24"/>
              <w:lang w:val="en-US"/>
            </w:rPr>
            <w:fldChar w:fldCharType="begin"/>
          </w:r>
          <w:r w:rsidR="003B106F">
            <w:rPr>
              <w:rFonts w:ascii="Arial" w:hAnsi="Arial" w:cs="Arial"/>
              <w:sz w:val="24"/>
              <w:szCs w:val="24"/>
              <w:lang w:val="en-US"/>
            </w:rPr>
            <w:instrText xml:space="preserve"> CITATION Con19 \l 1033 </w:instrText>
          </w:r>
          <w:r w:rsidR="003B106F">
            <w:rPr>
              <w:rFonts w:ascii="Arial" w:hAnsi="Arial" w:cs="Arial"/>
              <w:sz w:val="24"/>
              <w:szCs w:val="24"/>
              <w:lang w:val="en-US"/>
            </w:rPr>
            <w:fldChar w:fldCharType="separate"/>
          </w:r>
          <w:r w:rsidR="00FF4790" w:rsidRPr="00FF4790">
            <w:rPr>
              <w:rFonts w:ascii="Arial" w:hAnsi="Arial" w:cs="Arial"/>
              <w:noProof/>
              <w:sz w:val="24"/>
              <w:szCs w:val="24"/>
              <w:lang w:val="en-US"/>
            </w:rPr>
            <w:t>(Consumer and Governmental Affairs, 2019)</w:t>
          </w:r>
          <w:r w:rsidR="003B106F">
            <w:rPr>
              <w:rFonts w:ascii="Arial" w:hAnsi="Arial" w:cs="Arial"/>
              <w:sz w:val="24"/>
              <w:szCs w:val="24"/>
              <w:lang w:val="en-US"/>
            </w:rPr>
            <w:fldChar w:fldCharType="end"/>
          </w:r>
        </w:sdtContent>
      </w:sdt>
      <w:r w:rsidR="00C05757">
        <w:rPr>
          <w:rFonts w:ascii="Arial" w:hAnsi="Arial" w:cs="Arial"/>
          <w:sz w:val="24"/>
          <w:szCs w:val="24"/>
          <w:lang w:val="en-US"/>
        </w:rPr>
        <w:t xml:space="preserve">, </w:t>
      </w:r>
      <w:r w:rsidR="007A037C">
        <w:rPr>
          <w:rFonts w:ascii="Arial" w:hAnsi="Arial" w:cs="Arial"/>
          <w:sz w:val="24"/>
          <w:szCs w:val="24"/>
          <w:lang w:val="en-US"/>
        </w:rPr>
        <w:t>there is a</w:t>
      </w:r>
      <w:r w:rsidR="003B106F">
        <w:rPr>
          <w:rFonts w:ascii="Arial" w:hAnsi="Arial" w:cs="Arial"/>
          <w:sz w:val="24"/>
          <w:szCs w:val="24"/>
          <w:lang w:val="en-US"/>
        </w:rPr>
        <w:t xml:space="preserve"> clear descri</w:t>
      </w:r>
      <w:r w:rsidR="007A037C">
        <w:rPr>
          <w:rFonts w:ascii="Arial" w:hAnsi="Arial" w:cs="Arial"/>
          <w:sz w:val="24"/>
          <w:szCs w:val="24"/>
          <w:lang w:val="en-US"/>
        </w:rPr>
        <w:t>ption on</w:t>
      </w:r>
      <w:r w:rsidR="00C05757">
        <w:rPr>
          <w:rFonts w:ascii="Arial" w:hAnsi="Arial" w:cs="Arial"/>
          <w:sz w:val="24"/>
          <w:szCs w:val="24"/>
          <w:lang w:val="en-US"/>
        </w:rPr>
        <w:t xml:space="preserve"> how</w:t>
      </w:r>
      <w:r w:rsidR="007A037C">
        <w:rPr>
          <w:rFonts w:ascii="Arial" w:hAnsi="Arial" w:cs="Arial"/>
          <w:sz w:val="24"/>
          <w:szCs w:val="24"/>
          <w:lang w:val="en-US"/>
        </w:rPr>
        <w:t xml:space="preserve"> Blocker Plus </w:t>
      </w:r>
      <w:r w:rsidR="007A037C">
        <w:rPr>
          <w:rFonts w:ascii="Arial" w:hAnsi="Arial" w:cs="Arial"/>
          <w:sz w:val="24"/>
          <w:szCs w:val="24"/>
          <w:lang w:val="en-US"/>
        </w:rPr>
        <w:t xml:space="preserve">violated </w:t>
      </w:r>
      <w:r w:rsidR="001D64F5">
        <w:rPr>
          <w:rFonts w:ascii="Arial" w:hAnsi="Arial" w:cs="Arial"/>
          <w:sz w:val="24"/>
          <w:szCs w:val="24"/>
          <w:lang w:val="en-US"/>
        </w:rPr>
        <w:t>numerous p</w:t>
      </w:r>
      <w:r w:rsidR="007A037C">
        <w:rPr>
          <w:rFonts w:ascii="Arial" w:hAnsi="Arial" w:cs="Arial"/>
          <w:sz w:val="24"/>
          <w:szCs w:val="24"/>
          <w:lang w:val="en-US"/>
        </w:rPr>
        <w:t>rinciples and</w:t>
      </w:r>
      <w:r w:rsidR="001D64F5">
        <w:rPr>
          <w:rFonts w:ascii="Arial" w:hAnsi="Arial" w:cs="Arial"/>
          <w:sz w:val="24"/>
          <w:szCs w:val="24"/>
          <w:lang w:val="en-US"/>
        </w:rPr>
        <w:t xml:space="preserve"> also</w:t>
      </w:r>
      <w:r w:rsidR="007A037C">
        <w:rPr>
          <w:rFonts w:ascii="Arial" w:hAnsi="Arial" w:cs="Arial"/>
          <w:sz w:val="24"/>
          <w:szCs w:val="24"/>
          <w:lang w:val="en-US"/>
        </w:rPr>
        <w:t xml:space="preserve"> </w:t>
      </w:r>
      <w:r w:rsidR="001D64F5">
        <w:rPr>
          <w:rFonts w:ascii="Arial" w:hAnsi="Arial" w:cs="Arial"/>
          <w:sz w:val="24"/>
          <w:szCs w:val="24"/>
          <w:lang w:val="en-US"/>
        </w:rPr>
        <w:t xml:space="preserve">the impacts it had on </w:t>
      </w:r>
      <w:r w:rsidR="001D64F5">
        <w:rPr>
          <w:rFonts w:ascii="Arial" w:hAnsi="Arial" w:cs="Arial"/>
          <w:sz w:val="24"/>
          <w:szCs w:val="24"/>
          <w:lang w:val="en-US"/>
        </w:rPr>
        <w:t xml:space="preserve">legal, social issues and </w:t>
      </w:r>
      <w:r w:rsidR="001D64F5" w:rsidRPr="001D64F5">
        <w:rPr>
          <w:rFonts w:ascii="Arial" w:hAnsi="Arial" w:cs="Arial"/>
          <w:sz w:val="24"/>
          <w:szCs w:val="24"/>
          <w:lang w:val="en-US"/>
        </w:rPr>
        <w:t>Professionalism of computing professionals</w:t>
      </w:r>
      <w:r w:rsidR="001D64F5">
        <w:rPr>
          <w:rFonts w:ascii="Arial" w:hAnsi="Arial" w:cs="Arial"/>
          <w:sz w:val="24"/>
          <w:szCs w:val="24"/>
          <w:lang w:val="en-US"/>
        </w:rPr>
        <w:t>.</w:t>
      </w:r>
      <w:r w:rsidR="007A037C">
        <w:rPr>
          <w:rFonts w:ascii="Arial" w:hAnsi="Arial" w:cs="Arial"/>
          <w:sz w:val="24"/>
          <w:szCs w:val="24"/>
          <w:lang w:val="en-US"/>
        </w:rPr>
        <w:t xml:space="preserve">  </w:t>
      </w:r>
    </w:p>
    <w:p w14:paraId="146B30A2" w14:textId="61974935" w:rsidR="00FF4790" w:rsidRDefault="00B2646A" w:rsidP="001D64F5">
      <w:pPr>
        <w:spacing w:line="480" w:lineRule="auto"/>
        <w:rPr>
          <w:rFonts w:ascii="Arial" w:hAnsi="Arial" w:cs="Arial"/>
          <w:sz w:val="24"/>
          <w:szCs w:val="24"/>
          <w:lang w:val="en-US"/>
        </w:rPr>
      </w:pPr>
      <w:r>
        <w:rPr>
          <w:rFonts w:ascii="Arial" w:hAnsi="Arial" w:cs="Arial"/>
          <w:sz w:val="24"/>
          <w:szCs w:val="24"/>
          <w:lang w:val="en-US"/>
        </w:rPr>
        <w:t>Moreover</w:t>
      </w:r>
      <w:r w:rsidRPr="00B2646A">
        <w:rPr>
          <w:rFonts w:ascii="Arial" w:hAnsi="Arial" w:cs="Arial"/>
          <w:sz w:val="24"/>
          <w:szCs w:val="24"/>
          <w:lang w:val="en-US"/>
        </w:rPr>
        <w:t>, by opting to disable the accounts of activist groups while keeping the existing model intact, Blocker Plus's management not only failed to unblock topics outside the scope of The Children's Internet Protection Act (CIPA)</w:t>
      </w:r>
      <w:sdt>
        <w:sdtPr>
          <w:rPr>
            <w:rFonts w:ascii="Arial" w:hAnsi="Arial" w:cs="Arial"/>
            <w:sz w:val="24"/>
            <w:szCs w:val="24"/>
            <w:lang w:val="en-US"/>
          </w:rPr>
          <w:id w:val="1401012928"/>
          <w:citation/>
        </w:sdtPr>
        <w:sdtContent>
          <w:r w:rsidR="002C0EF1">
            <w:rPr>
              <w:rFonts w:ascii="Arial" w:hAnsi="Arial" w:cs="Arial"/>
              <w:sz w:val="24"/>
              <w:szCs w:val="24"/>
              <w:lang w:val="en-US"/>
            </w:rPr>
            <w:fldChar w:fldCharType="begin"/>
          </w:r>
          <w:r w:rsidR="002C0EF1">
            <w:rPr>
              <w:rFonts w:ascii="Arial" w:hAnsi="Arial" w:cs="Arial"/>
              <w:sz w:val="24"/>
              <w:szCs w:val="24"/>
              <w:lang w:val="en-US"/>
            </w:rPr>
            <w:instrText xml:space="preserve"> CITATION ACMND1 \l 1033 </w:instrText>
          </w:r>
          <w:r w:rsidR="002C0EF1">
            <w:rPr>
              <w:rFonts w:ascii="Arial" w:hAnsi="Arial" w:cs="Arial"/>
              <w:sz w:val="24"/>
              <w:szCs w:val="24"/>
              <w:lang w:val="en-US"/>
            </w:rPr>
            <w:fldChar w:fldCharType="separate"/>
          </w:r>
          <w:r w:rsidR="00FF4790">
            <w:rPr>
              <w:rFonts w:ascii="Arial" w:hAnsi="Arial" w:cs="Arial"/>
              <w:noProof/>
              <w:sz w:val="24"/>
              <w:szCs w:val="24"/>
              <w:lang w:val="en-US"/>
            </w:rPr>
            <w:t xml:space="preserve"> </w:t>
          </w:r>
          <w:r w:rsidR="00FF4790" w:rsidRPr="00FF4790">
            <w:rPr>
              <w:rFonts w:ascii="Arial" w:hAnsi="Arial" w:cs="Arial"/>
              <w:noProof/>
              <w:sz w:val="24"/>
              <w:szCs w:val="24"/>
              <w:lang w:val="en-US"/>
            </w:rPr>
            <w:t>(ACM, N.D.)</w:t>
          </w:r>
          <w:r w:rsidR="002C0EF1">
            <w:rPr>
              <w:rFonts w:ascii="Arial" w:hAnsi="Arial" w:cs="Arial"/>
              <w:sz w:val="24"/>
              <w:szCs w:val="24"/>
              <w:lang w:val="en-US"/>
            </w:rPr>
            <w:fldChar w:fldCharType="end"/>
          </w:r>
        </w:sdtContent>
      </w:sdt>
      <w:r w:rsidRPr="00B2646A">
        <w:rPr>
          <w:rFonts w:ascii="Arial" w:hAnsi="Arial" w:cs="Arial"/>
          <w:sz w:val="24"/>
          <w:szCs w:val="24"/>
          <w:lang w:val="en-US"/>
        </w:rPr>
        <w:t xml:space="preserve">, but also exacerbated the </w:t>
      </w:r>
      <w:r>
        <w:rPr>
          <w:rFonts w:ascii="Arial" w:hAnsi="Arial" w:cs="Arial"/>
          <w:sz w:val="24"/>
          <w:szCs w:val="24"/>
          <w:lang w:val="en-US"/>
        </w:rPr>
        <w:t>issue</w:t>
      </w:r>
      <w:r w:rsidRPr="00B2646A">
        <w:rPr>
          <w:rFonts w:ascii="Arial" w:hAnsi="Arial" w:cs="Arial"/>
          <w:sz w:val="24"/>
          <w:szCs w:val="24"/>
          <w:lang w:val="en-US"/>
        </w:rPr>
        <w:t xml:space="preserve">. </w:t>
      </w:r>
      <w:r>
        <w:rPr>
          <w:rFonts w:ascii="Arial" w:hAnsi="Arial" w:cs="Arial"/>
          <w:sz w:val="24"/>
          <w:szCs w:val="24"/>
          <w:lang w:val="en-US"/>
        </w:rPr>
        <w:t>Th</w:t>
      </w:r>
      <w:r w:rsidR="001211D9">
        <w:rPr>
          <w:rFonts w:ascii="Arial" w:hAnsi="Arial" w:cs="Arial"/>
          <w:sz w:val="24"/>
          <w:szCs w:val="24"/>
          <w:lang w:val="en-US"/>
        </w:rPr>
        <w:t xml:space="preserve">eir decision </w:t>
      </w:r>
      <w:r w:rsidR="002C0EF1">
        <w:rPr>
          <w:rFonts w:ascii="Arial" w:hAnsi="Arial" w:cs="Arial"/>
          <w:sz w:val="24"/>
          <w:szCs w:val="24"/>
          <w:lang w:val="en-US"/>
        </w:rPr>
        <w:t>could have</w:t>
      </w:r>
      <w:r>
        <w:rPr>
          <w:rFonts w:ascii="Arial" w:hAnsi="Arial" w:cs="Arial"/>
          <w:sz w:val="24"/>
          <w:szCs w:val="24"/>
          <w:lang w:val="en-US"/>
        </w:rPr>
        <w:t xml:space="preserve"> result</w:t>
      </w:r>
      <w:r w:rsidR="002C0EF1">
        <w:rPr>
          <w:rFonts w:ascii="Arial" w:hAnsi="Arial" w:cs="Arial"/>
          <w:sz w:val="24"/>
          <w:szCs w:val="24"/>
          <w:lang w:val="en-US"/>
        </w:rPr>
        <w:t>ed</w:t>
      </w:r>
      <w:r>
        <w:rPr>
          <w:rFonts w:ascii="Arial" w:hAnsi="Arial" w:cs="Arial"/>
          <w:sz w:val="24"/>
          <w:szCs w:val="24"/>
          <w:lang w:val="en-US"/>
        </w:rPr>
        <w:t xml:space="preserve"> to potential impacts </w:t>
      </w:r>
      <w:r w:rsidR="000452CC">
        <w:rPr>
          <w:rFonts w:ascii="Arial" w:hAnsi="Arial" w:cs="Arial"/>
          <w:sz w:val="24"/>
          <w:szCs w:val="24"/>
          <w:lang w:val="en-US"/>
        </w:rPr>
        <w:t xml:space="preserve">whereby </w:t>
      </w:r>
      <w:r>
        <w:rPr>
          <w:rFonts w:ascii="Arial" w:hAnsi="Arial" w:cs="Arial"/>
          <w:sz w:val="24"/>
          <w:szCs w:val="24"/>
          <w:lang w:val="en-US"/>
        </w:rPr>
        <w:t>s</w:t>
      </w:r>
      <w:r w:rsidR="000452CC" w:rsidRPr="000452CC">
        <w:rPr>
          <w:rFonts w:ascii="Arial" w:hAnsi="Arial" w:cs="Arial"/>
          <w:sz w:val="24"/>
          <w:szCs w:val="24"/>
          <w:lang w:val="en-US"/>
        </w:rPr>
        <w:t xml:space="preserve">tudents </w:t>
      </w:r>
      <w:r>
        <w:rPr>
          <w:rFonts w:ascii="Arial" w:hAnsi="Arial" w:cs="Arial"/>
          <w:sz w:val="24"/>
          <w:szCs w:val="24"/>
          <w:lang w:val="en-US"/>
        </w:rPr>
        <w:t xml:space="preserve">may argue that their </w:t>
      </w:r>
      <w:r w:rsidRPr="000452CC">
        <w:rPr>
          <w:rFonts w:ascii="Arial" w:hAnsi="Arial" w:cs="Arial"/>
          <w:sz w:val="24"/>
          <w:szCs w:val="24"/>
          <w:lang w:val="en-US"/>
        </w:rPr>
        <w:t>protected</w:t>
      </w:r>
      <w:r w:rsidR="000452CC" w:rsidRPr="000452CC">
        <w:rPr>
          <w:rFonts w:ascii="Arial" w:hAnsi="Arial" w:cs="Arial"/>
          <w:sz w:val="24"/>
          <w:szCs w:val="24"/>
          <w:lang w:val="en-US"/>
        </w:rPr>
        <w:t xml:space="preserve"> expression is being censored by the software filters</w:t>
      </w:r>
      <w:r>
        <w:rPr>
          <w:rFonts w:ascii="Arial" w:hAnsi="Arial" w:cs="Arial"/>
          <w:sz w:val="24"/>
          <w:szCs w:val="24"/>
          <w:lang w:val="en-US"/>
        </w:rPr>
        <w:t xml:space="preserve"> thus </w:t>
      </w:r>
      <w:r w:rsidR="002C0EF1">
        <w:rPr>
          <w:rFonts w:ascii="Arial" w:hAnsi="Arial" w:cs="Arial"/>
          <w:sz w:val="24"/>
          <w:szCs w:val="24"/>
          <w:lang w:val="en-US"/>
        </w:rPr>
        <w:t>leading</w:t>
      </w:r>
      <w:r>
        <w:rPr>
          <w:rFonts w:ascii="Arial" w:hAnsi="Arial" w:cs="Arial"/>
          <w:sz w:val="24"/>
          <w:szCs w:val="24"/>
          <w:lang w:val="en-US"/>
        </w:rPr>
        <w:t xml:space="preserve"> to a valid First Amendment claim </w:t>
      </w:r>
      <w:sdt>
        <w:sdtPr>
          <w:rPr>
            <w:rFonts w:ascii="Arial" w:hAnsi="Arial" w:cs="Arial"/>
            <w:sz w:val="24"/>
            <w:szCs w:val="24"/>
            <w:lang w:val="en-US"/>
          </w:rPr>
          <w:id w:val="1710288902"/>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McC04 \l 1033 </w:instrText>
          </w:r>
          <w:r>
            <w:rPr>
              <w:rFonts w:ascii="Arial" w:hAnsi="Arial" w:cs="Arial"/>
              <w:sz w:val="24"/>
              <w:szCs w:val="24"/>
              <w:lang w:val="en-US"/>
            </w:rPr>
            <w:fldChar w:fldCharType="separate"/>
          </w:r>
          <w:r w:rsidR="00FF4790" w:rsidRPr="00FF4790">
            <w:rPr>
              <w:rFonts w:ascii="Arial" w:hAnsi="Arial" w:cs="Arial"/>
              <w:noProof/>
              <w:sz w:val="24"/>
              <w:szCs w:val="24"/>
              <w:lang w:val="en-US"/>
            </w:rPr>
            <w:t>(McCarthy, 2004)</w:t>
          </w:r>
          <w:r>
            <w:rPr>
              <w:rFonts w:ascii="Arial" w:hAnsi="Arial" w:cs="Arial"/>
              <w:sz w:val="24"/>
              <w:szCs w:val="24"/>
              <w:lang w:val="en-US"/>
            </w:rPr>
            <w:fldChar w:fldCharType="end"/>
          </w:r>
        </w:sdtContent>
      </w:sdt>
      <w:r>
        <w:rPr>
          <w:rFonts w:ascii="Arial" w:hAnsi="Arial" w:cs="Arial"/>
          <w:sz w:val="24"/>
          <w:szCs w:val="24"/>
          <w:lang w:val="en-US"/>
        </w:rPr>
        <w:t>.</w:t>
      </w:r>
      <w:r w:rsidR="005B15A9">
        <w:rPr>
          <w:rFonts w:ascii="Arial" w:hAnsi="Arial" w:cs="Arial"/>
          <w:sz w:val="24"/>
          <w:szCs w:val="24"/>
          <w:lang w:val="en-US"/>
        </w:rPr>
        <w:t xml:space="preserve"> </w:t>
      </w:r>
    </w:p>
    <w:p w14:paraId="6302B8D2" w14:textId="45138C28" w:rsidR="00B2646A" w:rsidRDefault="005B15A9" w:rsidP="001D64F5">
      <w:pPr>
        <w:spacing w:line="480" w:lineRule="auto"/>
        <w:rPr>
          <w:rFonts w:ascii="Arial" w:hAnsi="Arial" w:cs="Arial"/>
          <w:sz w:val="24"/>
          <w:szCs w:val="24"/>
          <w:lang w:val="en-US"/>
        </w:rPr>
      </w:pPr>
      <w:r>
        <w:rPr>
          <w:rFonts w:ascii="Arial" w:hAnsi="Arial" w:cs="Arial"/>
          <w:sz w:val="24"/>
          <w:szCs w:val="24"/>
          <w:lang w:val="en-US"/>
        </w:rPr>
        <w:t>Additionally,</w:t>
      </w:r>
      <w:r w:rsidR="00CE1A05">
        <w:rPr>
          <w:rFonts w:ascii="Arial" w:hAnsi="Arial" w:cs="Arial"/>
          <w:sz w:val="24"/>
          <w:szCs w:val="24"/>
          <w:lang w:val="en-US"/>
        </w:rPr>
        <w:t xml:space="preserve"> </w:t>
      </w:r>
      <w:r>
        <w:rPr>
          <w:rFonts w:ascii="Arial" w:hAnsi="Arial" w:cs="Arial"/>
          <w:sz w:val="24"/>
          <w:szCs w:val="24"/>
          <w:lang w:val="en-US"/>
        </w:rPr>
        <w:t>over censoring of topics that are not under CIPA</w:t>
      </w:r>
      <w:r w:rsidR="00DB5779">
        <w:rPr>
          <w:rFonts w:ascii="Arial" w:hAnsi="Arial" w:cs="Arial"/>
          <w:sz w:val="24"/>
          <w:szCs w:val="24"/>
          <w:lang w:val="en-US"/>
        </w:rPr>
        <w:t xml:space="preserve">, especially in </w:t>
      </w:r>
      <w:r w:rsidR="0029741C">
        <w:rPr>
          <w:rFonts w:ascii="Arial" w:hAnsi="Arial" w:cs="Arial"/>
          <w:sz w:val="24"/>
          <w:szCs w:val="24"/>
          <w:lang w:val="en-US"/>
        </w:rPr>
        <w:t xml:space="preserve">public </w:t>
      </w:r>
      <w:r w:rsidR="00DB5779">
        <w:rPr>
          <w:rFonts w:ascii="Arial" w:hAnsi="Arial" w:cs="Arial"/>
          <w:sz w:val="24"/>
          <w:szCs w:val="24"/>
          <w:lang w:val="en-US"/>
        </w:rPr>
        <w:t xml:space="preserve">libraries, </w:t>
      </w:r>
      <w:r w:rsidR="00FF4790">
        <w:rPr>
          <w:rFonts w:ascii="Arial" w:hAnsi="Arial" w:cs="Arial"/>
          <w:sz w:val="24"/>
          <w:szCs w:val="24"/>
          <w:lang w:val="en-US"/>
        </w:rPr>
        <w:t>could potentially lead to discriminatory legal arguments. For example: a</w:t>
      </w:r>
      <w:r w:rsidR="00CE1A05">
        <w:rPr>
          <w:rFonts w:ascii="Arial" w:hAnsi="Arial" w:cs="Arial"/>
          <w:sz w:val="24"/>
          <w:szCs w:val="24"/>
          <w:lang w:val="en-US"/>
        </w:rPr>
        <w:t xml:space="preserve"> case in Oregon </w:t>
      </w:r>
      <w:r w:rsidR="00FF4790">
        <w:rPr>
          <w:rFonts w:ascii="Arial" w:hAnsi="Arial" w:cs="Arial"/>
          <w:sz w:val="24"/>
          <w:szCs w:val="24"/>
          <w:lang w:val="en-US"/>
        </w:rPr>
        <w:t xml:space="preserve">demonstrated how </w:t>
      </w:r>
      <w:r w:rsidR="00CE1A05">
        <w:rPr>
          <w:rFonts w:ascii="Arial" w:hAnsi="Arial" w:cs="Arial"/>
          <w:sz w:val="24"/>
          <w:szCs w:val="24"/>
          <w:lang w:val="en-US"/>
        </w:rPr>
        <w:t xml:space="preserve">website blocking </w:t>
      </w:r>
      <w:r w:rsidR="000E0AF4" w:rsidRPr="000E0AF4">
        <w:rPr>
          <w:rFonts w:ascii="Arial" w:hAnsi="Arial" w:cs="Arial"/>
          <w:sz w:val="24"/>
          <w:szCs w:val="24"/>
          <w:lang w:val="en-US"/>
        </w:rPr>
        <w:t>widen</w:t>
      </w:r>
      <w:r w:rsidR="00CE1A05">
        <w:rPr>
          <w:rFonts w:ascii="Arial" w:hAnsi="Arial" w:cs="Arial"/>
          <w:sz w:val="24"/>
          <w:szCs w:val="24"/>
          <w:lang w:val="en-US"/>
        </w:rPr>
        <w:t>ed</w:t>
      </w:r>
      <w:r w:rsidR="000E0AF4" w:rsidRPr="000E0AF4">
        <w:rPr>
          <w:rFonts w:ascii="Arial" w:hAnsi="Arial" w:cs="Arial"/>
          <w:sz w:val="24"/>
          <w:szCs w:val="24"/>
          <w:lang w:val="en-US"/>
        </w:rPr>
        <w:t xml:space="preserve"> the </w:t>
      </w:r>
      <w:r w:rsidR="00FF4790" w:rsidRPr="000E0AF4">
        <w:rPr>
          <w:rFonts w:ascii="Arial" w:hAnsi="Arial" w:cs="Arial"/>
          <w:sz w:val="24"/>
          <w:szCs w:val="24"/>
          <w:lang w:val="en-US"/>
        </w:rPr>
        <w:t>“</w:t>
      </w:r>
      <w:r w:rsidR="000E0AF4" w:rsidRPr="000E0AF4">
        <w:rPr>
          <w:rFonts w:ascii="Arial" w:hAnsi="Arial" w:cs="Arial"/>
          <w:sz w:val="24"/>
          <w:szCs w:val="24"/>
          <w:lang w:val="en-US"/>
        </w:rPr>
        <w:t>digital divide” between the rich, who can have</w:t>
      </w:r>
      <w:r w:rsidR="00FF4790">
        <w:rPr>
          <w:rFonts w:ascii="Arial" w:hAnsi="Arial" w:cs="Arial"/>
          <w:sz w:val="24"/>
          <w:szCs w:val="24"/>
          <w:lang w:val="en-US"/>
        </w:rPr>
        <w:t xml:space="preserve"> unrestricted</w:t>
      </w:r>
      <w:r w:rsidR="000E0AF4" w:rsidRPr="000E0AF4">
        <w:rPr>
          <w:rFonts w:ascii="Arial" w:hAnsi="Arial" w:cs="Arial"/>
          <w:sz w:val="24"/>
          <w:szCs w:val="24"/>
          <w:lang w:val="en-US"/>
        </w:rPr>
        <w:t xml:space="preserve"> access to </w:t>
      </w:r>
      <w:r w:rsidR="00FF4790">
        <w:rPr>
          <w:rFonts w:ascii="Arial" w:hAnsi="Arial" w:cs="Arial"/>
          <w:sz w:val="24"/>
          <w:szCs w:val="24"/>
          <w:lang w:val="en-US"/>
        </w:rPr>
        <w:t>desired web</w:t>
      </w:r>
      <w:r w:rsidR="000E0AF4" w:rsidRPr="000E0AF4">
        <w:rPr>
          <w:rFonts w:ascii="Arial" w:hAnsi="Arial" w:cs="Arial"/>
          <w:sz w:val="24"/>
          <w:szCs w:val="24"/>
          <w:lang w:val="en-US"/>
        </w:rPr>
        <w:t xml:space="preserve">sites at home, and the poor, who </w:t>
      </w:r>
      <w:r w:rsidR="00FF4790">
        <w:rPr>
          <w:rFonts w:ascii="Arial" w:hAnsi="Arial" w:cs="Arial"/>
          <w:sz w:val="24"/>
          <w:szCs w:val="24"/>
          <w:lang w:val="en-US"/>
        </w:rPr>
        <w:t>are dependable to</w:t>
      </w:r>
      <w:r w:rsidR="000E0AF4" w:rsidRPr="000E0AF4">
        <w:rPr>
          <w:rFonts w:ascii="Arial" w:hAnsi="Arial" w:cs="Arial"/>
          <w:sz w:val="24"/>
          <w:szCs w:val="24"/>
          <w:lang w:val="en-US"/>
        </w:rPr>
        <w:t xml:space="preserve"> Internet access </w:t>
      </w:r>
      <w:r w:rsidR="00FF4790">
        <w:rPr>
          <w:rFonts w:ascii="Arial" w:hAnsi="Arial" w:cs="Arial"/>
          <w:sz w:val="24"/>
          <w:szCs w:val="24"/>
          <w:lang w:val="en-US"/>
        </w:rPr>
        <w:t>at</w:t>
      </w:r>
      <w:r w:rsidR="000E0AF4" w:rsidRPr="000E0AF4">
        <w:rPr>
          <w:rFonts w:ascii="Arial" w:hAnsi="Arial" w:cs="Arial"/>
          <w:sz w:val="24"/>
          <w:szCs w:val="24"/>
          <w:lang w:val="en-US"/>
        </w:rPr>
        <w:t xml:space="preserve"> their local libraries</w:t>
      </w:r>
      <w:r w:rsidR="00CE1A05">
        <w:rPr>
          <w:rFonts w:ascii="Arial" w:hAnsi="Arial" w:cs="Arial"/>
          <w:sz w:val="24"/>
          <w:szCs w:val="24"/>
          <w:lang w:val="en-US"/>
        </w:rPr>
        <w:t xml:space="preserve"> </w:t>
      </w:r>
      <w:sdt>
        <w:sdtPr>
          <w:rPr>
            <w:rFonts w:ascii="Arial" w:hAnsi="Arial" w:cs="Arial"/>
            <w:sz w:val="24"/>
            <w:szCs w:val="24"/>
            <w:lang w:val="en-US"/>
          </w:rPr>
          <w:id w:val="-1650593002"/>
          <w:citation/>
        </w:sdtPr>
        <w:sdtContent>
          <w:r w:rsidR="00CE1A05">
            <w:rPr>
              <w:rFonts w:ascii="Arial" w:hAnsi="Arial" w:cs="Arial"/>
              <w:sz w:val="24"/>
              <w:szCs w:val="24"/>
              <w:lang w:val="en-US"/>
            </w:rPr>
            <w:fldChar w:fldCharType="begin"/>
          </w:r>
          <w:r w:rsidR="00CE1A05">
            <w:rPr>
              <w:rFonts w:ascii="Arial" w:hAnsi="Arial" w:cs="Arial"/>
              <w:sz w:val="24"/>
              <w:szCs w:val="24"/>
              <w:lang w:val="en-US"/>
            </w:rPr>
            <w:instrText xml:space="preserve"> CITATION Men09 \l 1033 </w:instrText>
          </w:r>
          <w:r w:rsidR="00CE1A05">
            <w:rPr>
              <w:rFonts w:ascii="Arial" w:hAnsi="Arial" w:cs="Arial"/>
              <w:sz w:val="24"/>
              <w:szCs w:val="24"/>
              <w:lang w:val="en-US"/>
            </w:rPr>
            <w:fldChar w:fldCharType="separate"/>
          </w:r>
          <w:r w:rsidR="00FF4790" w:rsidRPr="00FF4790">
            <w:rPr>
              <w:rFonts w:ascii="Arial" w:hAnsi="Arial" w:cs="Arial"/>
              <w:noProof/>
              <w:sz w:val="24"/>
              <w:szCs w:val="24"/>
              <w:lang w:val="en-US"/>
            </w:rPr>
            <w:t>(Menuey, 2009)</w:t>
          </w:r>
          <w:r w:rsidR="00CE1A05">
            <w:rPr>
              <w:rFonts w:ascii="Arial" w:hAnsi="Arial" w:cs="Arial"/>
              <w:sz w:val="24"/>
              <w:szCs w:val="24"/>
              <w:lang w:val="en-US"/>
            </w:rPr>
            <w:fldChar w:fldCharType="end"/>
          </w:r>
        </w:sdtContent>
      </w:sdt>
      <w:r w:rsidR="00FF4790">
        <w:rPr>
          <w:rFonts w:ascii="Arial" w:hAnsi="Arial" w:cs="Arial"/>
          <w:sz w:val="24"/>
          <w:szCs w:val="24"/>
          <w:lang w:val="en-US"/>
        </w:rPr>
        <w:t>. This</w:t>
      </w:r>
      <w:r w:rsidR="00CE1A05">
        <w:rPr>
          <w:rFonts w:ascii="Arial" w:hAnsi="Arial" w:cs="Arial"/>
          <w:sz w:val="24"/>
          <w:szCs w:val="24"/>
          <w:lang w:val="en-US"/>
        </w:rPr>
        <w:t xml:space="preserve"> further</w:t>
      </w:r>
      <w:r w:rsidR="00FF4790">
        <w:rPr>
          <w:rFonts w:ascii="Arial" w:hAnsi="Arial" w:cs="Arial"/>
          <w:sz w:val="24"/>
          <w:szCs w:val="24"/>
          <w:lang w:val="en-US"/>
        </w:rPr>
        <w:t xml:space="preserve"> </w:t>
      </w:r>
      <w:r w:rsidR="00CE1A05">
        <w:rPr>
          <w:rFonts w:ascii="Arial" w:hAnsi="Arial" w:cs="Arial"/>
          <w:sz w:val="24"/>
          <w:szCs w:val="24"/>
          <w:lang w:val="en-US"/>
        </w:rPr>
        <w:t>violat</w:t>
      </w:r>
      <w:r w:rsidR="00FF4790">
        <w:rPr>
          <w:rFonts w:ascii="Arial" w:hAnsi="Arial" w:cs="Arial"/>
          <w:sz w:val="24"/>
          <w:szCs w:val="24"/>
          <w:lang w:val="en-US"/>
        </w:rPr>
        <w:t>es</w:t>
      </w:r>
      <w:r w:rsidR="00CE1A05">
        <w:rPr>
          <w:rFonts w:ascii="Arial" w:hAnsi="Arial" w:cs="Arial"/>
          <w:sz w:val="24"/>
          <w:szCs w:val="24"/>
          <w:lang w:val="en-US"/>
        </w:rPr>
        <w:t xml:space="preserve"> principle 1.4</w:t>
      </w:r>
      <w:r w:rsidR="00FF4790">
        <w:rPr>
          <w:rFonts w:ascii="Arial" w:hAnsi="Arial" w:cs="Arial"/>
          <w:sz w:val="24"/>
          <w:szCs w:val="24"/>
          <w:lang w:val="en-US"/>
        </w:rPr>
        <w:t xml:space="preserve">, BSC: public interest </w:t>
      </w:r>
      <w:sdt>
        <w:sdtPr>
          <w:rPr>
            <w:rFonts w:ascii="Arial" w:hAnsi="Arial" w:cs="Arial"/>
            <w:sz w:val="24"/>
            <w:szCs w:val="24"/>
            <w:lang w:val="en-US"/>
          </w:rPr>
          <w:id w:val="-1611281656"/>
          <w:citation/>
        </w:sdtPr>
        <w:sdtContent>
          <w:r w:rsidR="00FF4790">
            <w:rPr>
              <w:rFonts w:ascii="Arial" w:hAnsi="Arial" w:cs="Arial"/>
              <w:sz w:val="24"/>
              <w:szCs w:val="24"/>
              <w:lang w:val="en-US"/>
            </w:rPr>
            <w:fldChar w:fldCharType="begin"/>
          </w:r>
          <w:r w:rsidR="00FF4790">
            <w:rPr>
              <w:rFonts w:ascii="Arial" w:hAnsi="Arial" w:cs="Arial"/>
              <w:sz w:val="24"/>
              <w:szCs w:val="24"/>
              <w:lang w:val="en-US"/>
            </w:rPr>
            <w:instrText xml:space="preserve"> CITATION Tru22 \l 1033 </w:instrText>
          </w:r>
          <w:r w:rsidR="00FF4790">
            <w:rPr>
              <w:rFonts w:ascii="Arial" w:hAnsi="Arial" w:cs="Arial"/>
              <w:sz w:val="24"/>
              <w:szCs w:val="24"/>
              <w:lang w:val="en-US"/>
            </w:rPr>
            <w:fldChar w:fldCharType="separate"/>
          </w:r>
          <w:r w:rsidR="00FF4790" w:rsidRPr="00FF4790">
            <w:rPr>
              <w:rFonts w:ascii="Arial" w:hAnsi="Arial" w:cs="Arial"/>
              <w:noProof/>
              <w:sz w:val="24"/>
              <w:szCs w:val="24"/>
              <w:lang w:val="en-US"/>
            </w:rPr>
            <w:t>(Trustee Board, 2022)</w:t>
          </w:r>
          <w:r w:rsidR="00FF4790">
            <w:rPr>
              <w:rFonts w:ascii="Arial" w:hAnsi="Arial" w:cs="Arial"/>
              <w:sz w:val="24"/>
              <w:szCs w:val="24"/>
              <w:lang w:val="en-US"/>
            </w:rPr>
            <w:fldChar w:fldCharType="end"/>
          </w:r>
        </w:sdtContent>
      </w:sdt>
      <w:r w:rsidR="00FF4790">
        <w:rPr>
          <w:rFonts w:ascii="Arial" w:hAnsi="Arial" w:cs="Arial"/>
          <w:sz w:val="24"/>
          <w:szCs w:val="24"/>
          <w:lang w:val="en-US"/>
        </w:rPr>
        <w:t xml:space="preserve"> and</w:t>
      </w:r>
      <w:sdt>
        <w:sdtPr>
          <w:rPr>
            <w:rFonts w:ascii="Arial" w:hAnsi="Arial" w:cs="Arial"/>
            <w:sz w:val="24"/>
            <w:szCs w:val="24"/>
            <w:lang w:val="en-US"/>
          </w:rPr>
          <w:id w:val="58989232"/>
          <w:citation/>
        </w:sdtPr>
        <w:sdtContent>
          <w:r w:rsidR="00FF4790">
            <w:rPr>
              <w:rFonts w:ascii="Arial" w:hAnsi="Arial" w:cs="Arial"/>
              <w:sz w:val="24"/>
              <w:szCs w:val="24"/>
              <w:lang w:val="en-US"/>
            </w:rPr>
            <w:fldChar w:fldCharType="begin"/>
          </w:r>
          <w:r w:rsidR="00FF4790">
            <w:rPr>
              <w:rFonts w:ascii="Arial" w:hAnsi="Arial" w:cs="Arial"/>
              <w:sz w:val="24"/>
              <w:szCs w:val="24"/>
              <w:lang w:val="en-US"/>
            </w:rPr>
            <w:instrText xml:space="preserve"> CITATION ACM181 \l 1033 </w:instrText>
          </w:r>
          <w:r w:rsidR="00FF4790">
            <w:rPr>
              <w:rFonts w:ascii="Arial" w:hAnsi="Arial" w:cs="Arial"/>
              <w:sz w:val="24"/>
              <w:szCs w:val="24"/>
              <w:lang w:val="en-US"/>
            </w:rPr>
            <w:fldChar w:fldCharType="separate"/>
          </w:r>
          <w:r w:rsidR="00FF4790">
            <w:rPr>
              <w:rFonts w:ascii="Arial" w:hAnsi="Arial" w:cs="Arial"/>
              <w:noProof/>
              <w:sz w:val="24"/>
              <w:szCs w:val="24"/>
              <w:lang w:val="en-US"/>
            </w:rPr>
            <w:t xml:space="preserve"> </w:t>
          </w:r>
          <w:r w:rsidR="00FF4790" w:rsidRPr="00FF4790">
            <w:rPr>
              <w:rFonts w:ascii="Arial" w:hAnsi="Arial" w:cs="Arial"/>
              <w:noProof/>
              <w:sz w:val="24"/>
              <w:szCs w:val="24"/>
              <w:lang w:val="en-US"/>
            </w:rPr>
            <w:t>(ACM Code 2018 Task Force, 2018)</w:t>
          </w:r>
          <w:r w:rsidR="00FF4790">
            <w:rPr>
              <w:rFonts w:ascii="Arial" w:hAnsi="Arial" w:cs="Arial"/>
              <w:sz w:val="24"/>
              <w:szCs w:val="24"/>
              <w:lang w:val="en-US"/>
            </w:rPr>
            <w:fldChar w:fldCharType="end"/>
          </w:r>
        </w:sdtContent>
      </w:sdt>
      <w:r w:rsidR="00FF4790">
        <w:rPr>
          <w:rFonts w:ascii="Arial" w:hAnsi="Arial" w:cs="Arial"/>
          <w:sz w:val="24"/>
          <w:szCs w:val="24"/>
          <w:lang w:val="en-US"/>
        </w:rPr>
        <w:t>.</w:t>
      </w:r>
    </w:p>
    <w:p w14:paraId="2FE62BCD" w14:textId="7401289D" w:rsidR="001D64F5" w:rsidRDefault="002C0EF1" w:rsidP="007B651D">
      <w:pPr>
        <w:spacing w:line="480" w:lineRule="auto"/>
        <w:rPr>
          <w:rFonts w:ascii="Arial" w:hAnsi="Arial" w:cs="Arial"/>
          <w:sz w:val="24"/>
          <w:szCs w:val="24"/>
          <w:lang w:val="en-US"/>
        </w:rPr>
      </w:pPr>
      <w:r>
        <w:rPr>
          <w:rFonts w:ascii="Arial" w:hAnsi="Arial" w:cs="Arial"/>
          <w:sz w:val="24"/>
          <w:szCs w:val="24"/>
          <w:lang w:val="en-US"/>
        </w:rPr>
        <w:t xml:space="preserve">I </w:t>
      </w:r>
      <w:r w:rsidR="00605625">
        <w:rPr>
          <w:rFonts w:ascii="Arial" w:hAnsi="Arial" w:cs="Arial"/>
          <w:sz w:val="24"/>
          <w:szCs w:val="24"/>
          <w:lang w:val="en-US"/>
        </w:rPr>
        <w:t xml:space="preserve">share your point of view regarding </w:t>
      </w:r>
      <w:r>
        <w:rPr>
          <w:rFonts w:ascii="Arial" w:hAnsi="Arial" w:cs="Arial"/>
          <w:sz w:val="24"/>
          <w:szCs w:val="24"/>
          <w:lang w:val="en-US"/>
        </w:rPr>
        <w:t>Blocker Plus</w:t>
      </w:r>
      <w:r w:rsidR="00605625">
        <w:rPr>
          <w:rFonts w:ascii="Arial" w:hAnsi="Arial" w:cs="Arial"/>
          <w:sz w:val="24"/>
          <w:szCs w:val="24"/>
          <w:lang w:val="en-US"/>
        </w:rPr>
        <w:t>’s</w:t>
      </w:r>
      <w:r>
        <w:rPr>
          <w:rFonts w:ascii="Arial" w:hAnsi="Arial" w:cs="Arial"/>
          <w:sz w:val="24"/>
          <w:szCs w:val="24"/>
          <w:lang w:val="en-US"/>
        </w:rPr>
        <w:t xml:space="preserve"> unethical </w:t>
      </w:r>
      <w:r w:rsidR="00605625">
        <w:rPr>
          <w:rFonts w:ascii="Arial" w:hAnsi="Arial" w:cs="Arial"/>
          <w:sz w:val="24"/>
          <w:szCs w:val="24"/>
          <w:lang w:val="en-US"/>
        </w:rPr>
        <w:t xml:space="preserve">behavior </w:t>
      </w:r>
      <w:r>
        <w:rPr>
          <w:rFonts w:ascii="Arial" w:hAnsi="Arial" w:cs="Arial"/>
          <w:sz w:val="24"/>
          <w:szCs w:val="24"/>
          <w:lang w:val="en-US"/>
        </w:rPr>
        <w:t xml:space="preserve">and </w:t>
      </w:r>
      <w:r w:rsidR="00605625">
        <w:rPr>
          <w:rFonts w:ascii="Arial" w:hAnsi="Arial" w:cs="Arial"/>
          <w:sz w:val="24"/>
          <w:szCs w:val="24"/>
          <w:lang w:val="en-US"/>
        </w:rPr>
        <w:t>their failure to disclose</w:t>
      </w:r>
      <w:r>
        <w:rPr>
          <w:rFonts w:ascii="Arial" w:hAnsi="Arial" w:cs="Arial"/>
          <w:sz w:val="24"/>
          <w:szCs w:val="24"/>
          <w:lang w:val="en-US"/>
        </w:rPr>
        <w:t xml:space="preserve"> their mishaps</w:t>
      </w:r>
      <w:r w:rsidR="00605625">
        <w:rPr>
          <w:rFonts w:ascii="Arial" w:hAnsi="Arial" w:cs="Arial"/>
          <w:sz w:val="24"/>
          <w:szCs w:val="24"/>
          <w:lang w:val="en-US"/>
        </w:rPr>
        <w:t>. They</w:t>
      </w:r>
      <w:r>
        <w:rPr>
          <w:rFonts w:ascii="Arial" w:hAnsi="Arial" w:cs="Arial"/>
          <w:sz w:val="24"/>
          <w:szCs w:val="24"/>
          <w:lang w:val="en-US"/>
        </w:rPr>
        <w:t xml:space="preserve"> violated </w:t>
      </w:r>
      <w:r w:rsidR="00605625">
        <w:rPr>
          <w:rFonts w:ascii="Arial" w:hAnsi="Arial" w:cs="Arial"/>
          <w:sz w:val="24"/>
          <w:szCs w:val="24"/>
          <w:lang w:val="en-US"/>
        </w:rPr>
        <w:t>numerous</w:t>
      </w:r>
      <w:r>
        <w:rPr>
          <w:rFonts w:ascii="Arial" w:hAnsi="Arial" w:cs="Arial"/>
          <w:sz w:val="24"/>
          <w:szCs w:val="24"/>
          <w:lang w:val="en-US"/>
        </w:rPr>
        <w:t xml:space="preserve"> principles and</w:t>
      </w:r>
      <w:r w:rsidR="00605625">
        <w:rPr>
          <w:rFonts w:ascii="Arial" w:hAnsi="Arial" w:cs="Arial"/>
          <w:sz w:val="24"/>
          <w:szCs w:val="24"/>
          <w:lang w:val="en-US"/>
        </w:rPr>
        <w:t xml:space="preserve"> laws, and knowingly</w:t>
      </w:r>
      <w:r>
        <w:rPr>
          <w:rFonts w:ascii="Arial" w:hAnsi="Arial" w:cs="Arial"/>
          <w:sz w:val="24"/>
          <w:szCs w:val="24"/>
          <w:lang w:val="en-US"/>
        </w:rPr>
        <w:t xml:space="preserve"> did not take</w:t>
      </w:r>
      <w:r w:rsidR="00605625">
        <w:rPr>
          <w:rFonts w:ascii="Arial" w:hAnsi="Arial" w:cs="Arial"/>
          <w:sz w:val="24"/>
          <w:szCs w:val="24"/>
          <w:lang w:val="en-US"/>
        </w:rPr>
        <w:t xml:space="preserve"> the</w:t>
      </w:r>
      <w:r>
        <w:rPr>
          <w:rFonts w:ascii="Arial" w:hAnsi="Arial" w:cs="Arial"/>
          <w:sz w:val="24"/>
          <w:szCs w:val="24"/>
          <w:lang w:val="en-US"/>
        </w:rPr>
        <w:t xml:space="preserve"> necessary </w:t>
      </w:r>
      <w:r w:rsidR="00605625">
        <w:rPr>
          <w:rFonts w:ascii="Arial" w:hAnsi="Arial" w:cs="Arial"/>
          <w:sz w:val="24"/>
          <w:szCs w:val="24"/>
          <w:lang w:val="en-US"/>
        </w:rPr>
        <w:t>actions</w:t>
      </w:r>
      <w:r>
        <w:rPr>
          <w:rFonts w:ascii="Arial" w:hAnsi="Arial" w:cs="Arial"/>
          <w:sz w:val="24"/>
          <w:szCs w:val="24"/>
          <w:lang w:val="en-US"/>
        </w:rPr>
        <w:t xml:space="preserve"> to </w:t>
      </w:r>
      <w:r w:rsidR="00605625">
        <w:rPr>
          <w:rFonts w:ascii="Arial" w:hAnsi="Arial" w:cs="Arial"/>
          <w:sz w:val="24"/>
          <w:szCs w:val="24"/>
          <w:lang w:val="en-US"/>
        </w:rPr>
        <w:t>fix them</w:t>
      </w:r>
      <w:r w:rsidR="005B15A9">
        <w:rPr>
          <w:rFonts w:ascii="Arial" w:hAnsi="Arial" w:cs="Arial"/>
          <w:sz w:val="24"/>
          <w:szCs w:val="24"/>
          <w:lang w:val="en-US"/>
        </w:rPr>
        <w:t xml:space="preserve"> </w:t>
      </w:r>
      <w:r w:rsidR="000E0AF4">
        <w:rPr>
          <w:rFonts w:ascii="Arial" w:hAnsi="Arial" w:cs="Arial"/>
          <w:sz w:val="24"/>
          <w:szCs w:val="24"/>
          <w:lang w:val="en-US"/>
        </w:rPr>
        <w:t xml:space="preserve">nor did they disclose the issue to the public </w:t>
      </w:r>
      <w:r w:rsidR="005B15A9">
        <w:rPr>
          <w:rFonts w:ascii="Arial" w:hAnsi="Arial" w:cs="Arial"/>
          <w:sz w:val="24"/>
          <w:szCs w:val="24"/>
          <w:lang w:val="en-US"/>
        </w:rPr>
        <w:t>(</w:t>
      </w:r>
      <w:r w:rsidR="000E0AF4">
        <w:rPr>
          <w:rFonts w:ascii="Arial" w:hAnsi="Arial" w:cs="Arial"/>
          <w:sz w:val="24"/>
          <w:szCs w:val="24"/>
          <w:lang w:val="en-US"/>
        </w:rPr>
        <w:t>of which</w:t>
      </w:r>
      <w:r w:rsidR="005B15A9">
        <w:rPr>
          <w:rFonts w:ascii="Arial" w:hAnsi="Arial" w:cs="Arial"/>
          <w:sz w:val="24"/>
          <w:szCs w:val="24"/>
          <w:lang w:val="en-US"/>
        </w:rPr>
        <w:t xml:space="preserve"> this leads to more</w:t>
      </w:r>
      <w:r w:rsidR="00FF4790">
        <w:rPr>
          <w:rFonts w:ascii="Arial" w:hAnsi="Arial" w:cs="Arial"/>
          <w:sz w:val="24"/>
          <w:szCs w:val="24"/>
          <w:lang w:val="en-US"/>
        </w:rPr>
        <w:t xml:space="preserve"> laws and</w:t>
      </w:r>
      <w:r w:rsidR="005B15A9">
        <w:rPr>
          <w:rFonts w:ascii="Arial" w:hAnsi="Arial" w:cs="Arial"/>
          <w:sz w:val="24"/>
          <w:szCs w:val="24"/>
          <w:lang w:val="en-US"/>
        </w:rPr>
        <w:t xml:space="preserve"> principles like</w:t>
      </w:r>
      <w:r w:rsidR="000E0AF4">
        <w:rPr>
          <w:rFonts w:ascii="Arial" w:hAnsi="Arial" w:cs="Arial"/>
          <w:sz w:val="24"/>
          <w:szCs w:val="24"/>
          <w:lang w:val="en-US"/>
        </w:rPr>
        <w:t xml:space="preserve"> 2.7, </w:t>
      </w:r>
      <w:r w:rsidR="00FF4790">
        <w:rPr>
          <w:rFonts w:ascii="Arial" w:hAnsi="Arial" w:cs="Arial"/>
          <w:sz w:val="24"/>
          <w:szCs w:val="24"/>
          <w:lang w:val="en-US"/>
        </w:rPr>
        <w:t>4.1, etc.</w:t>
      </w:r>
      <w:r w:rsidR="000E0AF4">
        <w:rPr>
          <w:rFonts w:ascii="Arial" w:hAnsi="Arial" w:cs="Arial"/>
          <w:sz w:val="24"/>
          <w:szCs w:val="24"/>
          <w:lang w:val="en-US"/>
        </w:rPr>
        <w:t>,</w:t>
      </w:r>
      <w:r w:rsidR="005B15A9">
        <w:rPr>
          <w:rFonts w:ascii="Arial" w:hAnsi="Arial" w:cs="Arial"/>
          <w:sz w:val="24"/>
          <w:szCs w:val="24"/>
          <w:lang w:val="en-US"/>
        </w:rPr>
        <w:t xml:space="preserve"> been violated</w:t>
      </w:r>
      <w:sdt>
        <w:sdtPr>
          <w:rPr>
            <w:rFonts w:ascii="Arial" w:hAnsi="Arial" w:cs="Arial"/>
            <w:sz w:val="24"/>
            <w:szCs w:val="24"/>
            <w:lang w:val="en-US"/>
          </w:rPr>
          <w:id w:val="-1702782211"/>
          <w:citation/>
        </w:sdtPr>
        <w:sdtContent>
          <w:r w:rsidR="000E0AF4">
            <w:rPr>
              <w:rFonts w:ascii="Arial" w:hAnsi="Arial" w:cs="Arial"/>
              <w:sz w:val="24"/>
              <w:szCs w:val="24"/>
              <w:lang w:val="en-US"/>
            </w:rPr>
            <w:fldChar w:fldCharType="begin"/>
          </w:r>
          <w:r w:rsidR="000E0AF4">
            <w:rPr>
              <w:rFonts w:ascii="Arial" w:hAnsi="Arial" w:cs="Arial"/>
              <w:sz w:val="24"/>
              <w:szCs w:val="24"/>
              <w:lang w:val="en-US"/>
            </w:rPr>
            <w:instrText xml:space="preserve"> CITATION ACM181 \l 1033 </w:instrText>
          </w:r>
          <w:r w:rsidR="000E0AF4">
            <w:rPr>
              <w:rFonts w:ascii="Arial" w:hAnsi="Arial" w:cs="Arial"/>
              <w:sz w:val="24"/>
              <w:szCs w:val="24"/>
              <w:lang w:val="en-US"/>
            </w:rPr>
            <w:fldChar w:fldCharType="separate"/>
          </w:r>
          <w:r w:rsidR="00FF4790">
            <w:rPr>
              <w:rFonts w:ascii="Arial" w:hAnsi="Arial" w:cs="Arial"/>
              <w:noProof/>
              <w:sz w:val="24"/>
              <w:szCs w:val="24"/>
              <w:lang w:val="en-US"/>
            </w:rPr>
            <w:t xml:space="preserve"> </w:t>
          </w:r>
          <w:r w:rsidR="00FF4790" w:rsidRPr="00FF4790">
            <w:rPr>
              <w:rFonts w:ascii="Arial" w:hAnsi="Arial" w:cs="Arial"/>
              <w:noProof/>
              <w:sz w:val="24"/>
              <w:szCs w:val="24"/>
              <w:lang w:val="en-US"/>
            </w:rPr>
            <w:t>(ACM Code 2018 Task Force, 2018)</w:t>
          </w:r>
          <w:r w:rsidR="000E0AF4">
            <w:rPr>
              <w:rFonts w:ascii="Arial" w:hAnsi="Arial" w:cs="Arial"/>
              <w:sz w:val="24"/>
              <w:szCs w:val="24"/>
              <w:lang w:val="en-US"/>
            </w:rPr>
            <w:fldChar w:fldCharType="end"/>
          </w:r>
        </w:sdtContent>
      </w:sdt>
      <w:r w:rsidR="005B15A9">
        <w:rPr>
          <w:rFonts w:ascii="Arial" w:hAnsi="Arial" w:cs="Arial"/>
          <w:sz w:val="24"/>
          <w:szCs w:val="24"/>
          <w:lang w:val="en-US"/>
        </w:rPr>
        <w:t>)</w:t>
      </w:r>
      <w:r w:rsidR="00605625">
        <w:rPr>
          <w:rFonts w:ascii="Arial" w:hAnsi="Arial" w:cs="Arial"/>
          <w:sz w:val="24"/>
          <w:szCs w:val="24"/>
          <w:lang w:val="en-US"/>
        </w:rPr>
        <w:t xml:space="preserve">. </w:t>
      </w:r>
    </w:p>
    <w:p w14:paraId="66EE793A" w14:textId="77777777" w:rsidR="00715851" w:rsidRPr="00715851" w:rsidRDefault="00715851" w:rsidP="007B651D">
      <w:pPr>
        <w:spacing w:line="480" w:lineRule="auto"/>
        <w:rPr>
          <w:rFonts w:ascii="Arial" w:hAnsi="Arial" w:cs="Arial"/>
          <w:sz w:val="24"/>
          <w:szCs w:val="24"/>
          <w:lang w:val="en-US"/>
        </w:rPr>
      </w:pPr>
    </w:p>
    <w:sdt>
      <w:sdtPr>
        <w:rPr>
          <w:rFonts w:ascii="Arial" w:hAnsi="Arial" w:cs="Arial"/>
          <w:color w:val="auto"/>
          <w:sz w:val="24"/>
          <w:szCs w:val="24"/>
        </w:rPr>
        <w:id w:val="1729336600"/>
        <w:docPartObj>
          <w:docPartGallery w:val="Bibliographies"/>
          <w:docPartUnique/>
        </w:docPartObj>
      </w:sdtPr>
      <w:sdtEndPr>
        <w:rPr>
          <w:rFonts w:asciiTheme="minorHAnsi" w:eastAsiaTheme="minorHAnsi" w:hAnsiTheme="minorHAnsi" w:cstheme="minorBidi"/>
          <w:kern w:val="2"/>
          <w:sz w:val="22"/>
          <w:szCs w:val="22"/>
          <w:lang w:val="en-GB"/>
        </w:rPr>
      </w:sdtEndPr>
      <w:sdtContent>
        <w:p w14:paraId="465E5E03" w14:textId="78AA2CE9" w:rsidR="00715851" w:rsidRPr="00715851" w:rsidRDefault="00715851">
          <w:pPr>
            <w:pStyle w:val="Heading1"/>
            <w:rPr>
              <w:rFonts w:ascii="Arial" w:hAnsi="Arial" w:cs="Arial"/>
              <w:b/>
              <w:bCs/>
              <w:color w:val="auto"/>
              <w:sz w:val="24"/>
              <w:szCs w:val="24"/>
            </w:rPr>
          </w:pPr>
          <w:r w:rsidRPr="00715851">
            <w:rPr>
              <w:rFonts w:ascii="Arial" w:hAnsi="Arial" w:cs="Arial"/>
              <w:b/>
              <w:bCs/>
              <w:color w:val="auto"/>
              <w:sz w:val="24"/>
              <w:szCs w:val="24"/>
            </w:rPr>
            <w:t>References</w:t>
          </w:r>
        </w:p>
        <w:sdt>
          <w:sdtPr>
            <w:rPr>
              <w:rFonts w:ascii="Arial" w:hAnsi="Arial" w:cs="Arial"/>
              <w:sz w:val="24"/>
              <w:szCs w:val="24"/>
            </w:rPr>
            <w:id w:val="-573587230"/>
            <w:bibliography/>
          </w:sdtPr>
          <w:sdtEndPr>
            <w:rPr>
              <w:rFonts w:asciiTheme="minorHAnsi" w:hAnsiTheme="minorHAnsi" w:cstheme="minorBidi"/>
              <w:sz w:val="22"/>
              <w:szCs w:val="22"/>
            </w:rPr>
          </w:sdtEndPr>
          <w:sdtContent>
            <w:p w14:paraId="1246B1E2" w14:textId="77777777" w:rsidR="00FF4790" w:rsidRDefault="00715851" w:rsidP="00FF4790">
              <w:pPr>
                <w:pStyle w:val="Bibliography"/>
                <w:rPr>
                  <w:noProof/>
                  <w:kern w:val="0"/>
                  <w:sz w:val="24"/>
                  <w:szCs w:val="24"/>
                  <w:lang w:val="en-US"/>
                  <w14:ligatures w14:val="none"/>
                </w:rPr>
              </w:pPr>
              <w:r w:rsidRPr="00715851">
                <w:rPr>
                  <w:rFonts w:ascii="Arial" w:hAnsi="Arial" w:cs="Arial"/>
                  <w:sz w:val="24"/>
                  <w:szCs w:val="24"/>
                </w:rPr>
                <w:fldChar w:fldCharType="begin"/>
              </w:r>
              <w:r w:rsidRPr="00715851">
                <w:rPr>
                  <w:rFonts w:ascii="Arial" w:hAnsi="Arial" w:cs="Arial"/>
                  <w:sz w:val="24"/>
                  <w:szCs w:val="24"/>
                </w:rPr>
                <w:instrText xml:space="preserve"> BIBLIOGRAPHY </w:instrText>
              </w:r>
              <w:r w:rsidRPr="00715851">
                <w:rPr>
                  <w:rFonts w:ascii="Arial" w:hAnsi="Arial" w:cs="Arial"/>
                  <w:sz w:val="24"/>
                  <w:szCs w:val="24"/>
                </w:rPr>
                <w:fldChar w:fldCharType="separate"/>
              </w:r>
              <w:r w:rsidR="00FF4790">
                <w:rPr>
                  <w:noProof/>
                  <w:lang w:val="en-US"/>
                </w:rPr>
                <w:t xml:space="preserve">ACM Code 2018 Task Force, 2018. </w:t>
              </w:r>
              <w:r w:rsidR="00FF4790">
                <w:rPr>
                  <w:i/>
                  <w:iCs/>
                  <w:noProof/>
                  <w:lang w:val="en-US"/>
                </w:rPr>
                <w:t xml:space="preserve">ACM Code of Ethics and Professional Conduct. </w:t>
              </w:r>
              <w:r w:rsidR="00FF4790">
                <w:rPr>
                  <w:noProof/>
                  <w:lang w:val="en-US"/>
                </w:rPr>
                <w:t xml:space="preserve">[Online] </w:t>
              </w:r>
              <w:r w:rsidR="00FF4790">
                <w:rPr>
                  <w:noProof/>
                  <w:lang w:val="en-US"/>
                </w:rPr>
                <w:br/>
                <w:t xml:space="preserve">Available at: </w:t>
              </w:r>
              <w:r w:rsidR="00FF4790">
                <w:rPr>
                  <w:noProof/>
                  <w:u w:val="single"/>
                  <w:lang w:val="en-US"/>
                </w:rPr>
                <w:t>https://www.acm.org/code-of-ethics</w:t>
              </w:r>
              <w:r w:rsidR="00FF4790">
                <w:rPr>
                  <w:noProof/>
                  <w:lang w:val="en-US"/>
                </w:rPr>
                <w:br/>
                <w:t>[Accessed 21 June 2023].</w:t>
              </w:r>
            </w:p>
            <w:p w14:paraId="3D22E3AC" w14:textId="77777777" w:rsidR="00FF4790" w:rsidRDefault="00FF4790" w:rsidP="00FF4790">
              <w:pPr>
                <w:pStyle w:val="Bibliography"/>
                <w:rPr>
                  <w:noProof/>
                  <w:lang w:val="en-US"/>
                </w:rPr>
              </w:pPr>
              <w:r>
                <w:rPr>
                  <w:noProof/>
                  <w:lang w:val="en-US"/>
                </w:rPr>
                <w:t xml:space="preserve">ACM, 2018. </w:t>
              </w:r>
              <w:r>
                <w:rPr>
                  <w:i/>
                  <w:iCs/>
                  <w:noProof/>
                  <w:lang w:val="en-US"/>
                </w:rPr>
                <w:t xml:space="preserve">ACM Code of Ethics and Professional Conduct. </w:t>
              </w:r>
              <w:r>
                <w:rPr>
                  <w:noProof/>
                  <w:lang w:val="en-US"/>
                </w:rPr>
                <w:t xml:space="preserve">[Online] </w:t>
              </w:r>
              <w:r>
                <w:rPr>
                  <w:noProof/>
                  <w:lang w:val="en-US"/>
                </w:rPr>
                <w:br/>
                <w:t xml:space="preserve">Available at: </w:t>
              </w:r>
              <w:r>
                <w:rPr>
                  <w:noProof/>
                  <w:u w:val="single"/>
                  <w:lang w:val="en-US"/>
                </w:rPr>
                <w:t>https://www.acm.org/code-of-ethics/case-studies</w:t>
              </w:r>
              <w:r>
                <w:rPr>
                  <w:noProof/>
                  <w:lang w:val="en-US"/>
                </w:rPr>
                <w:br/>
                <w:t>[Accessed 21 June 2023].</w:t>
              </w:r>
            </w:p>
            <w:p w14:paraId="7E851CA4" w14:textId="77777777" w:rsidR="00FF4790" w:rsidRDefault="00FF4790" w:rsidP="00FF4790">
              <w:pPr>
                <w:pStyle w:val="Bibliography"/>
                <w:rPr>
                  <w:noProof/>
                  <w:lang w:val="en-US"/>
                </w:rPr>
              </w:pPr>
              <w:r>
                <w:rPr>
                  <w:noProof/>
                  <w:lang w:val="en-US"/>
                </w:rPr>
                <w:t xml:space="preserve">ACM, N.D.. </w:t>
              </w:r>
              <w:r>
                <w:rPr>
                  <w:i/>
                  <w:iCs/>
                  <w:noProof/>
                  <w:lang w:val="en-US"/>
                </w:rPr>
                <w:t xml:space="preserve">Case: Malicious Inputs to Content Filters. </w:t>
              </w:r>
              <w:r>
                <w:rPr>
                  <w:noProof/>
                  <w:lang w:val="en-US"/>
                </w:rPr>
                <w:t xml:space="preserve">[Online] </w:t>
              </w:r>
              <w:r>
                <w:rPr>
                  <w:noProof/>
                  <w:lang w:val="en-US"/>
                </w:rPr>
                <w:br/>
                <w:t xml:space="preserve">Available at: </w:t>
              </w:r>
              <w:r>
                <w:rPr>
                  <w:noProof/>
                  <w:u w:val="single"/>
                  <w:lang w:val="en-US"/>
                </w:rPr>
                <w:t>https://ethics.acm.org/code-of-ethics/using-the-code/case-malicious-inputs-to-content-filters/</w:t>
              </w:r>
              <w:r>
                <w:rPr>
                  <w:noProof/>
                  <w:lang w:val="en-US"/>
                </w:rPr>
                <w:br/>
                <w:t>[Accessed 29 June 2023].</w:t>
              </w:r>
            </w:p>
            <w:p w14:paraId="53A8B3A4" w14:textId="77777777" w:rsidR="00FF4790" w:rsidRDefault="00FF4790" w:rsidP="00FF4790">
              <w:pPr>
                <w:pStyle w:val="Bibliography"/>
                <w:rPr>
                  <w:noProof/>
                  <w:lang w:val="en-US"/>
                </w:rPr>
              </w:pPr>
              <w:r>
                <w:rPr>
                  <w:noProof/>
                  <w:lang w:val="en-US"/>
                </w:rPr>
                <w:t xml:space="preserve">Consumer and Governmental Affairs, 2019. </w:t>
              </w:r>
              <w:r>
                <w:rPr>
                  <w:i/>
                  <w:iCs/>
                  <w:noProof/>
                  <w:lang w:val="en-US"/>
                </w:rPr>
                <w:t xml:space="preserve">Children's Internet Protection Act (CIPA). </w:t>
              </w:r>
              <w:r>
                <w:rPr>
                  <w:noProof/>
                  <w:lang w:val="en-US"/>
                </w:rPr>
                <w:t xml:space="preserve">[Online] </w:t>
              </w:r>
              <w:r>
                <w:rPr>
                  <w:noProof/>
                  <w:lang w:val="en-US"/>
                </w:rPr>
                <w:br/>
                <w:t xml:space="preserve">Available at: </w:t>
              </w:r>
              <w:r>
                <w:rPr>
                  <w:noProof/>
                  <w:u w:val="single"/>
                  <w:lang w:val="en-US"/>
                </w:rPr>
                <w:t>https://www.fcc.gov/consumers/guides/childrens-internet-protection-act</w:t>
              </w:r>
              <w:r>
                <w:rPr>
                  <w:noProof/>
                  <w:lang w:val="en-US"/>
                </w:rPr>
                <w:br/>
                <w:t>[Accessed 29 June 2023].</w:t>
              </w:r>
            </w:p>
            <w:p w14:paraId="0A00825C" w14:textId="77777777" w:rsidR="00FF4790" w:rsidRDefault="00FF4790" w:rsidP="00FF4790">
              <w:pPr>
                <w:pStyle w:val="Bibliography"/>
                <w:rPr>
                  <w:noProof/>
                  <w:lang w:val="en-US"/>
                </w:rPr>
              </w:pPr>
              <w:r>
                <w:rPr>
                  <w:noProof/>
                  <w:lang w:val="en-US"/>
                </w:rPr>
                <w:t xml:space="preserve">McCarthy, M. M., 2004. </w:t>
              </w:r>
              <w:r>
                <w:rPr>
                  <w:i/>
                  <w:iCs/>
                  <w:noProof/>
                  <w:lang w:val="en-US"/>
                </w:rPr>
                <w:t xml:space="preserve">Filtering the Internet: The Children’s Internet Protection Act. </w:t>
              </w:r>
              <w:r>
                <w:rPr>
                  <w:noProof/>
                  <w:lang w:val="en-US"/>
                </w:rPr>
                <w:t xml:space="preserve">[Online] </w:t>
              </w:r>
              <w:r>
                <w:rPr>
                  <w:noProof/>
                  <w:lang w:val="en-US"/>
                </w:rPr>
                <w:br/>
                <w:t xml:space="preserve">Available at: </w:t>
              </w:r>
              <w:r>
                <w:rPr>
                  <w:noProof/>
                  <w:u w:val="single"/>
                  <w:lang w:val="en-US"/>
                </w:rPr>
                <w:t>https://files.eric.ed.gov/fulltext/EJ684636.pdf</w:t>
              </w:r>
              <w:r>
                <w:rPr>
                  <w:noProof/>
                  <w:lang w:val="en-US"/>
                </w:rPr>
                <w:br/>
                <w:t>[Accessed 29 June 2023].</w:t>
              </w:r>
            </w:p>
            <w:p w14:paraId="5095A67D" w14:textId="77777777" w:rsidR="00FF4790" w:rsidRDefault="00FF4790" w:rsidP="00FF4790">
              <w:pPr>
                <w:pStyle w:val="Bibliography"/>
                <w:rPr>
                  <w:noProof/>
                  <w:lang w:val="en-US"/>
                </w:rPr>
              </w:pPr>
              <w:r>
                <w:rPr>
                  <w:noProof/>
                  <w:lang w:val="en-US"/>
                </w:rPr>
                <w:t xml:space="preserve">Menuey, B. P., 2009. CIPA: A Brief History, Computers in the Schools. </w:t>
              </w:r>
              <w:r>
                <w:rPr>
                  <w:i/>
                  <w:iCs/>
                  <w:noProof/>
                  <w:lang w:val="en-US"/>
                </w:rPr>
                <w:t xml:space="preserve">Interdisciplinary Journal of Practice, Theory, and Applied Research, </w:t>
              </w:r>
              <w:r>
                <w:rPr>
                  <w:noProof/>
                  <w:lang w:val="en-US"/>
                </w:rPr>
                <w:t>26(1), pp. 40-47.</w:t>
              </w:r>
            </w:p>
            <w:p w14:paraId="1820E38D" w14:textId="77777777" w:rsidR="00FF4790" w:rsidRDefault="00FF4790" w:rsidP="00FF4790">
              <w:pPr>
                <w:pStyle w:val="Bibliography"/>
                <w:rPr>
                  <w:noProof/>
                  <w:lang w:val="en-US"/>
                </w:rPr>
              </w:pPr>
              <w:r>
                <w:rPr>
                  <w:noProof/>
                  <w:lang w:val="en-US"/>
                </w:rPr>
                <w:t xml:space="preserve">Trustee Board, 2022. </w:t>
              </w:r>
              <w:r>
                <w:rPr>
                  <w:i/>
                  <w:iCs/>
                  <w:noProof/>
                  <w:lang w:val="en-US"/>
                </w:rPr>
                <w:t xml:space="preserve">COde of Conduct for BCS Members. </w:t>
              </w:r>
              <w:r>
                <w:rPr>
                  <w:noProof/>
                  <w:lang w:val="en-US"/>
                </w:rPr>
                <w:t xml:space="preserve">[Online] </w:t>
              </w:r>
              <w:r>
                <w:rPr>
                  <w:noProof/>
                  <w:lang w:val="en-US"/>
                </w:rPr>
                <w:br/>
                <w:t xml:space="preserve">Available at: </w:t>
              </w:r>
              <w:r>
                <w:rPr>
                  <w:noProof/>
                  <w:u w:val="single"/>
                  <w:lang w:val="en-US"/>
                </w:rPr>
                <w:t>https://www.bcs.org/media/2211/bcs-code-of-conduct.pdf</w:t>
              </w:r>
              <w:r>
                <w:rPr>
                  <w:noProof/>
                  <w:lang w:val="en-US"/>
                </w:rPr>
                <w:br/>
                <w:t>[Accessed 21 June 2023].</w:t>
              </w:r>
            </w:p>
            <w:p w14:paraId="2D49855D" w14:textId="40A442F9" w:rsidR="00715851" w:rsidRDefault="00715851" w:rsidP="00FF4790">
              <w:r w:rsidRPr="00715851">
                <w:rPr>
                  <w:rFonts w:ascii="Arial" w:hAnsi="Arial" w:cs="Arial"/>
                  <w:b/>
                  <w:bCs/>
                  <w:noProof/>
                  <w:sz w:val="24"/>
                  <w:szCs w:val="24"/>
                </w:rPr>
                <w:fldChar w:fldCharType="end"/>
              </w:r>
            </w:p>
          </w:sdtContent>
        </w:sdt>
      </w:sdtContent>
    </w:sdt>
    <w:p w14:paraId="4FF37292" w14:textId="77777777" w:rsidR="00715851" w:rsidRPr="007B651D" w:rsidRDefault="00715851" w:rsidP="007B651D">
      <w:pPr>
        <w:spacing w:line="480" w:lineRule="auto"/>
        <w:rPr>
          <w:rFonts w:ascii="Arial" w:hAnsi="Arial" w:cs="Arial"/>
          <w:sz w:val="24"/>
          <w:szCs w:val="24"/>
          <w:lang w:val="en-US"/>
        </w:rPr>
      </w:pPr>
    </w:p>
    <w:sectPr w:rsidR="00715851" w:rsidRPr="007B651D" w:rsidSect="00A6498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1775" w14:textId="77777777" w:rsidR="00E146E3" w:rsidRDefault="00E146E3" w:rsidP="007B651D">
      <w:pPr>
        <w:spacing w:after="0" w:line="240" w:lineRule="auto"/>
      </w:pPr>
      <w:r>
        <w:separator/>
      </w:r>
    </w:p>
  </w:endnote>
  <w:endnote w:type="continuationSeparator" w:id="0">
    <w:p w14:paraId="433BA46F" w14:textId="77777777" w:rsidR="00E146E3" w:rsidRDefault="00E146E3" w:rsidP="007B6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502400"/>
      <w:docPartObj>
        <w:docPartGallery w:val="Page Numbers (Bottom of Page)"/>
        <w:docPartUnique/>
      </w:docPartObj>
    </w:sdtPr>
    <w:sdtContent>
      <w:p w14:paraId="5D594DE2" w14:textId="1888C55C" w:rsidR="007B651D" w:rsidRDefault="007B651D">
        <w:pPr>
          <w:pStyle w:val="Footer"/>
          <w:jc w:val="center"/>
        </w:pPr>
        <w:r>
          <w:fldChar w:fldCharType="begin"/>
        </w:r>
        <w:r>
          <w:instrText>PAGE   \* MERGEFORMAT</w:instrText>
        </w:r>
        <w:r>
          <w:fldChar w:fldCharType="separate"/>
        </w:r>
        <w:r>
          <w:rPr>
            <w:lang w:val="fr-FR"/>
          </w:rPr>
          <w:t>2</w:t>
        </w:r>
        <w:r>
          <w:fldChar w:fldCharType="end"/>
        </w:r>
      </w:p>
    </w:sdtContent>
  </w:sdt>
  <w:p w14:paraId="3D8B1A74" w14:textId="77777777" w:rsidR="007B651D" w:rsidRDefault="007B6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D195" w14:textId="77777777" w:rsidR="00E146E3" w:rsidRDefault="00E146E3" w:rsidP="007B651D">
      <w:pPr>
        <w:spacing w:after="0" w:line="240" w:lineRule="auto"/>
      </w:pPr>
      <w:r>
        <w:separator/>
      </w:r>
    </w:p>
  </w:footnote>
  <w:footnote w:type="continuationSeparator" w:id="0">
    <w:p w14:paraId="134E0930" w14:textId="77777777" w:rsidR="00E146E3" w:rsidRDefault="00E146E3" w:rsidP="007B65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3FF7"/>
    <w:rsid w:val="000452CC"/>
    <w:rsid w:val="00090483"/>
    <w:rsid w:val="000A54EB"/>
    <w:rsid w:val="000E0AF4"/>
    <w:rsid w:val="001211D9"/>
    <w:rsid w:val="001D64F5"/>
    <w:rsid w:val="0029741C"/>
    <w:rsid w:val="002C0EF1"/>
    <w:rsid w:val="00353FF7"/>
    <w:rsid w:val="003B106F"/>
    <w:rsid w:val="005556AE"/>
    <w:rsid w:val="005B15A9"/>
    <w:rsid w:val="00605625"/>
    <w:rsid w:val="00715851"/>
    <w:rsid w:val="00737CDC"/>
    <w:rsid w:val="007A037C"/>
    <w:rsid w:val="007B651D"/>
    <w:rsid w:val="00A6498F"/>
    <w:rsid w:val="00AA415E"/>
    <w:rsid w:val="00B2646A"/>
    <w:rsid w:val="00BB0338"/>
    <w:rsid w:val="00C05757"/>
    <w:rsid w:val="00C7496F"/>
    <w:rsid w:val="00CE1A05"/>
    <w:rsid w:val="00DB5779"/>
    <w:rsid w:val="00E146E3"/>
    <w:rsid w:val="00F45869"/>
    <w:rsid w:val="00FF4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F734"/>
  <w15:chartTrackingRefBased/>
  <w15:docId w15:val="{0AAFA6A4-7FAD-46F8-8FEE-FAE88710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15851"/>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51D"/>
    <w:rPr>
      <w:lang w:val="en-GB"/>
    </w:rPr>
  </w:style>
  <w:style w:type="paragraph" w:styleId="Footer">
    <w:name w:val="footer"/>
    <w:basedOn w:val="Normal"/>
    <w:link w:val="FooterChar"/>
    <w:uiPriority w:val="99"/>
    <w:unhideWhenUsed/>
    <w:rsid w:val="007B6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51D"/>
    <w:rPr>
      <w:lang w:val="en-GB"/>
    </w:rPr>
  </w:style>
  <w:style w:type="character" w:customStyle="1" w:styleId="Heading1Char">
    <w:name w:val="Heading 1 Char"/>
    <w:basedOn w:val="DefaultParagraphFont"/>
    <w:link w:val="Heading1"/>
    <w:uiPriority w:val="9"/>
    <w:rsid w:val="00715851"/>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71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515">
      <w:bodyDiv w:val="1"/>
      <w:marLeft w:val="0"/>
      <w:marRight w:val="0"/>
      <w:marTop w:val="0"/>
      <w:marBottom w:val="0"/>
      <w:divBdr>
        <w:top w:val="none" w:sz="0" w:space="0" w:color="auto"/>
        <w:left w:val="none" w:sz="0" w:space="0" w:color="auto"/>
        <w:bottom w:val="none" w:sz="0" w:space="0" w:color="auto"/>
        <w:right w:val="none" w:sz="0" w:space="0" w:color="auto"/>
      </w:divBdr>
    </w:div>
    <w:div w:id="206256352">
      <w:bodyDiv w:val="1"/>
      <w:marLeft w:val="0"/>
      <w:marRight w:val="0"/>
      <w:marTop w:val="0"/>
      <w:marBottom w:val="0"/>
      <w:divBdr>
        <w:top w:val="none" w:sz="0" w:space="0" w:color="auto"/>
        <w:left w:val="none" w:sz="0" w:space="0" w:color="auto"/>
        <w:bottom w:val="none" w:sz="0" w:space="0" w:color="auto"/>
        <w:right w:val="none" w:sz="0" w:space="0" w:color="auto"/>
      </w:divBdr>
    </w:div>
    <w:div w:id="302734309">
      <w:bodyDiv w:val="1"/>
      <w:marLeft w:val="0"/>
      <w:marRight w:val="0"/>
      <w:marTop w:val="0"/>
      <w:marBottom w:val="0"/>
      <w:divBdr>
        <w:top w:val="none" w:sz="0" w:space="0" w:color="auto"/>
        <w:left w:val="none" w:sz="0" w:space="0" w:color="auto"/>
        <w:bottom w:val="none" w:sz="0" w:space="0" w:color="auto"/>
        <w:right w:val="none" w:sz="0" w:space="0" w:color="auto"/>
      </w:divBdr>
    </w:div>
    <w:div w:id="333609126">
      <w:bodyDiv w:val="1"/>
      <w:marLeft w:val="0"/>
      <w:marRight w:val="0"/>
      <w:marTop w:val="0"/>
      <w:marBottom w:val="0"/>
      <w:divBdr>
        <w:top w:val="none" w:sz="0" w:space="0" w:color="auto"/>
        <w:left w:val="none" w:sz="0" w:space="0" w:color="auto"/>
        <w:bottom w:val="none" w:sz="0" w:space="0" w:color="auto"/>
        <w:right w:val="none" w:sz="0" w:space="0" w:color="auto"/>
      </w:divBdr>
    </w:div>
    <w:div w:id="454712567">
      <w:bodyDiv w:val="1"/>
      <w:marLeft w:val="0"/>
      <w:marRight w:val="0"/>
      <w:marTop w:val="0"/>
      <w:marBottom w:val="0"/>
      <w:divBdr>
        <w:top w:val="none" w:sz="0" w:space="0" w:color="auto"/>
        <w:left w:val="none" w:sz="0" w:space="0" w:color="auto"/>
        <w:bottom w:val="none" w:sz="0" w:space="0" w:color="auto"/>
        <w:right w:val="none" w:sz="0" w:space="0" w:color="auto"/>
      </w:divBdr>
    </w:div>
    <w:div w:id="483813298">
      <w:bodyDiv w:val="1"/>
      <w:marLeft w:val="0"/>
      <w:marRight w:val="0"/>
      <w:marTop w:val="0"/>
      <w:marBottom w:val="0"/>
      <w:divBdr>
        <w:top w:val="none" w:sz="0" w:space="0" w:color="auto"/>
        <w:left w:val="none" w:sz="0" w:space="0" w:color="auto"/>
        <w:bottom w:val="none" w:sz="0" w:space="0" w:color="auto"/>
        <w:right w:val="none" w:sz="0" w:space="0" w:color="auto"/>
      </w:divBdr>
    </w:div>
    <w:div w:id="544755729">
      <w:bodyDiv w:val="1"/>
      <w:marLeft w:val="0"/>
      <w:marRight w:val="0"/>
      <w:marTop w:val="0"/>
      <w:marBottom w:val="0"/>
      <w:divBdr>
        <w:top w:val="none" w:sz="0" w:space="0" w:color="auto"/>
        <w:left w:val="none" w:sz="0" w:space="0" w:color="auto"/>
        <w:bottom w:val="none" w:sz="0" w:space="0" w:color="auto"/>
        <w:right w:val="none" w:sz="0" w:space="0" w:color="auto"/>
      </w:divBdr>
    </w:div>
    <w:div w:id="570429591">
      <w:bodyDiv w:val="1"/>
      <w:marLeft w:val="0"/>
      <w:marRight w:val="0"/>
      <w:marTop w:val="0"/>
      <w:marBottom w:val="0"/>
      <w:divBdr>
        <w:top w:val="none" w:sz="0" w:space="0" w:color="auto"/>
        <w:left w:val="none" w:sz="0" w:space="0" w:color="auto"/>
        <w:bottom w:val="none" w:sz="0" w:space="0" w:color="auto"/>
        <w:right w:val="none" w:sz="0" w:space="0" w:color="auto"/>
      </w:divBdr>
    </w:div>
    <w:div w:id="639960513">
      <w:bodyDiv w:val="1"/>
      <w:marLeft w:val="0"/>
      <w:marRight w:val="0"/>
      <w:marTop w:val="0"/>
      <w:marBottom w:val="0"/>
      <w:divBdr>
        <w:top w:val="none" w:sz="0" w:space="0" w:color="auto"/>
        <w:left w:val="none" w:sz="0" w:space="0" w:color="auto"/>
        <w:bottom w:val="none" w:sz="0" w:space="0" w:color="auto"/>
        <w:right w:val="none" w:sz="0" w:space="0" w:color="auto"/>
      </w:divBdr>
    </w:div>
    <w:div w:id="665977223">
      <w:bodyDiv w:val="1"/>
      <w:marLeft w:val="0"/>
      <w:marRight w:val="0"/>
      <w:marTop w:val="0"/>
      <w:marBottom w:val="0"/>
      <w:divBdr>
        <w:top w:val="none" w:sz="0" w:space="0" w:color="auto"/>
        <w:left w:val="none" w:sz="0" w:space="0" w:color="auto"/>
        <w:bottom w:val="none" w:sz="0" w:space="0" w:color="auto"/>
        <w:right w:val="none" w:sz="0" w:space="0" w:color="auto"/>
      </w:divBdr>
    </w:div>
    <w:div w:id="796872082">
      <w:bodyDiv w:val="1"/>
      <w:marLeft w:val="0"/>
      <w:marRight w:val="0"/>
      <w:marTop w:val="0"/>
      <w:marBottom w:val="0"/>
      <w:divBdr>
        <w:top w:val="none" w:sz="0" w:space="0" w:color="auto"/>
        <w:left w:val="none" w:sz="0" w:space="0" w:color="auto"/>
        <w:bottom w:val="none" w:sz="0" w:space="0" w:color="auto"/>
        <w:right w:val="none" w:sz="0" w:space="0" w:color="auto"/>
      </w:divBdr>
    </w:div>
    <w:div w:id="885262736">
      <w:bodyDiv w:val="1"/>
      <w:marLeft w:val="0"/>
      <w:marRight w:val="0"/>
      <w:marTop w:val="0"/>
      <w:marBottom w:val="0"/>
      <w:divBdr>
        <w:top w:val="none" w:sz="0" w:space="0" w:color="auto"/>
        <w:left w:val="none" w:sz="0" w:space="0" w:color="auto"/>
        <w:bottom w:val="none" w:sz="0" w:space="0" w:color="auto"/>
        <w:right w:val="none" w:sz="0" w:space="0" w:color="auto"/>
      </w:divBdr>
    </w:div>
    <w:div w:id="1134056526">
      <w:bodyDiv w:val="1"/>
      <w:marLeft w:val="0"/>
      <w:marRight w:val="0"/>
      <w:marTop w:val="0"/>
      <w:marBottom w:val="0"/>
      <w:divBdr>
        <w:top w:val="none" w:sz="0" w:space="0" w:color="auto"/>
        <w:left w:val="none" w:sz="0" w:space="0" w:color="auto"/>
        <w:bottom w:val="none" w:sz="0" w:space="0" w:color="auto"/>
        <w:right w:val="none" w:sz="0" w:space="0" w:color="auto"/>
      </w:divBdr>
    </w:div>
    <w:div w:id="1144394380">
      <w:bodyDiv w:val="1"/>
      <w:marLeft w:val="0"/>
      <w:marRight w:val="0"/>
      <w:marTop w:val="0"/>
      <w:marBottom w:val="0"/>
      <w:divBdr>
        <w:top w:val="none" w:sz="0" w:space="0" w:color="auto"/>
        <w:left w:val="none" w:sz="0" w:space="0" w:color="auto"/>
        <w:bottom w:val="none" w:sz="0" w:space="0" w:color="auto"/>
        <w:right w:val="none" w:sz="0" w:space="0" w:color="auto"/>
      </w:divBdr>
    </w:div>
    <w:div w:id="1400131362">
      <w:bodyDiv w:val="1"/>
      <w:marLeft w:val="0"/>
      <w:marRight w:val="0"/>
      <w:marTop w:val="0"/>
      <w:marBottom w:val="0"/>
      <w:divBdr>
        <w:top w:val="none" w:sz="0" w:space="0" w:color="auto"/>
        <w:left w:val="none" w:sz="0" w:space="0" w:color="auto"/>
        <w:bottom w:val="none" w:sz="0" w:space="0" w:color="auto"/>
        <w:right w:val="none" w:sz="0" w:space="0" w:color="auto"/>
      </w:divBdr>
    </w:div>
    <w:div w:id="1635596618">
      <w:bodyDiv w:val="1"/>
      <w:marLeft w:val="0"/>
      <w:marRight w:val="0"/>
      <w:marTop w:val="0"/>
      <w:marBottom w:val="0"/>
      <w:divBdr>
        <w:top w:val="none" w:sz="0" w:space="0" w:color="auto"/>
        <w:left w:val="none" w:sz="0" w:space="0" w:color="auto"/>
        <w:bottom w:val="none" w:sz="0" w:space="0" w:color="auto"/>
        <w:right w:val="none" w:sz="0" w:space="0" w:color="auto"/>
      </w:divBdr>
    </w:div>
    <w:div w:id="1659768032">
      <w:bodyDiv w:val="1"/>
      <w:marLeft w:val="0"/>
      <w:marRight w:val="0"/>
      <w:marTop w:val="0"/>
      <w:marBottom w:val="0"/>
      <w:divBdr>
        <w:top w:val="none" w:sz="0" w:space="0" w:color="auto"/>
        <w:left w:val="none" w:sz="0" w:space="0" w:color="auto"/>
        <w:bottom w:val="none" w:sz="0" w:space="0" w:color="auto"/>
        <w:right w:val="none" w:sz="0" w:space="0" w:color="auto"/>
      </w:divBdr>
    </w:div>
    <w:div w:id="1712341390">
      <w:bodyDiv w:val="1"/>
      <w:marLeft w:val="0"/>
      <w:marRight w:val="0"/>
      <w:marTop w:val="0"/>
      <w:marBottom w:val="0"/>
      <w:divBdr>
        <w:top w:val="none" w:sz="0" w:space="0" w:color="auto"/>
        <w:left w:val="none" w:sz="0" w:space="0" w:color="auto"/>
        <w:bottom w:val="none" w:sz="0" w:space="0" w:color="auto"/>
        <w:right w:val="none" w:sz="0" w:space="0" w:color="auto"/>
      </w:divBdr>
    </w:div>
    <w:div w:id="1780180005">
      <w:bodyDiv w:val="1"/>
      <w:marLeft w:val="0"/>
      <w:marRight w:val="0"/>
      <w:marTop w:val="0"/>
      <w:marBottom w:val="0"/>
      <w:divBdr>
        <w:top w:val="none" w:sz="0" w:space="0" w:color="auto"/>
        <w:left w:val="none" w:sz="0" w:space="0" w:color="auto"/>
        <w:bottom w:val="none" w:sz="0" w:space="0" w:color="auto"/>
        <w:right w:val="none" w:sz="0" w:space="0" w:color="auto"/>
      </w:divBdr>
    </w:div>
    <w:div w:id="1816677351">
      <w:bodyDiv w:val="1"/>
      <w:marLeft w:val="0"/>
      <w:marRight w:val="0"/>
      <w:marTop w:val="0"/>
      <w:marBottom w:val="0"/>
      <w:divBdr>
        <w:top w:val="none" w:sz="0" w:space="0" w:color="auto"/>
        <w:left w:val="none" w:sz="0" w:space="0" w:color="auto"/>
        <w:bottom w:val="none" w:sz="0" w:space="0" w:color="auto"/>
        <w:right w:val="none" w:sz="0" w:space="0" w:color="auto"/>
      </w:divBdr>
    </w:div>
    <w:div w:id="1822648682">
      <w:bodyDiv w:val="1"/>
      <w:marLeft w:val="0"/>
      <w:marRight w:val="0"/>
      <w:marTop w:val="0"/>
      <w:marBottom w:val="0"/>
      <w:divBdr>
        <w:top w:val="none" w:sz="0" w:space="0" w:color="auto"/>
        <w:left w:val="none" w:sz="0" w:space="0" w:color="auto"/>
        <w:bottom w:val="none" w:sz="0" w:space="0" w:color="auto"/>
        <w:right w:val="none" w:sz="0" w:space="0" w:color="auto"/>
      </w:divBdr>
    </w:div>
    <w:div w:id="1945992239">
      <w:bodyDiv w:val="1"/>
      <w:marLeft w:val="0"/>
      <w:marRight w:val="0"/>
      <w:marTop w:val="0"/>
      <w:marBottom w:val="0"/>
      <w:divBdr>
        <w:top w:val="none" w:sz="0" w:space="0" w:color="auto"/>
        <w:left w:val="none" w:sz="0" w:space="0" w:color="auto"/>
        <w:bottom w:val="none" w:sz="0" w:space="0" w:color="auto"/>
        <w:right w:val="none" w:sz="0" w:space="0" w:color="auto"/>
      </w:divBdr>
    </w:div>
    <w:div w:id="20225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ACMND1</b:Tag>
    <b:SourceType>InternetSite</b:SourceType>
    <b:Guid>{B9ECCF8D-99F3-48F1-A044-7042E3C678CC}</b:Guid>
    <b:Title>Case: Malicious Inputs to Content Filters</b:Title>
    <b:Year>N.D.</b:Year>
    <b:Author>
      <b:Author>
        <b:Corporate>ACM</b:Corporate>
      </b:Author>
    </b:Author>
    <b:YearAccessed>2023</b:YearAccessed>
    <b:MonthAccessed>June</b:MonthAccessed>
    <b:DayAccessed>29</b:DayAccessed>
    <b:URL>https://ethics.acm.org/code-of-ethics/using-the-code/case-malicious-inputs-to-content-filters/</b:URL>
    <b:RefOrder>1</b:RefOrder>
  </b:Source>
  <b:Source>
    <b:Tag>ACM18</b:Tag>
    <b:SourceType>InternetSite</b:SourceType>
    <b:Guid>{FDE59B0A-1E0B-4B03-A817-CF200E156BCD}</b:Guid>
    <b:Title>ACM Code of Ethics and Professional Conduct</b:Title>
    <b:Year>2018</b:Year>
    <b:Author>
      <b:Author>
        <b:Corporate>ACM</b:Corporate>
      </b:Author>
    </b:Author>
    <b:YearAccessed>2023</b:YearAccessed>
    <b:MonthAccessed>June</b:MonthAccessed>
    <b:DayAccessed>21</b:DayAccessed>
    <b:URL>https://www.acm.org/code-of-ethics/case-studies</b:URL>
    <b:RefOrder>7</b:RefOrder>
  </b:Source>
  <b:Source>
    <b:Tag>ACM181</b:Tag>
    <b:SourceType>InternetSite</b:SourceType>
    <b:Guid>{DC631B3E-60C2-42A4-8AB6-F1D5E1234B1D}</b:Guid>
    <b:Author>
      <b:Author>
        <b:Corporate>ACM Code 2018 Task Force</b:Corporate>
      </b:Author>
    </b:Author>
    <b:Title>ACM Code of Ethics and Professional Conduct</b:Title>
    <b:Year>2018</b:Year>
    <b:YearAccessed>2023</b:YearAccessed>
    <b:MonthAccessed>June</b:MonthAccessed>
    <b:DayAccessed>21</b:DayAccessed>
    <b:URL>https://www.acm.org/code-of-ethics</b:URL>
    <b:RefOrder>6</b:RefOrder>
  </b:Source>
  <b:Source>
    <b:Tag>Tru22</b:Tag>
    <b:SourceType>DocumentFromInternetSite</b:SourceType>
    <b:Guid>{643FFA2C-01AB-43D5-807B-15A36FA5B73A}</b:Guid>
    <b:Title>COde of Conduct for BCS Members</b:Title>
    <b:Year>2022</b:Year>
    <b:YearAccessed>2023</b:YearAccessed>
    <b:MonthAccessed>June</b:MonthAccessed>
    <b:DayAccessed>21</b:DayAccessed>
    <b:URL>https://www.bcs.org/media/2211/bcs-code-of-conduct.pdf</b:URL>
    <b:Author>
      <b:Author>
        <b:Corporate>Trustee Board</b:Corporate>
      </b:Author>
    </b:Author>
    <b:Month>June</b:Month>
    <b:Day>08</b:Day>
    <b:RefOrder>5</b:RefOrder>
  </b:Source>
  <b:Source>
    <b:Tag>Con19</b:Tag>
    <b:SourceType>InternetSite</b:SourceType>
    <b:Guid>{DB7820CB-2412-47CD-ADF2-2AF52CFFDA6C}</b:Guid>
    <b:Author>
      <b:Author>
        <b:Corporate>Consumer and Governmental Affairs</b:Corporate>
      </b:Author>
    </b:Author>
    <b:Title>Children's Internet Protection Act (CIPA)</b:Title>
    <b:Year>2019</b:Year>
    <b:YearAccessed>2023</b:YearAccessed>
    <b:MonthAccessed>June</b:MonthAccessed>
    <b:DayAccessed>29</b:DayAccessed>
    <b:URL>https://www.fcc.gov/consumers/guides/childrens-internet-protection-act</b:URL>
    <b:RefOrder>2</b:RefOrder>
  </b:Source>
  <b:Source>
    <b:Tag>McC04</b:Tag>
    <b:SourceType>DocumentFromInternetSite</b:SourceType>
    <b:Guid>{09D40E66-E006-4440-A967-64C4EFAB9148}</b:Guid>
    <b:Title>Filtering the Internet: The Children’s Internet Protection Act</b:Title>
    <b:Year>2004</b:Year>
    <b:YearAccessed>2023</b:YearAccessed>
    <b:MonthAccessed>June</b:MonthAccessed>
    <b:DayAccessed>29</b:DayAccessed>
    <b:URL>https://files.eric.ed.gov/fulltext/EJ684636.pdf</b:URL>
    <b:Author>
      <b:Author>
        <b:NameList>
          <b:Person>
            <b:Last>McCarthy</b:Last>
            <b:Middle>M</b:Middle>
            <b:First>Martha</b:First>
          </b:Person>
        </b:NameList>
      </b:Author>
    </b:Author>
    <b:RefOrder>3</b:RefOrder>
  </b:Source>
  <b:Source>
    <b:Tag>Men09</b:Tag>
    <b:SourceType>JournalArticle</b:SourceType>
    <b:Guid>{29E2F795-50D0-4A51-99A7-49E6BE43E97C}</b:Guid>
    <b:Title>CIPA: A Brief History, Computers in the Schools</b:Title>
    <b:Year>2009</b:Year>
    <b:URL>https://www.tandfonline.com/doi/full/10.1080/07380560802688265?needAccess=true</b:URL>
    <b:JournalName>Interdisciplinary Journal of Practice, Theory, and Applied Research</b:JournalName>
    <b:Pages>40-47</b:Pages>
    <b:Volume>26</b:Volume>
    <b:Issue>1</b:Issue>
    <b:Author>
      <b:Author>
        <b:NameList>
          <b:Person>
            <b:Last>Menuey</b:Last>
            <b:Middle>P</b:Middle>
            <b:First>Brendan</b:First>
          </b:Person>
        </b:NameList>
      </b:Author>
    </b:Author>
    <b:DOI>https://doi.org/10.1080/07380560802688265</b:DOI>
    <b:RefOrder>4</b:RefOrder>
  </b:Source>
</b:Sources>
</file>

<file path=customXml/itemProps1.xml><?xml version="1.0" encoding="utf-8"?>
<ds:datastoreItem xmlns:ds="http://schemas.openxmlformats.org/officeDocument/2006/customXml" ds:itemID="{7A678107-70A3-4CE6-ADF5-2F078433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Pages>
  <Words>503</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KARIMI-PC</dc:creator>
  <cp:keywords/>
  <dc:description/>
  <cp:lastModifiedBy>KARIMI-PC</cp:lastModifiedBy>
  <cp:revision>2</cp:revision>
  <dcterms:created xsi:type="dcterms:W3CDTF">2023-06-29T16:22:00Z</dcterms:created>
  <dcterms:modified xsi:type="dcterms:W3CDTF">2023-06-30T02:47:00Z</dcterms:modified>
</cp:coreProperties>
</file>