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18C7" w14:textId="40522555" w:rsidR="00745C2E" w:rsidRDefault="00942F5F" w:rsidP="00942F5F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942F5F">
        <w:rPr>
          <w:rFonts w:ascii="Arial" w:hAnsi="Arial" w:cs="Arial"/>
          <w:sz w:val="24"/>
          <w:szCs w:val="24"/>
          <w:lang w:val="en-US"/>
        </w:rPr>
        <w:t>Ibahim</w:t>
      </w:r>
      <w:proofErr w:type="spellEnd"/>
      <w:r w:rsidRPr="00942F5F">
        <w:rPr>
          <w:rFonts w:ascii="Arial" w:hAnsi="Arial" w:cs="Arial"/>
          <w:sz w:val="24"/>
          <w:szCs w:val="24"/>
          <w:lang w:val="en-US"/>
        </w:rPr>
        <w:t>, your</w:t>
      </w:r>
      <w:r w:rsidRPr="00942F5F">
        <w:rPr>
          <w:rFonts w:ascii="Arial" w:hAnsi="Arial" w:cs="Arial"/>
          <w:sz w:val="24"/>
          <w:szCs w:val="24"/>
          <w:lang w:val="en-US"/>
        </w:rPr>
        <w:t xml:space="preserve"> post </w:t>
      </w:r>
      <w:r>
        <w:rPr>
          <w:rFonts w:ascii="Arial" w:hAnsi="Arial" w:cs="Arial"/>
          <w:sz w:val="24"/>
          <w:szCs w:val="24"/>
          <w:lang w:val="en-US"/>
        </w:rPr>
        <w:t xml:space="preserve">has </w:t>
      </w:r>
      <w:r w:rsidRPr="00942F5F">
        <w:rPr>
          <w:rFonts w:ascii="Arial" w:hAnsi="Arial" w:cs="Arial"/>
          <w:sz w:val="24"/>
          <w:szCs w:val="24"/>
          <w:lang w:val="en-US"/>
        </w:rPr>
        <w:t xml:space="preserve">effectively </w:t>
      </w:r>
      <w:r w:rsidR="00676B77" w:rsidRPr="00942F5F">
        <w:rPr>
          <w:rFonts w:ascii="Arial" w:hAnsi="Arial" w:cs="Arial"/>
          <w:sz w:val="24"/>
          <w:szCs w:val="24"/>
          <w:lang w:val="en-US"/>
        </w:rPr>
        <w:t>highlight</w:t>
      </w:r>
      <w:r w:rsidR="00676B77">
        <w:rPr>
          <w:rFonts w:ascii="Arial" w:hAnsi="Arial" w:cs="Arial"/>
          <w:sz w:val="24"/>
          <w:szCs w:val="24"/>
          <w:lang w:val="en-US"/>
        </w:rPr>
        <w:t>ed</w:t>
      </w:r>
      <w:r w:rsidRPr="00942F5F">
        <w:rPr>
          <w:rFonts w:ascii="Arial" w:hAnsi="Arial" w:cs="Arial"/>
          <w:sz w:val="24"/>
          <w:szCs w:val="24"/>
          <w:lang w:val="en-US"/>
        </w:rPr>
        <w:t xml:space="preserve"> the ethical obligations Abi faces in reporting his research findings, particularly emphasizing the principles of integrity and transparency. </w:t>
      </w:r>
      <w:r>
        <w:rPr>
          <w:rFonts w:ascii="Arial" w:hAnsi="Arial" w:cs="Arial"/>
          <w:sz w:val="24"/>
          <w:szCs w:val="24"/>
          <w:lang w:val="en-US"/>
        </w:rPr>
        <w:t>Moreover, t</w:t>
      </w:r>
      <w:r w:rsidRPr="00942F5F">
        <w:rPr>
          <w:rFonts w:ascii="Arial" w:hAnsi="Arial" w:cs="Arial"/>
          <w:sz w:val="24"/>
          <w:szCs w:val="24"/>
          <w:lang w:val="en-US"/>
        </w:rPr>
        <w:t>he</w:t>
      </w:r>
      <w:r>
        <w:rPr>
          <w:rFonts w:ascii="Arial" w:hAnsi="Arial" w:cs="Arial"/>
          <w:sz w:val="24"/>
          <w:szCs w:val="24"/>
          <w:lang w:val="en-US"/>
        </w:rPr>
        <w:t xml:space="preserve"> inclusion of</w:t>
      </w:r>
      <w:r w:rsidRPr="00942F5F">
        <w:rPr>
          <w:rFonts w:ascii="Arial" w:hAnsi="Arial" w:cs="Arial"/>
          <w:sz w:val="24"/>
          <w:szCs w:val="24"/>
          <w:lang w:val="en-US"/>
        </w:rPr>
        <w:t xml:space="preserve"> reference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942F5F">
        <w:rPr>
          <w:rFonts w:ascii="Arial" w:hAnsi="Arial" w:cs="Arial"/>
          <w:sz w:val="24"/>
          <w:szCs w:val="24"/>
          <w:lang w:val="en-US"/>
        </w:rPr>
        <w:t xml:space="preserve"> to the American Statistical Association (ASA)</w:t>
      </w:r>
      <w:r w:rsidR="00745C2E">
        <w:rPr>
          <w:rFonts w:ascii="Arial" w:hAnsi="Arial" w:cs="Arial"/>
          <w:sz w:val="24"/>
          <w:szCs w:val="24"/>
          <w:lang w:val="en-US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-353192921"/>
          <w:citation/>
        </w:sdtPr>
        <w:sdtContent>
          <w:r w:rsidR="00745C2E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745C2E">
            <w:rPr>
              <w:rFonts w:ascii="Arial" w:hAnsi="Arial" w:cs="Arial"/>
              <w:sz w:val="24"/>
              <w:szCs w:val="24"/>
              <w:lang w:val="en-US"/>
            </w:rPr>
            <w:instrText xml:space="preserve">CITATION the23 \l 1033 </w:instrText>
          </w:r>
          <w:r w:rsidR="00745C2E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AD5077" w:rsidRPr="00AD5077">
            <w:rPr>
              <w:rFonts w:ascii="Arial" w:hAnsi="Arial" w:cs="Arial"/>
              <w:noProof/>
              <w:sz w:val="24"/>
              <w:szCs w:val="24"/>
              <w:lang w:val="en-US"/>
            </w:rPr>
            <w:t>(the Committee on Professional Ethics of the American Statistical Association, 2022)</w:t>
          </w:r>
          <w:r w:rsidR="00745C2E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Pr="00942F5F">
        <w:rPr>
          <w:rFonts w:ascii="Arial" w:hAnsi="Arial" w:cs="Arial"/>
          <w:sz w:val="24"/>
          <w:szCs w:val="24"/>
          <w:lang w:val="en-US"/>
        </w:rPr>
        <w:t xml:space="preserve"> and the Committee on Publication Ethics (COPE)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-1549830916"/>
          <w:citation/>
        </w:sdtPr>
        <w:sdtContent>
          <w:r w:rsidR="00745C2E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745C2E">
            <w:rPr>
              <w:rFonts w:ascii="Arial" w:hAnsi="Arial" w:cs="Arial"/>
              <w:sz w:val="24"/>
              <w:szCs w:val="24"/>
              <w:lang w:val="en-US"/>
            </w:rPr>
            <w:instrText xml:space="preserve"> CITATION The22 \l 1033 </w:instrText>
          </w:r>
          <w:r w:rsidR="00745C2E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AD5077" w:rsidRPr="00AD5077">
            <w:rPr>
              <w:rFonts w:ascii="Arial" w:hAnsi="Arial" w:cs="Arial"/>
              <w:noProof/>
              <w:sz w:val="24"/>
              <w:szCs w:val="24"/>
              <w:lang w:val="en-US"/>
            </w:rPr>
            <w:t>(The Committee on Publication Ethics (COPE), the Directory of Open Access Journals (DOAJ), the Open Access Scholarly Publishing Association (OASPA), and the World Association of Medical Editors (WAME) , 2022)</w:t>
          </w:r>
          <w:r w:rsidR="00745C2E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745C2E">
        <w:rPr>
          <w:rFonts w:ascii="Arial" w:hAnsi="Arial" w:cs="Arial"/>
          <w:sz w:val="24"/>
          <w:szCs w:val="24"/>
          <w:lang w:val="en-US"/>
        </w:rPr>
        <w:t xml:space="preserve"> </w:t>
      </w:r>
      <w:r w:rsidRPr="00942F5F">
        <w:rPr>
          <w:rFonts w:ascii="Arial" w:hAnsi="Arial" w:cs="Arial"/>
          <w:sz w:val="24"/>
          <w:szCs w:val="24"/>
          <w:lang w:val="en-US"/>
        </w:rPr>
        <w:t xml:space="preserve">guidelines </w:t>
      </w:r>
      <w:r w:rsidR="0040396C">
        <w:rPr>
          <w:rFonts w:ascii="Arial" w:hAnsi="Arial" w:cs="Arial"/>
          <w:sz w:val="24"/>
          <w:szCs w:val="24"/>
          <w:lang w:val="en-US"/>
        </w:rPr>
        <w:t>added</w:t>
      </w:r>
      <w:r w:rsidRPr="00942F5F">
        <w:rPr>
          <w:rFonts w:ascii="Arial" w:hAnsi="Arial" w:cs="Arial"/>
          <w:sz w:val="24"/>
          <w:szCs w:val="24"/>
          <w:lang w:val="en-US"/>
        </w:rPr>
        <w:t xml:space="preserve"> credibility to your argument</w:t>
      </w:r>
      <w:r w:rsidR="00745C2E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942F5F">
        <w:rPr>
          <w:rFonts w:ascii="Arial" w:hAnsi="Arial" w:cs="Arial"/>
          <w:sz w:val="24"/>
          <w:szCs w:val="24"/>
          <w:lang w:val="en-US"/>
        </w:rPr>
        <w:t>showcas</w:t>
      </w:r>
      <w:r w:rsidR="00745C2E">
        <w:rPr>
          <w:rFonts w:ascii="Arial" w:hAnsi="Arial" w:cs="Arial"/>
          <w:sz w:val="24"/>
          <w:szCs w:val="24"/>
          <w:lang w:val="en-US"/>
        </w:rPr>
        <w:t>ed</w:t>
      </w:r>
      <w:r w:rsidRPr="00942F5F">
        <w:rPr>
          <w:rFonts w:ascii="Arial" w:hAnsi="Arial" w:cs="Arial"/>
          <w:sz w:val="24"/>
          <w:szCs w:val="24"/>
          <w:lang w:val="en-US"/>
        </w:rPr>
        <w:t xml:space="preserve"> a solid foundation for your </w:t>
      </w:r>
      <w:r w:rsidR="00745C2E">
        <w:rPr>
          <w:rFonts w:ascii="Arial" w:hAnsi="Arial" w:cs="Arial"/>
          <w:sz w:val="24"/>
          <w:szCs w:val="24"/>
          <w:lang w:val="en-US"/>
        </w:rPr>
        <w:t>point of view</w:t>
      </w:r>
      <w:r w:rsidRPr="00942F5F">
        <w:rPr>
          <w:rFonts w:ascii="Arial" w:hAnsi="Arial" w:cs="Arial"/>
          <w:sz w:val="24"/>
          <w:szCs w:val="24"/>
          <w:lang w:val="en-US"/>
        </w:rPr>
        <w:t>.</w:t>
      </w:r>
    </w:p>
    <w:p w14:paraId="24E333AF" w14:textId="77777777" w:rsidR="00D26372" w:rsidRDefault="00D26372" w:rsidP="00942F5F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75596049" w14:textId="02CAC90A" w:rsidR="00341684" w:rsidRDefault="00676B77" w:rsidP="00676B77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676B77">
        <w:rPr>
          <w:rFonts w:ascii="Arial" w:hAnsi="Arial" w:cs="Arial"/>
          <w:sz w:val="24"/>
          <w:szCs w:val="24"/>
          <w:lang w:val="en-US"/>
        </w:rPr>
        <w:t>However, it is crucial to</w:t>
      </w:r>
      <w:r w:rsidR="00D26372">
        <w:rPr>
          <w:rFonts w:ascii="Arial" w:hAnsi="Arial" w:cs="Arial"/>
          <w:sz w:val="24"/>
          <w:szCs w:val="24"/>
          <w:lang w:val="en-US"/>
        </w:rPr>
        <w:t xml:space="preserve"> acknowledge that even if Abi provides his </w:t>
      </w:r>
      <w:r w:rsidR="00AC2D51">
        <w:rPr>
          <w:rFonts w:ascii="Arial" w:hAnsi="Arial" w:cs="Arial"/>
          <w:sz w:val="24"/>
          <w:szCs w:val="24"/>
          <w:lang w:val="en-US"/>
        </w:rPr>
        <w:t xml:space="preserve">true </w:t>
      </w:r>
      <w:r w:rsidR="00D26372">
        <w:rPr>
          <w:rFonts w:ascii="Arial" w:hAnsi="Arial" w:cs="Arial"/>
          <w:sz w:val="24"/>
          <w:szCs w:val="24"/>
          <w:lang w:val="en-US"/>
        </w:rPr>
        <w:t>findings to the manufacturers thus giving them, the manufactures, the responsibility to make a decision</w:t>
      </w:r>
      <w:r w:rsidR="00AC2D51">
        <w:rPr>
          <w:rFonts w:ascii="Arial" w:hAnsi="Arial" w:cs="Arial"/>
          <w:sz w:val="24"/>
          <w:szCs w:val="24"/>
          <w:lang w:val="en-US"/>
        </w:rPr>
        <w:t>,</w:t>
      </w:r>
      <w:r w:rsidR="00D26372">
        <w:rPr>
          <w:rFonts w:ascii="Arial" w:hAnsi="Arial" w:cs="Arial"/>
          <w:sz w:val="24"/>
          <w:szCs w:val="24"/>
          <w:lang w:val="en-US"/>
        </w:rPr>
        <w:t xml:space="preserve"> </w:t>
      </w:r>
      <w:r w:rsidR="00AC2D51">
        <w:rPr>
          <w:rFonts w:ascii="Arial" w:hAnsi="Arial" w:cs="Arial"/>
          <w:sz w:val="24"/>
          <w:szCs w:val="24"/>
          <w:lang w:val="en-US"/>
        </w:rPr>
        <w:t>Abi</w:t>
      </w:r>
      <w:r w:rsidR="00D26372">
        <w:rPr>
          <w:rFonts w:ascii="Arial" w:hAnsi="Arial" w:cs="Arial"/>
          <w:sz w:val="24"/>
          <w:szCs w:val="24"/>
          <w:lang w:val="en-US"/>
        </w:rPr>
        <w:t xml:space="preserve"> should be aware</w:t>
      </w:r>
      <w:r w:rsidR="00AC2D51">
        <w:rPr>
          <w:rFonts w:ascii="Arial" w:hAnsi="Arial" w:cs="Arial"/>
          <w:sz w:val="24"/>
          <w:szCs w:val="24"/>
          <w:lang w:val="en-US"/>
        </w:rPr>
        <w:t xml:space="preserve"> of the repercussions. For instance: The reactions of the manufacturer after the findings’ disclosure. Whereby, will the</w:t>
      </w:r>
      <w:r w:rsidR="00D26372">
        <w:rPr>
          <w:rFonts w:ascii="Arial" w:hAnsi="Arial" w:cs="Arial"/>
          <w:sz w:val="24"/>
          <w:szCs w:val="24"/>
          <w:lang w:val="en-US"/>
        </w:rPr>
        <w:t xml:space="preserve"> manufacturer choose to make an ethical decision like</w:t>
      </w:r>
      <w:r w:rsidR="00AC2D51">
        <w:rPr>
          <w:rFonts w:ascii="Arial" w:hAnsi="Arial" w:cs="Arial"/>
          <w:sz w:val="24"/>
          <w:szCs w:val="24"/>
          <w:lang w:val="en-US"/>
        </w:rPr>
        <w:t>:</w:t>
      </w:r>
      <w:r w:rsidR="00D26372">
        <w:rPr>
          <w:rFonts w:ascii="Arial" w:hAnsi="Arial" w:cs="Arial"/>
          <w:sz w:val="24"/>
          <w:szCs w:val="24"/>
          <w:lang w:val="en-US"/>
        </w:rPr>
        <w:t xml:space="preserve"> </w:t>
      </w:r>
      <w:r w:rsidR="00AC2D51">
        <w:rPr>
          <w:rFonts w:ascii="Arial" w:hAnsi="Arial" w:cs="Arial"/>
          <w:sz w:val="24"/>
          <w:szCs w:val="24"/>
          <w:lang w:val="en-US"/>
        </w:rPr>
        <w:t>product improvement, perform further research,</w:t>
      </w:r>
      <w:r w:rsidR="00832B2A">
        <w:rPr>
          <w:rFonts w:ascii="Arial" w:hAnsi="Arial" w:cs="Arial"/>
          <w:sz w:val="24"/>
          <w:szCs w:val="24"/>
          <w:lang w:val="en-US"/>
        </w:rPr>
        <w:t xml:space="preserve"> </w:t>
      </w:r>
      <w:r w:rsidR="00AD5077">
        <w:rPr>
          <w:rFonts w:ascii="Arial" w:hAnsi="Arial" w:cs="Arial"/>
          <w:sz w:val="24"/>
          <w:szCs w:val="24"/>
          <w:lang w:val="en-US"/>
        </w:rPr>
        <w:t>etc.</w:t>
      </w:r>
      <w:r w:rsidR="00832B2A">
        <w:rPr>
          <w:rFonts w:ascii="Arial" w:hAnsi="Arial" w:cs="Arial"/>
          <w:sz w:val="24"/>
          <w:szCs w:val="24"/>
          <w:lang w:val="en-US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-1586140042"/>
          <w:citation/>
        </w:sdtPr>
        <w:sdtContent>
          <w:r w:rsidR="00832B2A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832B2A">
            <w:rPr>
              <w:rFonts w:ascii="Arial" w:hAnsi="Arial" w:cs="Arial"/>
              <w:sz w:val="24"/>
              <w:szCs w:val="24"/>
              <w:lang w:val="en-US"/>
            </w:rPr>
            <w:instrText xml:space="preserve"> CITATION Fer21 \l 1033 </w:instrText>
          </w:r>
          <w:r w:rsidR="00832B2A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AD5077" w:rsidRPr="00AD5077">
            <w:rPr>
              <w:rFonts w:ascii="Arial" w:hAnsi="Arial" w:cs="Arial"/>
              <w:noProof/>
              <w:sz w:val="24"/>
              <w:szCs w:val="24"/>
              <w:lang w:val="en-US"/>
            </w:rPr>
            <w:t>(Ferrell, et al., 2021)</w:t>
          </w:r>
          <w:r w:rsidR="00832B2A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AC2D51">
        <w:rPr>
          <w:rFonts w:ascii="Arial" w:hAnsi="Arial" w:cs="Arial"/>
          <w:sz w:val="24"/>
          <w:szCs w:val="24"/>
          <w:lang w:val="en-US"/>
        </w:rPr>
        <w:t xml:space="preserve"> - or they will go for the unethical decision</w:t>
      </w:r>
      <w:r w:rsidR="00C722D9">
        <w:rPr>
          <w:rFonts w:ascii="Arial" w:hAnsi="Arial" w:cs="Arial"/>
          <w:sz w:val="24"/>
          <w:szCs w:val="24"/>
          <w:lang w:val="en-US"/>
        </w:rPr>
        <w:t>(s)</w:t>
      </w:r>
      <w:r w:rsidR="00AC2D51">
        <w:rPr>
          <w:rFonts w:ascii="Arial" w:hAnsi="Arial" w:cs="Arial"/>
          <w:sz w:val="24"/>
          <w:szCs w:val="24"/>
          <w:lang w:val="en-US"/>
        </w:rPr>
        <w:t xml:space="preserve"> like ignoring the negative findings so as to protect </w:t>
      </w:r>
      <w:r w:rsidR="00C722D9">
        <w:rPr>
          <w:rFonts w:ascii="Arial" w:hAnsi="Arial" w:cs="Arial"/>
          <w:sz w:val="24"/>
          <w:szCs w:val="24"/>
          <w:lang w:val="en-US"/>
        </w:rPr>
        <w:t xml:space="preserve">and promote </w:t>
      </w:r>
      <w:r w:rsidR="00AC2D51">
        <w:rPr>
          <w:rFonts w:ascii="Arial" w:hAnsi="Arial" w:cs="Arial"/>
          <w:sz w:val="24"/>
          <w:szCs w:val="24"/>
          <w:lang w:val="en-US"/>
        </w:rPr>
        <w:t>their com</w:t>
      </w:r>
      <w:r w:rsidR="00C722D9">
        <w:rPr>
          <w:rFonts w:ascii="Arial" w:hAnsi="Arial" w:cs="Arial"/>
          <w:sz w:val="24"/>
          <w:szCs w:val="24"/>
          <w:lang w:val="en-US"/>
        </w:rPr>
        <w:t>pany values and</w:t>
      </w:r>
      <w:r w:rsidR="00AC2D51">
        <w:rPr>
          <w:rFonts w:ascii="Arial" w:hAnsi="Arial" w:cs="Arial"/>
          <w:sz w:val="24"/>
          <w:szCs w:val="24"/>
          <w:lang w:val="en-US"/>
        </w:rPr>
        <w:t xml:space="preserve"> interests</w:t>
      </w:r>
      <w:r w:rsidR="00C722D9">
        <w:rPr>
          <w:rFonts w:ascii="Arial" w:hAnsi="Arial" w:cs="Arial"/>
          <w:sz w:val="24"/>
          <w:szCs w:val="24"/>
          <w:lang w:val="en-US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-422724247"/>
          <w:citation/>
        </w:sdtPr>
        <w:sdtContent>
          <w:r w:rsidR="00CF5011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CF5011">
            <w:rPr>
              <w:rFonts w:ascii="Arial" w:hAnsi="Arial" w:cs="Arial"/>
              <w:sz w:val="24"/>
              <w:szCs w:val="24"/>
              <w:lang w:val="en-US"/>
            </w:rPr>
            <w:instrText xml:space="preserve"> CITATION Res19 \l 1033 </w:instrText>
          </w:r>
          <w:r w:rsidR="00CF5011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AD5077" w:rsidRPr="00AD5077">
            <w:rPr>
              <w:rFonts w:ascii="Arial" w:hAnsi="Arial" w:cs="Arial"/>
              <w:noProof/>
              <w:sz w:val="24"/>
              <w:szCs w:val="24"/>
              <w:lang w:val="en-US"/>
            </w:rPr>
            <w:t>(Resnik &amp; Elliott , 2019)</w:t>
          </w:r>
          <w:r w:rsidR="00CF5011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341684">
        <w:rPr>
          <w:rFonts w:ascii="Arial" w:hAnsi="Arial" w:cs="Arial"/>
          <w:sz w:val="24"/>
          <w:szCs w:val="24"/>
          <w:lang w:val="en-US"/>
        </w:rPr>
        <w:t xml:space="preserve">. </w:t>
      </w:r>
      <w:r w:rsidR="00AD5077" w:rsidRPr="00AD5077">
        <w:rPr>
          <w:rFonts w:ascii="Arial" w:hAnsi="Arial" w:cs="Arial"/>
          <w:sz w:val="24"/>
          <w:szCs w:val="24"/>
          <w:lang w:val="en-US"/>
        </w:rPr>
        <w:t>Exploration of these potential scenarios can offer a more comprehensive exploration of the ethical complexities Abi faces since the manufacturer's decision on the matter can affect Abi.</w:t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</w:rPr>
        <w:id w:val="-1870058973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sz w:val="22"/>
          <w:szCs w:val="22"/>
          <w:lang w:val="en-GB"/>
        </w:rPr>
      </w:sdtEndPr>
      <w:sdtContent>
        <w:p w14:paraId="31ABC002" w14:textId="39E95A95" w:rsidR="00341684" w:rsidRPr="00341684" w:rsidRDefault="00341684">
          <w:pPr>
            <w:pStyle w:val="Heading1"/>
            <w:rPr>
              <w:rFonts w:ascii="Arial" w:eastAsiaTheme="minorHAnsi" w:hAnsi="Arial" w:cs="Arial"/>
              <w:b/>
              <w:bCs/>
              <w:color w:val="auto"/>
              <w:kern w:val="2"/>
              <w:sz w:val="24"/>
              <w:szCs w:val="24"/>
            </w:rPr>
          </w:pPr>
          <w:r w:rsidRPr="00341684">
            <w:rPr>
              <w:rFonts w:ascii="Arial" w:eastAsiaTheme="minorHAnsi" w:hAnsi="Arial" w:cs="Arial"/>
              <w:b/>
              <w:bCs/>
              <w:color w:val="auto"/>
              <w:kern w:val="2"/>
              <w:sz w:val="24"/>
              <w:szCs w:val="24"/>
            </w:rPr>
            <w:t>References</w:t>
          </w:r>
        </w:p>
        <w:sdt>
          <w:sdtPr>
            <w:rPr>
              <w:rFonts w:ascii="Arial" w:hAnsi="Arial" w:cs="Arial"/>
              <w:sz w:val="24"/>
              <w:szCs w:val="24"/>
              <w:lang w:val="en-US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  <w:lang w:val="en-GB"/>
            </w:rPr>
          </w:sdtEndPr>
          <w:sdtContent>
            <w:p w14:paraId="4F4914BE" w14:textId="77777777" w:rsidR="00AD5077" w:rsidRDefault="00341684" w:rsidP="00AD5077">
              <w:pPr>
                <w:pStyle w:val="Bibliography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 w:rsidRPr="00341684">
                <w:rPr>
                  <w:rFonts w:ascii="Arial" w:hAnsi="Arial" w:cs="Arial"/>
                  <w:sz w:val="24"/>
                  <w:szCs w:val="24"/>
                  <w:lang w:val="en-US"/>
                </w:rPr>
                <w:fldChar w:fldCharType="begin"/>
              </w:r>
              <w:r w:rsidRPr="00AD5077">
                <w:rPr>
                  <w:rFonts w:ascii="Arial" w:hAnsi="Arial" w:cs="Arial"/>
                  <w:sz w:val="24"/>
                  <w:szCs w:val="24"/>
                  <w:lang w:val="en-US"/>
                </w:rPr>
                <w:instrText xml:space="preserve"> BIBLIOGRAPHY </w:instrText>
              </w:r>
              <w:r w:rsidRPr="00341684">
                <w:rPr>
                  <w:rFonts w:ascii="Arial" w:hAnsi="Arial" w:cs="Arial"/>
                  <w:sz w:val="24"/>
                  <w:szCs w:val="24"/>
                  <w:lang w:val="en-US"/>
                </w:rPr>
                <w:fldChar w:fldCharType="separate"/>
              </w:r>
              <w:r w:rsidR="00AD5077">
                <w:rPr>
                  <w:noProof/>
                  <w:lang w:val="en-US"/>
                </w:rPr>
                <w:t xml:space="preserve">Ferrell, O. C., Fraedrich, J. &amp; Ferrell, L., 2021. </w:t>
              </w:r>
              <w:r w:rsidR="00AD5077">
                <w:rPr>
                  <w:i/>
                  <w:iCs/>
                  <w:noProof/>
                  <w:lang w:val="en-US"/>
                </w:rPr>
                <w:t xml:space="preserve">Business Ethics: Ethical Decision Making and Cases. </w:t>
              </w:r>
              <w:r w:rsidR="00AD5077">
                <w:rPr>
                  <w:noProof/>
                  <w:lang w:val="en-US"/>
                </w:rPr>
                <w:t>13 ed. Massachusetts: Cengage Learning.</w:t>
              </w:r>
            </w:p>
            <w:p w14:paraId="41AD8DDF" w14:textId="77777777" w:rsidR="00AD5077" w:rsidRDefault="00AD5077" w:rsidP="00AD5077">
              <w:pPr>
                <w:pStyle w:val="Bibliography"/>
                <w:rPr>
                  <w:noProof/>
                  <w:lang w:val="en-US"/>
                </w:rPr>
              </w:pPr>
              <w:r w:rsidRPr="00AD5077">
                <w:rPr>
                  <w:noProof/>
                  <w:lang w:val="fr-FR"/>
                </w:rPr>
                <w:lastRenderedPageBreak/>
                <w:t xml:space="preserve">Resnik , D. B. &amp; Elliott , K. C., 2019. </w:t>
              </w:r>
              <w:r>
                <w:rPr>
                  <w:noProof/>
                  <w:lang w:val="en-US"/>
                </w:rPr>
                <w:t xml:space="preserve">Value-entanglement and the integrity of scientific research. </w:t>
              </w:r>
              <w:r>
                <w:rPr>
                  <w:i/>
                  <w:iCs/>
                  <w:noProof/>
                  <w:lang w:val="en-US"/>
                </w:rPr>
                <w:t xml:space="preserve">Studies in History and Philosophy of Science Part A, </w:t>
              </w:r>
              <w:r>
                <w:rPr>
                  <w:noProof/>
                  <w:lang w:val="en-US"/>
                </w:rPr>
                <w:t>Volume 75, pp. 1-11.</w:t>
              </w:r>
            </w:p>
            <w:p w14:paraId="3A287D7A" w14:textId="77777777" w:rsidR="00AD5077" w:rsidRDefault="00AD5077" w:rsidP="00AD507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the Committee on Professional Ethics of the American Statistical Association, 2022. </w:t>
              </w:r>
              <w:r>
                <w:rPr>
                  <w:i/>
                  <w:iCs/>
                  <w:noProof/>
                  <w:lang w:val="en-US"/>
                </w:rPr>
                <w:t xml:space="preserve">Ethical Guidelines for Statistical Practice.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chrome-extension://efaidnbmnnnibpcajpcglclefindmkaj/https://www.amstat.org/docs/default-source/amstat-documents/ethicalguidelines.pdf?Status=Master&amp;sfvrsn=bdeeafdd_6/</w:t>
              </w:r>
              <w:r>
                <w:rPr>
                  <w:noProof/>
                  <w:lang w:val="en-US"/>
                </w:rPr>
                <w:br/>
                <w:t>[Accessed 15 August 2023].</w:t>
              </w:r>
            </w:p>
            <w:p w14:paraId="3E628684" w14:textId="77777777" w:rsidR="00AD5077" w:rsidRDefault="00AD5077" w:rsidP="00AD507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The Committee on Publication Ethics (COPE), the Directory of Open Access Journals (DOAJ), the Open Access Scholarly Publishing Association (OASPA), and the World Association of Medical Editors (WAME) , 2022. </w:t>
              </w:r>
              <w:r>
                <w:rPr>
                  <w:i/>
                  <w:iCs/>
                  <w:noProof/>
                  <w:lang w:val="en-US"/>
                </w:rPr>
                <w:t xml:space="preserve">Principles of Transparency and Best Practice for Scholarly Publishing.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chrome-extension://efaidnbmnnnibpcajpcglclefindmkaj/https://publicationethics.org/sites/default/files/principles-transparency-best-practice-scholarly-publishing.pdf</w:t>
              </w:r>
              <w:r>
                <w:rPr>
                  <w:noProof/>
                  <w:lang w:val="en-US"/>
                </w:rPr>
                <w:br/>
                <w:t>[Accessed 15 August 2023].</w:t>
              </w:r>
            </w:p>
            <w:p w14:paraId="24F1E6B8" w14:textId="75402C1D" w:rsidR="00341684" w:rsidRDefault="00341684" w:rsidP="00AD5077">
              <w:r w:rsidRPr="00341684">
                <w:rPr>
                  <w:rFonts w:ascii="Arial" w:hAnsi="Arial" w:cs="Arial"/>
                  <w:sz w:val="24"/>
                  <w:szCs w:val="24"/>
                  <w:lang w:val="en-US"/>
                </w:rPr>
                <w:fldChar w:fldCharType="end"/>
              </w:r>
            </w:p>
          </w:sdtContent>
        </w:sdt>
      </w:sdtContent>
    </w:sdt>
    <w:p w14:paraId="4002B578" w14:textId="77777777" w:rsidR="00341684" w:rsidRDefault="00341684" w:rsidP="00676B77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sectPr w:rsidR="00341684" w:rsidSect="00A6498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ACAEB" w14:textId="77777777" w:rsidR="007020AD" w:rsidRDefault="007020AD" w:rsidP="00942F5F">
      <w:pPr>
        <w:spacing w:after="0" w:line="240" w:lineRule="auto"/>
      </w:pPr>
      <w:r>
        <w:separator/>
      </w:r>
    </w:p>
  </w:endnote>
  <w:endnote w:type="continuationSeparator" w:id="0">
    <w:p w14:paraId="5D5C1E03" w14:textId="77777777" w:rsidR="007020AD" w:rsidRDefault="007020AD" w:rsidP="00942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428506"/>
      <w:docPartObj>
        <w:docPartGallery w:val="Page Numbers (Bottom of Page)"/>
        <w:docPartUnique/>
      </w:docPartObj>
    </w:sdtPr>
    <w:sdtContent>
      <w:p w14:paraId="65BE664B" w14:textId="173CA9AE" w:rsidR="00942F5F" w:rsidRDefault="00942F5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164F5C3" w14:textId="77777777" w:rsidR="00942F5F" w:rsidRDefault="00942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0CCC0" w14:textId="77777777" w:rsidR="007020AD" w:rsidRDefault="007020AD" w:rsidP="00942F5F">
      <w:pPr>
        <w:spacing w:after="0" w:line="240" w:lineRule="auto"/>
      </w:pPr>
      <w:r>
        <w:separator/>
      </w:r>
    </w:p>
  </w:footnote>
  <w:footnote w:type="continuationSeparator" w:id="0">
    <w:p w14:paraId="66F30335" w14:textId="77777777" w:rsidR="007020AD" w:rsidRDefault="007020AD" w:rsidP="00942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8FD"/>
    <w:rsid w:val="002638FD"/>
    <w:rsid w:val="00341684"/>
    <w:rsid w:val="0040396C"/>
    <w:rsid w:val="005556AE"/>
    <w:rsid w:val="00676B77"/>
    <w:rsid w:val="007020AD"/>
    <w:rsid w:val="00745C2E"/>
    <w:rsid w:val="00832B2A"/>
    <w:rsid w:val="00942F5F"/>
    <w:rsid w:val="009F0C90"/>
    <w:rsid w:val="00A6498F"/>
    <w:rsid w:val="00AA415E"/>
    <w:rsid w:val="00AC2D51"/>
    <w:rsid w:val="00AD5077"/>
    <w:rsid w:val="00BB0338"/>
    <w:rsid w:val="00C722D9"/>
    <w:rsid w:val="00CF5011"/>
    <w:rsid w:val="00D26372"/>
    <w:rsid w:val="00F4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CD19"/>
  <w15:chartTrackingRefBased/>
  <w15:docId w15:val="{77FD71DC-09D6-4545-B3A3-43EB2F6A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F5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2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F5F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416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41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133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0435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279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12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600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593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622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807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997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2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0793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2384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67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912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24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The22</b:Tag>
    <b:SourceType>DocumentFromInternetSite</b:SourceType>
    <b:Guid>{AD56E53D-F92C-4385-B3CE-AD80FD57A047}</b:Guid>
    <b:Title>Principles of Transparency and Best Practice for Scholarly Publishing</b:Title>
    <b:Year>2022</b:Year>
    <b:YearAccessed>2023</b:YearAccessed>
    <b:MonthAccessed>August</b:MonthAccessed>
    <b:DayAccessed>15</b:DayAccessed>
    <b:URL>chrome-extension://efaidnbmnnnibpcajpcglclefindmkaj/https://publicationethics.org/sites/default/files/principles-transparency-best-practice-scholarly-publishing.pdf</b:URL>
    <b:Author>
      <b:Author>
        <b:Corporate>The Committee on Publication Ethics  (COPE), the Directory of Open Access Journals  (DOAJ), the Open Access Scholarly Publishing Association  (OASPA), and the World Association of Medical Editors  (WAME) </b:Corporate>
      </b:Author>
    </b:Author>
    <b:Month>September</b:Month>
    <b:Day>15</b:Day>
    <b:RefOrder>2</b:RefOrder>
  </b:Source>
  <b:Source>
    <b:Tag>the23</b:Tag>
    <b:SourceType>DocumentFromInternetSite</b:SourceType>
    <b:Guid>{372AA312-3FCD-4FD2-8EE6-0D1D6CEF4CBB}</b:Guid>
    <b:Author>
      <b:Author>
        <b:Corporate>the Committee on Professional Ethics of the American Statistical Association</b:Corporate>
      </b:Author>
    </b:Author>
    <b:Title>Ethical Guidelines for Statistical Practice</b:Title>
    <b:Month>February</b:Month>
    <b:YearAccessed>2023</b:YearAccessed>
    <b:MonthAccessed>August</b:MonthAccessed>
    <b:DayAccessed>15</b:DayAccessed>
    <b:URL>chrome-extension://efaidnbmnnnibpcajpcglclefindmkaj/https://www.amstat.org/docs/default-source/amstat-documents/ethicalguidelines.pdf?Status=Master&amp;sfvrsn=bdeeafdd_6/</b:URL>
    <b:Year>2022</b:Year>
    <b:RefOrder>1</b:RefOrder>
  </b:Source>
  <b:Source>
    <b:Tag>Res19</b:Tag>
    <b:SourceType>JournalArticle</b:SourceType>
    <b:Guid>{6C28A0EE-02AA-42A8-B8B8-E9153AD74A80}</b:Guid>
    <b:Title>Value-entanglement and the integrity of scientific research</b:Title>
    <b:Year>2019</b:Year>
    <b:URL>https://www.sciencedirect.com/science/article/abs/pii/S003936811830092X</b:URL>
    <b:Author>
      <b:Author>
        <b:NameList>
          <b:Person>
            <b:Last>Resnik </b:Last>
            <b:Middle>B</b:Middle>
            <b:First>David</b:First>
          </b:Person>
          <b:Person>
            <b:Last>Elliott </b:Last>
            <b:Middle>C. </b:Middle>
            <b:First>Kevin </b:First>
          </b:Person>
        </b:NameList>
      </b:Author>
    </b:Author>
    <b:JournalName>Studies in History and Philosophy of Science Part A</b:JournalName>
    <b:Pages>1-11</b:Pages>
    <b:Volume>75</b:Volume>
    <b:RefOrder>4</b:RefOrder>
  </b:Source>
  <b:Source>
    <b:Tag>Fer21</b:Tag>
    <b:SourceType>Book</b:SourceType>
    <b:Guid>{ACD36A56-1C9A-4124-927B-A70613EA392E}</b:Guid>
    <b:Title>Business Ethics: Ethical Decision Making and Cases</b:Title>
    <b:Year>2021</b:Year>
    <b:City>Massachusetts</b:City>
    <b:Publisher>Cengage Learning</b:Publisher>
    <b:Edition>13</b:Edition>
    <b:Author>
      <b:Author>
        <b:NameList>
          <b:Person>
            <b:Last>Ferrell</b:Last>
            <b:Middle>C.</b:Middle>
            <b:First>O. </b:First>
          </b:Person>
          <b:Person>
            <b:Last>Fraedrich</b:Last>
            <b:First>John </b:First>
          </b:Person>
          <b:Person>
            <b:Last>Ferrell</b:Last>
            <b:First>Linda</b:First>
          </b:Person>
        </b:NameList>
      </b:Author>
    </b:Author>
    <b:URL>https://books.google.fr/books?id=o38xEAAAQBAJ&amp;printsec=frontcover#v=onepage&amp;q&amp;f=false</b:URL>
    <b:RefOrder>3</b:RefOrder>
  </b:Source>
</b:Sources>
</file>

<file path=customXml/itemProps1.xml><?xml version="1.0" encoding="utf-8"?>
<ds:datastoreItem xmlns:ds="http://schemas.openxmlformats.org/officeDocument/2006/customXml" ds:itemID="{D4440E99-34AD-4462-A0D0-01C0F118C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KARIMI-PC</dc:creator>
  <cp:keywords/>
  <dc:description/>
  <cp:lastModifiedBy>KARIMI-PC</cp:lastModifiedBy>
  <cp:revision>3</cp:revision>
  <dcterms:created xsi:type="dcterms:W3CDTF">2023-08-15T08:16:00Z</dcterms:created>
  <dcterms:modified xsi:type="dcterms:W3CDTF">2023-08-17T01:13:00Z</dcterms:modified>
</cp:coreProperties>
</file>