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8EF9" w14:textId="6BE4F420" w:rsidR="00BB0338" w:rsidRDefault="000E1391" w:rsidP="00C96DB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C96DB9">
        <w:rPr>
          <w:rFonts w:ascii="Arial" w:hAnsi="Arial" w:cs="Arial"/>
          <w:sz w:val="24"/>
          <w:szCs w:val="24"/>
          <w:lang w:val="en-US"/>
        </w:rPr>
        <w:t>My initial post cover</w:t>
      </w:r>
      <w:r w:rsidR="00820D36">
        <w:rPr>
          <w:rFonts w:ascii="Arial" w:hAnsi="Arial" w:cs="Arial"/>
          <w:sz w:val="24"/>
          <w:szCs w:val="24"/>
          <w:lang w:val="en-US"/>
        </w:rPr>
        <w:t>s</w:t>
      </w:r>
      <w:r w:rsidRPr="00C96DB9">
        <w:rPr>
          <w:rFonts w:ascii="Arial" w:hAnsi="Arial" w:cs="Arial"/>
          <w:sz w:val="24"/>
          <w:szCs w:val="24"/>
          <w:lang w:val="en-US"/>
        </w:rPr>
        <w:t xml:space="preserve"> the ethical complexities faced by Abi due to his research findings challenging the nutritional values of Whizz cereal. </w:t>
      </w:r>
      <w:r w:rsidR="00351A60">
        <w:rPr>
          <w:rFonts w:ascii="Arial" w:hAnsi="Arial" w:cs="Arial"/>
          <w:sz w:val="24"/>
          <w:szCs w:val="24"/>
          <w:lang w:val="en-US"/>
        </w:rPr>
        <w:t>Due to</w:t>
      </w:r>
      <w:r w:rsidRPr="00C96DB9">
        <w:rPr>
          <w:rFonts w:ascii="Arial" w:hAnsi="Arial" w:cs="Arial"/>
          <w:sz w:val="24"/>
          <w:szCs w:val="24"/>
          <w:lang w:val="en-US"/>
        </w:rPr>
        <w:t xml:space="preserve"> the importance of integrity and transparency in research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-622693231"/>
          <w:citation/>
        </w:sdtPr>
        <w:sdtContent>
          <w:r w:rsidRPr="00C96DB9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Pr="00C96DB9">
            <w:rPr>
              <w:rFonts w:ascii="Arial" w:hAnsi="Arial" w:cs="Arial"/>
              <w:sz w:val="24"/>
              <w:szCs w:val="24"/>
              <w:lang w:val="en-US"/>
            </w:rPr>
            <w:instrText xml:space="preserve"> CITATION CEP21 \l 1033 </w:instrText>
          </w:r>
          <w:r w:rsidRPr="00C96DB9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351A60" w:rsidRPr="00351A60">
            <w:rPr>
              <w:rFonts w:ascii="Arial" w:hAnsi="Arial" w:cs="Arial"/>
              <w:noProof/>
              <w:sz w:val="24"/>
              <w:szCs w:val="24"/>
              <w:lang w:val="en-US"/>
            </w:rPr>
            <w:t>(CEPR, 2021)</w:t>
          </w:r>
          <w:r w:rsidRPr="00C96DB9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351A60">
        <w:rPr>
          <w:rFonts w:ascii="Arial" w:hAnsi="Arial" w:cs="Arial"/>
          <w:sz w:val="24"/>
          <w:szCs w:val="24"/>
          <w:lang w:val="en-US"/>
        </w:rPr>
        <w:t xml:space="preserve">, </w:t>
      </w:r>
      <w:r w:rsidRPr="00C96DB9">
        <w:rPr>
          <w:rFonts w:ascii="Arial" w:hAnsi="Arial" w:cs="Arial"/>
          <w:sz w:val="24"/>
          <w:szCs w:val="24"/>
          <w:lang w:val="en-US"/>
        </w:rPr>
        <w:t>Abi should</w:t>
      </w:r>
      <w:r w:rsidR="00935E87" w:rsidRPr="00C96DB9">
        <w:rPr>
          <w:rFonts w:ascii="Arial" w:hAnsi="Arial" w:cs="Arial"/>
          <w:sz w:val="24"/>
          <w:szCs w:val="24"/>
          <w:lang w:val="en-US"/>
        </w:rPr>
        <w:t xml:space="preserve"> </w:t>
      </w:r>
      <w:r w:rsidR="00C96DB9" w:rsidRPr="00C96DB9">
        <w:rPr>
          <w:rFonts w:ascii="Arial" w:hAnsi="Arial" w:cs="Arial"/>
          <w:sz w:val="24"/>
          <w:szCs w:val="24"/>
          <w:lang w:val="en-US"/>
        </w:rPr>
        <w:t>present both positive and negative findings to the manufacture</w:t>
      </w:r>
      <w:r w:rsidR="00C96DB9" w:rsidRPr="00C96DB9">
        <w:rPr>
          <w:rFonts w:ascii="Arial" w:hAnsi="Arial" w:cs="Arial"/>
          <w:sz w:val="24"/>
          <w:szCs w:val="24"/>
          <w:lang w:val="en-US"/>
        </w:rPr>
        <w:t xml:space="preserve"> so as to </w:t>
      </w:r>
      <w:r w:rsidR="00935E87" w:rsidRPr="00C96DB9">
        <w:rPr>
          <w:rFonts w:ascii="Arial" w:hAnsi="Arial" w:cs="Arial"/>
          <w:sz w:val="24"/>
          <w:szCs w:val="24"/>
          <w:lang w:val="en-US"/>
        </w:rPr>
        <w:t>uphold ethical standards</w:t>
      </w:r>
      <w:r w:rsidR="00C96DB9" w:rsidRPr="00C96DB9">
        <w:rPr>
          <w:rFonts w:ascii="Arial" w:hAnsi="Arial" w:cs="Arial"/>
          <w:sz w:val="24"/>
          <w:szCs w:val="24"/>
          <w:lang w:val="en-US"/>
        </w:rPr>
        <w:t>,</w:t>
      </w:r>
      <w:r w:rsidR="00935E87" w:rsidRPr="00C96DB9">
        <w:rPr>
          <w:rFonts w:ascii="Arial" w:hAnsi="Arial" w:cs="Arial"/>
          <w:sz w:val="24"/>
          <w:szCs w:val="24"/>
          <w:lang w:val="en-US"/>
        </w:rPr>
        <w:t xml:space="preserve"> like </w:t>
      </w:r>
      <w:r w:rsidR="00C96DB9" w:rsidRPr="00C96DB9">
        <w:rPr>
          <w:rFonts w:ascii="Arial" w:hAnsi="Arial" w:cs="Arial"/>
          <w:sz w:val="24"/>
          <w:szCs w:val="24"/>
          <w:lang w:val="en-US"/>
        </w:rPr>
        <w:t>from</w:t>
      </w:r>
      <w:r w:rsidR="00935E87" w:rsidRPr="00C96DB9">
        <w:rPr>
          <w:rFonts w:ascii="Arial" w:hAnsi="Arial" w:cs="Arial"/>
          <w:sz w:val="24"/>
          <w:szCs w:val="24"/>
          <w:lang w:val="en-US"/>
        </w:rPr>
        <w:t xml:space="preserve"> ACM</w:t>
      </w:r>
      <w:r w:rsidR="00C96DB9" w:rsidRPr="00C96DB9">
        <w:rPr>
          <w:rFonts w:ascii="Arial" w:hAnsi="Arial" w:cs="Arial"/>
          <w:sz w:val="24"/>
          <w:szCs w:val="24"/>
          <w:lang w:val="en-US"/>
        </w:rPr>
        <w:t xml:space="preserve"> code</w:t>
      </w:r>
      <w:r w:rsidR="00935E87" w:rsidRPr="00C96DB9">
        <w:rPr>
          <w:rFonts w:ascii="Arial" w:hAnsi="Arial" w:cs="Arial"/>
          <w:sz w:val="24"/>
          <w:szCs w:val="24"/>
          <w:lang w:val="en-US"/>
        </w:rPr>
        <w:t xml:space="preserve"> </w:t>
      </w:r>
      <w:r w:rsidR="00935E87" w:rsidRPr="00C96DB9">
        <w:rPr>
          <w:rFonts w:ascii="Arial" w:hAnsi="Arial" w:cs="Arial"/>
          <w:sz w:val="24"/>
          <w:szCs w:val="24"/>
          <w:lang w:val="en-US"/>
        </w:rPr>
        <w:t>1.3</w:t>
      </w:r>
      <w:r w:rsidR="00935E87" w:rsidRPr="00C96DB9">
        <w:rPr>
          <w:rFonts w:ascii="Arial" w:hAnsi="Arial" w:cs="Arial"/>
          <w:sz w:val="24"/>
          <w:szCs w:val="24"/>
          <w:lang w:val="en-US"/>
        </w:rPr>
        <w:t>:</w:t>
      </w:r>
      <w:r w:rsidR="00935E87" w:rsidRPr="00C96DB9">
        <w:rPr>
          <w:rFonts w:ascii="Arial" w:hAnsi="Arial" w:cs="Arial"/>
          <w:sz w:val="24"/>
          <w:szCs w:val="24"/>
          <w:lang w:val="en-US"/>
        </w:rPr>
        <w:t xml:space="preserve"> Be honest and trustworthy</w:t>
      </w:r>
      <w:r w:rsidR="00935E87" w:rsidRPr="00C96DB9"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1611858488"/>
          <w:citation/>
        </w:sdtPr>
        <w:sdtContent>
          <w:r w:rsidR="00935E87" w:rsidRPr="00C96DB9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935E87" w:rsidRPr="00C96DB9">
            <w:rPr>
              <w:rFonts w:ascii="Arial" w:hAnsi="Arial" w:cs="Arial"/>
              <w:sz w:val="24"/>
              <w:szCs w:val="24"/>
              <w:lang w:val="en-US"/>
            </w:rPr>
            <w:instrText xml:space="preserve"> CITATION ACM181 \l 1033 </w:instrText>
          </w:r>
          <w:r w:rsidR="00935E87" w:rsidRPr="00C96DB9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351A60" w:rsidRPr="00351A60">
            <w:rPr>
              <w:rFonts w:ascii="Arial" w:hAnsi="Arial" w:cs="Arial"/>
              <w:noProof/>
              <w:sz w:val="24"/>
              <w:szCs w:val="24"/>
              <w:lang w:val="en-US"/>
            </w:rPr>
            <w:t>(ACM Code 2018 Task Force, 2018)</w:t>
          </w:r>
          <w:r w:rsidR="00935E87" w:rsidRPr="00C96DB9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935E87" w:rsidRPr="00C96DB9">
        <w:rPr>
          <w:rFonts w:ascii="Arial" w:hAnsi="Arial" w:cs="Arial"/>
          <w:sz w:val="24"/>
          <w:szCs w:val="24"/>
          <w:lang w:val="en-US"/>
        </w:rPr>
        <w:t>, etc. Subsequently</w:t>
      </w:r>
      <w:r w:rsidR="00351A60">
        <w:rPr>
          <w:rFonts w:ascii="Arial" w:hAnsi="Arial" w:cs="Arial"/>
          <w:sz w:val="24"/>
          <w:szCs w:val="24"/>
          <w:lang w:val="en-US"/>
        </w:rPr>
        <w:t>,</w:t>
      </w:r>
      <w:r w:rsidR="00935E87" w:rsidRPr="00C96DB9">
        <w:rPr>
          <w:rFonts w:ascii="Arial" w:hAnsi="Arial" w:cs="Arial"/>
          <w:sz w:val="24"/>
          <w:szCs w:val="24"/>
          <w:lang w:val="en-US"/>
        </w:rPr>
        <w:t xml:space="preserve"> also </w:t>
      </w:r>
      <w:r w:rsidR="00935E87" w:rsidRPr="00C96DB9">
        <w:rPr>
          <w:rFonts w:ascii="Arial" w:hAnsi="Arial" w:cs="Arial"/>
          <w:sz w:val="24"/>
          <w:szCs w:val="24"/>
          <w:lang w:val="en-US"/>
        </w:rPr>
        <w:t>align</w:t>
      </w:r>
      <w:r w:rsidR="00935E87" w:rsidRPr="00C96DB9">
        <w:rPr>
          <w:rFonts w:ascii="Arial" w:hAnsi="Arial" w:cs="Arial"/>
          <w:sz w:val="24"/>
          <w:szCs w:val="24"/>
          <w:lang w:val="en-US"/>
        </w:rPr>
        <w:t>ing</w:t>
      </w:r>
      <w:r w:rsidR="00935E87" w:rsidRPr="00C96DB9">
        <w:rPr>
          <w:rFonts w:ascii="Arial" w:hAnsi="Arial" w:cs="Arial"/>
          <w:sz w:val="24"/>
          <w:szCs w:val="24"/>
          <w:lang w:val="en-US"/>
        </w:rPr>
        <w:t xml:space="preserve"> with ethical principles that dictate accurate and unbiased reporting</w:t>
      </w:r>
      <w:r w:rsidR="00935E87" w:rsidRPr="00C96DB9"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-1217114416"/>
          <w:citation/>
        </w:sdtPr>
        <w:sdtContent>
          <w:r w:rsidR="00935E87" w:rsidRPr="00C96DB9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935E87" w:rsidRPr="00C96DB9">
            <w:rPr>
              <w:rFonts w:ascii="Arial" w:hAnsi="Arial" w:cs="Arial"/>
              <w:sz w:val="24"/>
              <w:szCs w:val="24"/>
              <w:lang w:val="en-US"/>
            </w:rPr>
            <w:instrText xml:space="preserve"> CITATION Tur09 \l 1033 </w:instrText>
          </w:r>
          <w:r w:rsidR="00935E87" w:rsidRPr="00C96DB9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351A60" w:rsidRPr="00351A60">
            <w:rPr>
              <w:rFonts w:ascii="Arial" w:hAnsi="Arial" w:cs="Arial"/>
              <w:noProof/>
              <w:sz w:val="24"/>
              <w:szCs w:val="24"/>
              <w:lang w:val="en-US"/>
            </w:rPr>
            <w:t>(Turillli &amp; Floridi, 2009)</w:t>
          </w:r>
          <w:r w:rsidR="00935E87" w:rsidRPr="00C96DB9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935E87" w:rsidRPr="00C96DB9">
        <w:rPr>
          <w:rFonts w:ascii="Arial" w:hAnsi="Arial" w:cs="Arial"/>
          <w:sz w:val="24"/>
          <w:szCs w:val="24"/>
          <w:lang w:val="en-US"/>
        </w:rPr>
        <w:t>.</w:t>
      </w:r>
      <w:r w:rsidR="00C96DB9">
        <w:rPr>
          <w:rFonts w:ascii="Arial" w:hAnsi="Arial" w:cs="Arial"/>
          <w:sz w:val="24"/>
          <w:szCs w:val="24"/>
          <w:lang w:val="en-US"/>
        </w:rPr>
        <w:t xml:space="preserve"> If Abi fails to fully disclose his findings to the manufacture, he could be faced with legal and financial repercussions, and damage </w:t>
      </w:r>
      <w:r w:rsidR="00820D36">
        <w:rPr>
          <w:rFonts w:ascii="Arial" w:hAnsi="Arial" w:cs="Arial"/>
          <w:sz w:val="24"/>
          <w:szCs w:val="24"/>
          <w:lang w:val="en-US"/>
        </w:rPr>
        <w:t xml:space="preserve">to </w:t>
      </w:r>
      <w:r w:rsidR="00C96DB9">
        <w:rPr>
          <w:rFonts w:ascii="Arial" w:hAnsi="Arial" w:cs="Arial"/>
          <w:sz w:val="24"/>
          <w:szCs w:val="24"/>
          <w:lang w:val="en-US"/>
        </w:rPr>
        <w:t>his professional reputation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-1472210666"/>
          <w:citation/>
        </w:sdtPr>
        <w:sdtContent>
          <w:r w:rsidR="00512272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512272">
            <w:rPr>
              <w:rFonts w:ascii="Arial" w:hAnsi="Arial" w:cs="Arial"/>
              <w:sz w:val="24"/>
              <w:szCs w:val="24"/>
              <w:lang w:val="en-US"/>
            </w:rPr>
            <w:instrText xml:space="preserve"> CITATION Tur09 \l 1033 </w:instrText>
          </w:r>
          <w:r w:rsidR="00512272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351A60"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</w:t>
          </w:r>
          <w:r w:rsidR="00351A60" w:rsidRPr="00351A60">
            <w:rPr>
              <w:rFonts w:ascii="Arial" w:hAnsi="Arial" w:cs="Arial"/>
              <w:noProof/>
              <w:sz w:val="24"/>
              <w:szCs w:val="24"/>
              <w:lang w:val="en-US"/>
            </w:rPr>
            <w:t>(Turillli &amp; Floridi, 2009)</w:t>
          </w:r>
          <w:r w:rsidR="00512272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512272">
        <w:rPr>
          <w:rFonts w:ascii="Arial" w:hAnsi="Arial" w:cs="Arial"/>
          <w:sz w:val="24"/>
          <w:szCs w:val="24"/>
          <w:lang w:val="en-US"/>
        </w:rPr>
        <w:t>.</w:t>
      </w:r>
    </w:p>
    <w:p w14:paraId="0E2B308A" w14:textId="4CFEB52D" w:rsidR="008A33F1" w:rsidRDefault="00351A60" w:rsidP="00C96DB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="00820D36">
        <w:rPr>
          <w:rFonts w:ascii="Arial" w:hAnsi="Arial" w:cs="Arial"/>
          <w:sz w:val="24"/>
          <w:szCs w:val="24"/>
          <w:lang w:val="en-US"/>
        </w:rPr>
        <w:t>o ensure unbiased analysis</w:t>
      </w:r>
      <w:r w:rsidR="008A33F1">
        <w:rPr>
          <w:rFonts w:ascii="Arial" w:hAnsi="Arial" w:cs="Arial"/>
          <w:sz w:val="24"/>
          <w:szCs w:val="24"/>
          <w:lang w:val="en-US"/>
        </w:rPr>
        <w:t>,</w:t>
      </w:r>
      <w:r w:rsidR="00820D36">
        <w:rPr>
          <w:rFonts w:ascii="Arial" w:hAnsi="Arial" w:cs="Arial"/>
          <w:sz w:val="24"/>
          <w:szCs w:val="24"/>
          <w:lang w:val="en-US"/>
        </w:rPr>
        <w:t xml:space="preserve"> involvement of collaborators or third-parties </w:t>
      </w:r>
      <w:r w:rsidR="008A33F1">
        <w:rPr>
          <w:rFonts w:ascii="Arial" w:hAnsi="Arial" w:cs="Arial"/>
          <w:sz w:val="24"/>
          <w:szCs w:val="24"/>
          <w:lang w:val="en-US"/>
        </w:rPr>
        <w:t xml:space="preserve">can be considered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170685204"/>
          <w:citation/>
        </w:sdtPr>
        <w:sdtContent>
          <w:r w:rsidR="00820D36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820D36">
            <w:rPr>
              <w:rFonts w:ascii="Arial" w:hAnsi="Arial" w:cs="Arial"/>
              <w:sz w:val="24"/>
              <w:szCs w:val="24"/>
              <w:lang w:val="en-US"/>
            </w:rPr>
            <w:instrText xml:space="preserve"> CITATION San14 \l 1033 </w:instrText>
          </w:r>
          <w:r w:rsidR="00820D36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Pr="00351A60">
            <w:rPr>
              <w:rFonts w:ascii="Arial" w:hAnsi="Arial" w:cs="Arial"/>
              <w:noProof/>
              <w:sz w:val="24"/>
              <w:szCs w:val="24"/>
              <w:lang w:val="en-US"/>
            </w:rPr>
            <w:t>(Sanjari, et al., 2014)</w:t>
          </w:r>
          <w:r w:rsidR="00820D36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820D36">
        <w:rPr>
          <w:rFonts w:ascii="Arial" w:hAnsi="Arial" w:cs="Arial"/>
          <w:sz w:val="24"/>
          <w:szCs w:val="24"/>
          <w:lang w:val="en-US"/>
        </w:rPr>
        <w:t>.</w:t>
      </w:r>
      <w:r w:rsidR="00E30C25">
        <w:rPr>
          <w:rFonts w:ascii="Arial" w:hAnsi="Arial" w:cs="Arial"/>
          <w:sz w:val="24"/>
          <w:szCs w:val="24"/>
          <w:lang w:val="en-US"/>
        </w:rPr>
        <w:t xml:space="preserve"> However, it is crucial to first</w:t>
      </w:r>
      <w:r w:rsidR="00820D36">
        <w:rPr>
          <w:rFonts w:ascii="Arial" w:hAnsi="Arial" w:cs="Arial"/>
          <w:sz w:val="24"/>
          <w:szCs w:val="24"/>
          <w:lang w:val="en-US"/>
        </w:rPr>
        <w:t xml:space="preserve"> ensure that the</w:t>
      </w:r>
      <w:r w:rsidR="00E30C25">
        <w:rPr>
          <w:rFonts w:ascii="Arial" w:hAnsi="Arial" w:cs="Arial"/>
          <w:sz w:val="24"/>
          <w:szCs w:val="24"/>
          <w:lang w:val="en-US"/>
        </w:rPr>
        <w:t>se</w:t>
      </w:r>
      <w:r w:rsidR="00820D36">
        <w:rPr>
          <w:rFonts w:ascii="Arial" w:hAnsi="Arial" w:cs="Arial"/>
          <w:sz w:val="24"/>
          <w:szCs w:val="24"/>
          <w:lang w:val="en-US"/>
        </w:rPr>
        <w:t xml:space="preserve"> collaborators and </w:t>
      </w:r>
      <w:r w:rsidR="00E30C25">
        <w:rPr>
          <w:rFonts w:ascii="Arial" w:hAnsi="Arial" w:cs="Arial"/>
          <w:sz w:val="24"/>
          <w:szCs w:val="24"/>
          <w:lang w:val="en-US"/>
        </w:rPr>
        <w:t>third-parties</w:t>
      </w:r>
      <w:r w:rsidR="00820D36">
        <w:rPr>
          <w:rFonts w:ascii="Arial" w:hAnsi="Arial" w:cs="Arial"/>
          <w:sz w:val="24"/>
          <w:szCs w:val="24"/>
          <w:lang w:val="en-US"/>
        </w:rPr>
        <w:t xml:space="preserve"> follow</w:t>
      </w:r>
      <w:r w:rsidR="00E30C25">
        <w:rPr>
          <w:rFonts w:ascii="Arial" w:hAnsi="Arial" w:cs="Arial"/>
          <w:sz w:val="24"/>
          <w:szCs w:val="24"/>
          <w:lang w:val="en-US"/>
        </w:rPr>
        <w:t xml:space="preserve"> </w:t>
      </w:r>
      <w:r w:rsidR="00820D36">
        <w:rPr>
          <w:rFonts w:ascii="Arial" w:hAnsi="Arial" w:cs="Arial"/>
          <w:sz w:val="24"/>
          <w:szCs w:val="24"/>
          <w:lang w:val="en-US"/>
        </w:rPr>
        <w:t>data privacy</w:t>
      </w:r>
      <w:r w:rsidR="00E30C25">
        <w:rPr>
          <w:rFonts w:ascii="Arial" w:hAnsi="Arial" w:cs="Arial"/>
          <w:sz w:val="24"/>
          <w:szCs w:val="24"/>
          <w:lang w:val="en-US"/>
        </w:rPr>
        <w:t xml:space="preserve"> regulations, and cybersecurity practices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533934364"/>
          <w:citation/>
        </w:sdtPr>
        <w:sdtContent>
          <w:r w:rsidR="00E30C25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E30C25">
            <w:rPr>
              <w:rFonts w:ascii="Arial" w:hAnsi="Arial" w:cs="Arial"/>
              <w:sz w:val="24"/>
              <w:szCs w:val="24"/>
              <w:lang w:val="en-US"/>
            </w:rPr>
            <w:instrText xml:space="preserve"> CITATION RCRND \l 1033 </w:instrText>
          </w:r>
          <w:r w:rsidR="00E30C25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Pr="00351A60">
            <w:rPr>
              <w:rFonts w:ascii="Arial" w:hAnsi="Arial" w:cs="Arial"/>
              <w:noProof/>
              <w:sz w:val="24"/>
              <w:szCs w:val="24"/>
              <w:lang w:val="en-US"/>
            </w:rPr>
            <w:t>(RCR Administators, N.D.)</w:t>
          </w:r>
          <w:r w:rsidR="00E30C25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E30C25">
        <w:rPr>
          <w:rFonts w:ascii="Arial" w:hAnsi="Arial" w:cs="Arial"/>
          <w:sz w:val="24"/>
          <w:szCs w:val="24"/>
          <w:lang w:val="en-US"/>
        </w:rPr>
        <w:t>.</w:t>
      </w:r>
      <w:r w:rsidR="00820D36">
        <w:rPr>
          <w:rFonts w:ascii="Arial" w:hAnsi="Arial" w:cs="Arial"/>
          <w:sz w:val="24"/>
          <w:szCs w:val="24"/>
          <w:lang w:val="en-US"/>
        </w:rPr>
        <w:t xml:space="preserve"> If done right, t</w:t>
      </w:r>
      <w:r w:rsidR="00E30C25">
        <w:rPr>
          <w:rFonts w:ascii="Arial" w:hAnsi="Arial" w:cs="Arial"/>
          <w:sz w:val="24"/>
          <w:szCs w:val="24"/>
          <w:lang w:val="en-US"/>
        </w:rPr>
        <w:t>his approach</w:t>
      </w:r>
      <w:r w:rsidR="00820D36">
        <w:rPr>
          <w:rFonts w:ascii="Arial" w:hAnsi="Arial" w:cs="Arial"/>
          <w:sz w:val="24"/>
          <w:szCs w:val="24"/>
          <w:lang w:val="en-US"/>
        </w:rPr>
        <w:t xml:space="preserve"> enhance</w:t>
      </w:r>
      <w:r w:rsidR="00E30C25">
        <w:rPr>
          <w:rFonts w:ascii="Arial" w:hAnsi="Arial" w:cs="Arial"/>
          <w:sz w:val="24"/>
          <w:szCs w:val="24"/>
          <w:lang w:val="en-US"/>
        </w:rPr>
        <w:t>s</w:t>
      </w:r>
      <w:r w:rsidR="00820D36">
        <w:rPr>
          <w:rFonts w:ascii="Arial" w:hAnsi="Arial" w:cs="Arial"/>
          <w:sz w:val="24"/>
          <w:szCs w:val="24"/>
          <w:lang w:val="en-US"/>
        </w:rPr>
        <w:t xml:space="preserve"> ethical </w:t>
      </w:r>
      <w:r w:rsidR="00E30C25">
        <w:rPr>
          <w:rFonts w:ascii="Arial" w:hAnsi="Arial" w:cs="Arial"/>
          <w:sz w:val="24"/>
          <w:szCs w:val="24"/>
          <w:lang w:val="en-US"/>
        </w:rPr>
        <w:t>standards</w:t>
      </w:r>
      <w:r>
        <w:rPr>
          <w:rFonts w:ascii="Arial" w:hAnsi="Arial" w:cs="Arial"/>
          <w:sz w:val="24"/>
          <w:szCs w:val="24"/>
          <w:lang w:val="en-US"/>
        </w:rPr>
        <w:t>, data privacy</w:t>
      </w:r>
      <w:r w:rsidR="00820D36">
        <w:rPr>
          <w:rFonts w:ascii="Arial" w:hAnsi="Arial" w:cs="Arial"/>
          <w:sz w:val="24"/>
          <w:szCs w:val="24"/>
          <w:lang w:val="en-US"/>
        </w:rPr>
        <w:t xml:space="preserve"> and promote</w:t>
      </w:r>
      <w:r w:rsidR="00E30C25">
        <w:rPr>
          <w:rFonts w:ascii="Arial" w:hAnsi="Arial" w:cs="Arial"/>
          <w:sz w:val="24"/>
          <w:szCs w:val="24"/>
          <w:lang w:val="en-US"/>
        </w:rPr>
        <w:t>s informed</w:t>
      </w:r>
      <w:r w:rsidR="00820D36">
        <w:rPr>
          <w:rFonts w:ascii="Arial" w:hAnsi="Arial" w:cs="Arial"/>
          <w:sz w:val="24"/>
          <w:szCs w:val="24"/>
          <w:lang w:val="en-US"/>
        </w:rPr>
        <w:t xml:space="preserve"> </w:t>
      </w:r>
      <w:r w:rsidR="00E30C25">
        <w:rPr>
          <w:rFonts w:ascii="Arial" w:hAnsi="Arial" w:cs="Arial"/>
          <w:sz w:val="24"/>
          <w:szCs w:val="24"/>
          <w:lang w:val="en-US"/>
        </w:rPr>
        <w:t>choices among</w:t>
      </w:r>
      <w:r w:rsidR="00820D36">
        <w:rPr>
          <w:rFonts w:ascii="Arial" w:hAnsi="Arial" w:cs="Arial"/>
          <w:sz w:val="24"/>
          <w:szCs w:val="24"/>
          <w:lang w:val="en-US"/>
        </w:rPr>
        <w:t xml:space="preserve"> consumers, manufacturers, stakeholders,</w:t>
      </w:r>
      <w:r w:rsidR="00E30C25">
        <w:rPr>
          <w:rFonts w:ascii="Arial" w:hAnsi="Arial" w:cs="Arial"/>
          <w:sz w:val="24"/>
          <w:szCs w:val="24"/>
          <w:lang w:val="en-US"/>
        </w:rPr>
        <w:t xml:space="preserve"> and other relevant parties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143171755"/>
          <w:citation/>
        </w:sdtPr>
        <w:sdtContent>
          <w:r w:rsidR="00820D36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820D36">
            <w:rPr>
              <w:rFonts w:ascii="Arial" w:hAnsi="Arial" w:cs="Arial"/>
              <w:sz w:val="24"/>
              <w:szCs w:val="24"/>
              <w:lang w:val="en-US"/>
            </w:rPr>
            <w:instrText xml:space="preserve"> CITATION Gru20 \l 1033 </w:instrText>
          </w:r>
          <w:r w:rsidR="00820D36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</w:t>
          </w:r>
          <w:r w:rsidRPr="00351A60">
            <w:rPr>
              <w:rFonts w:ascii="Arial" w:hAnsi="Arial" w:cs="Arial"/>
              <w:noProof/>
              <w:sz w:val="24"/>
              <w:szCs w:val="24"/>
              <w:lang w:val="en-US"/>
            </w:rPr>
            <w:t>(Grummon, et al., 2020)</w:t>
          </w:r>
          <w:r w:rsidR="00820D36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820D36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76B57415" w14:textId="4B34C2FB" w:rsidR="008A33F1" w:rsidRPr="000A44AD" w:rsidRDefault="00DF54FE" w:rsidP="00C96DB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Should</w:t>
      </w:r>
      <w:r w:rsidR="00683B2B">
        <w:rPr>
          <w:rFonts w:ascii="Arial" w:hAnsi="Arial" w:cs="Arial"/>
          <w:sz w:val="24"/>
          <w:szCs w:val="24"/>
          <w:lang w:val="en-US"/>
        </w:rPr>
        <w:t xml:space="preserve"> manufacturers</w:t>
      </w:r>
      <w:r w:rsidR="00683B2B">
        <w:rPr>
          <w:rFonts w:ascii="Arial" w:hAnsi="Arial" w:cs="Arial"/>
          <w:sz w:val="24"/>
          <w:szCs w:val="24"/>
          <w:lang w:val="en-US"/>
        </w:rPr>
        <w:t xml:space="preserve"> choose to </w:t>
      </w:r>
      <w:r>
        <w:rPr>
          <w:rFonts w:ascii="Arial" w:hAnsi="Arial" w:cs="Arial"/>
          <w:sz w:val="24"/>
          <w:szCs w:val="24"/>
          <w:lang w:val="en-US"/>
        </w:rPr>
        <w:t>prioritize</w:t>
      </w:r>
      <w:r w:rsidR="00683B2B">
        <w:rPr>
          <w:rFonts w:ascii="Arial" w:hAnsi="Arial" w:cs="Arial"/>
          <w:sz w:val="24"/>
          <w:szCs w:val="24"/>
          <w:lang w:val="en-US"/>
        </w:rPr>
        <w:t xml:space="preserve"> their interests </w:t>
      </w:r>
      <w:r>
        <w:rPr>
          <w:rFonts w:ascii="Arial" w:hAnsi="Arial" w:cs="Arial"/>
          <w:sz w:val="24"/>
          <w:szCs w:val="24"/>
          <w:lang w:val="en-US"/>
        </w:rPr>
        <w:t>over</w:t>
      </w:r>
      <w:r w:rsidR="00683B2B">
        <w:rPr>
          <w:rFonts w:ascii="Arial" w:hAnsi="Arial" w:cs="Arial"/>
          <w:sz w:val="24"/>
          <w:szCs w:val="24"/>
          <w:lang w:val="en-US"/>
        </w:rPr>
        <w:t xml:space="preserve"> ethical </w:t>
      </w:r>
      <w:r>
        <w:rPr>
          <w:rFonts w:ascii="Arial" w:hAnsi="Arial" w:cs="Arial"/>
          <w:sz w:val="24"/>
          <w:szCs w:val="24"/>
          <w:lang w:val="en-US"/>
        </w:rPr>
        <w:t>considerations</w:t>
      </w:r>
      <w:r w:rsidR="00683B2B">
        <w:rPr>
          <w:rFonts w:ascii="Arial" w:hAnsi="Arial" w:cs="Arial"/>
          <w:sz w:val="24"/>
          <w:szCs w:val="24"/>
          <w:lang w:val="en-US"/>
        </w:rPr>
        <w:t xml:space="preserve"> </w:t>
      </w:r>
      <w:r w:rsidR="00683B2B">
        <w:rPr>
          <w:rFonts w:ascii="Arial" w:hAnsi="Arial" w:cs="Arial"/>
          <w:sz w:val="24"/>
          <w:szCs w:val="24"/>
          <w:lang w:val="en-US"/>
        </w:rPr>
        <w:t xml:space="preserve">like </w:t>
      </w:r>
      <w:r>
        <w:rPr>
          <w:rFonts w:ascii="Arial" w:hAnsi="Arial" w:cs="Arial"/>
          <w:sz w:val="24"/>
          <w:szCs w:val="24"/>
          <w:lang w:val="en-US"/>
        </w:rPr>
        <w:t>product modification, etc., -</w:t>
      </w:r>
      <w:r w:rsidR="00683B2B">
        <w:rPr>
          <w:rFonts w:ascii="Arial" w:hAnsi="Arial" w:cs="Arial"/>
          <w:sz w:val="24"/>
          <w:szCs w:val="24"/>
          <w:lang w:val="en-US"/>
        </w:rPr>
        <w:t xml:space="preserve"> </w:t>
      </w:r>
      <w:r w:rsidR="00683B2B">
        <w:rPr>
          <w:rFonts w:ascii="Arial" w:hAnsi="Arial" w:cs="Arial"/>
          <w:sz w:val="24"/>
          <w:szCs w:val="24"/>
          <w:lang w:val="en-US"/>
        </w:rPr>
        <w:t xml:space="preserve">Abi </w:t>
      </w:r>
      <w:r w:rsidR="00683B2B">
        <w:rPr>
          <w:rFonts w:ascii="Arial" w:hAnsi="Arial" w:cs="Arial"/>
          <w:sz w:val="24"/>
          <w:szCs w:val="24"/>
          <w:lang w:val="en-US"/>
        </w:rPr>
        <w:t>should</w:t>
      </w:r>
      <w:r w:rsidR="00683B2B">
        <w:rPr>
          <w:rFonts w:ascii="Arial" w:hAnsi="Arial" w:cs="Arial"/>
          <w:sz w:val="24"/>
          <w:szCs w:val="24"/>
          <w:lang w:val="en-US"/>
        </w:rPr>
        <w:t xml:space="preserve"> </w:t>
      </w:r>
      <w:r w:rsidR="00683B2B">
        <w:rPr>
          <w:rFonts w:ascii="Arial" w:hAnsi="Arial" w:cs="Arial"/>
          <w:sz w:val="24"/>
          <w:szCs w:val="24"/>
          <w:lang w:val="en-US"/>
        </w:rPr>
        <w:t>p</w:t>
      </w:r>
      <w:r w:rsidR="000A44AD">
        <w:rPr>
          <w:rFonts w:ascii="Arial" w:hAnsi="Arial" w:cs="Arial"/>
          <w:sz w:val="24"/>
          <w:szCs w:val="24"/>
          <w:lang w:val="en-US"/>
        </w:rPr>
        <w:t>ubliciz</w:t>
      </w:r>
      <w:r w:rsidR="00683B2B">
        <w:rPr>
          <w:rFonts w:ascii="Arial" w:hAnsi="Arial" w:cs="Arial"/>
          <w:sz w:val="24"/>
          <w:szCs w:val="24"/>
          <w:lang w:val="en-US"/>
        </w:rPr>
        <w:t>e</w:t>
      </w:r>
      <w:r w:rsidR="000A44AD">
        <w:rPr>
          <w:rFonts w:ascii="Arial" w:hAnsi="Arial" w:cs="Arial"/>
          <w:sz w:val="24"/>
          <w:szCs w:val="24"/>
          <w:lang w:val="en-US"/>
        </w:rPr>
        <w:t xml:space="preserve"> the findings</w:t>
      </w:r>
      <w:r>
        <w:rPr>
          <w:rFonts w:ascii="Arial" w:hAnsi="Arial" w:cs="Arial"/>
          <w:sz w:val="24"/>
          <w:szCs w:val="24"/>
          <w:lang w:val="en-US"/>
        </w:rPr>
        <w:t xml:space="preserve"> by</w:t>
      </w:r>
      <w:r w:rsidR="00683B2B">
        <w:rPr>
          <w:rFonts w:ascii="Arial" w:hAnsi="Arial" w:cs="Arial"/>
          <w:sz w:val="24"/>
          <w:szCs w:val="24"/>
          <w:lang w:val="en-US"/>
        </w:rPr>
        <w:t xml:space="preserve"> first</w:t>
      </w:r>
      <w:r w:rsidR="008A33F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been</w:t>
      </w:r>
      <w:r w:rsidR="000A44AD">
        <w:rPr>
          <w:rFonts w:ascii="Arial" w:hAnsi="Arial" w:cs="Arial"/>
          <w:sz w:val="24"/>
          <w:szCs w:val="24"/>
          <w:lang w:val="en-US"/>
        </w:rPr>
        <w:t xml:space="preserve"> aware of </w:t>
      </w:r>
      <w:r w:rsidR="000A44AD" w:rsidRPr="000A44AD">
        <w:rPr>
          <w:rFonts w:ascii="Arial" w:hAnsi="Arial" w:cs="Arial"/>
          <w:sz w:val="24"/>
          <w:szCs w:val="24"/>
          <w:lang w:val="en-US"/>
        </w:rPr>
        <w:t xml:space="preserve">the moral intensity concept and potential risks associated with </w:t>
      </w:r>
      <w:r>
        <w:rPr>
          <w:rFonts w:ascii="Arial" w:hAnsi="Arial" w:cs="Arial"/>
          <w:sz w:val="24"/>
          <w:szCs w:val="24"/>
          <w:lang w:val="en-US"/>
        </w:rPr>
        <w:t>disclos</w:t>
      </w:r>
      <w:r w:rsidR="000A44AD" w:rsidRPr="000A44AD">
        <w:rPr>
          <w:rFonts w:ascii="Arial" w:hAnsi="Arial" w:cs="Arial"/>
          <w:sz w:val="24"/>
          <w:szCs w:val="24"/>
          <w:lang w:val="en-US"/>
        </w:rPr>
        <w:t>ing sensitive data</w:t>
      </w:r>
      <w:r w:rsidR="00683B2B"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-1137950942"/>
          <w:citation/>
        </w:sdtPr>
        <w:sdtContent>
          <w:r w:rsidR="00683B2B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683B2B">
            <w:rPr>
              <w:rFonts w:ascii="Arial" w:hAnsi="Arial" w:cs="Arial"/>
              <w:sz w:val="24"/>
              <w:szCs w:val="24"/>
              <w:lang w:val="en-US"/>
            </w:rPr>
            <w:instrText xml:space="preserve"> CITATION Cra12 \l 1033 </w:instrText>
          </w:r>
          <w:r w:rsidR="00683B2B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351A60" w:rsidRPr="00351A60">
            <w:rPr>
              <w:rFonts w:ascii="Arial" w:hAnsi="Arial" w:cs="Arial"/>
              <w:noProof/>
              <w:sz w:val="24"/>
              <w:szCs w:val="24"/>
              <w:lang w:val="en-US"/>
            </w:rPr>
            <w:t>(Craft, 2012)</w:t>
          </w:r>
          <w:r w:rsidR="00683B2B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683B2B">
        <w:rPr>
          <w:rFonts w:ascii="Arial" w:hAnsi="Arial" w:cs="Arial"/>
          <w:sz w:val="24"/>
          <w:szCs w:val="24"/>
          <w:lang w:val="en-US"/>
        </w:rPr>
        <w:t xml:space="preserve">. </w:t>
      </w:r>
      <w:r w:rsidR="00351A60">
        <w:rPr>
          <w:rFonts w:ascii="Arial" w:hAnsi="Arial" w:cs="Arial"/>
          <w:sz w:val="24"/>
          <w:szCs w:val="24"/>
          <w:lang w:val="en-US"/>
        </w:rPr>
        <w:t>Therefore, f</w:t>
      </w:r>
      <w:r w:rsidR="00683B2B">
        <w:rPr>
          <w:rFonts w:ascii="Arial" w:hAnsi="Arial" w:cs="Arial"/>
          <w:sz w:val="24"/>
          <w:szCs w:val="24"/>
          <w:lang w:val="en-US"/>
        </w:rPr>
        <w:t>actors like getting consent,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12272">
        <w:rPr>
          <w:rFonts w:ascii="Arial" w:hAnsi="Arial" w:cs="Arial"/>
          <w:sz w:val="24"/>
          <w:szCs w:val="24"/>
          <w:lang w:val="en-US"/>
        </w:rPr>
        <w:t>data</w:t>
      </w:r>
      <w:r w:rsidR="0051227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ownership </w:t>
      </w:r>
      <w:r w:rsidR="00512272" w:rsidRPr="00512272">
        <w:rPr>
          <w:rFonts w:ascii="Arial" w:hAnsi="Arial" w:cs="Arial"/>
          <w:sz w:val="24"/>
          <w:szCs w:val="24"/>
          <w:lang w:val="en-US"/>
        </w:rPr>
        <w:t>potential intellectual property issues, anonymization and censorship of sensitive details</w:t>
      </w:r>
      <w:r w:rsidR="00512272">
        <w:rPr>
          <w:rFonts w:ascii="Arial" w:hAnsi="Arial" w:cs="Arial"/>
          <w:sz w:val="24"/>
          <w:szCs w:val="24"/>
          <w:lang w:val="en-US"/>
        </w:rPr>
        <w:t xml:space="preserve">, etc.- </w:t>
      </w:r>
      <w:r w:rsidR="00512272" w:rsidRPr="00512272">
        <w:rPr>
          <w:rFonts w:ascii="Arial" w:hAnsi="Arial" w:cs="Arial"/>
          <w:sz w:val="24"/>
          <w:szCs w:val="24"/>
          <w:lang w:val="en-US"/>
        </w:rPr>
        <w:t>should all be considered before</w:t>
      </w:r>
      <w:r w:rsidR="00512272">
        <w:rPr>
          <w:rFonts w:ascii="Arial" w:hAnsi="Arial" w:cs="Arial"/>
          <w:sz w:val="24"/>
          <w:szCs w:val="24"/>
          <w:lang w:val="en-US"/>
        </w:rPr>
        <w:t xml:space="preserve"> publication</w:t>
      </w:r>
      <w:r w:rsidR="000A44AD" w:rsidRPr="000A44AD"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1547170439"/>
          <w:citation/>
        </w:sdtPr>
        <w:sdtContent>
          <w:r w:rsidR="00683B2B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683B2B">
            <w:rPr>
              <w:rFonts w:ascii="Arial" w:hAnsi="Arial" w:cs="Arial"/>
              <w:sz w:val="24"/>
              <w:szCs w:val="24"/>
              <w:lang w:val="en-US"/>
            </w:rPr>
            <w:instrText xml:space="preserve"> CITATION Use18 \l 1033 </w:instrText>
          </w:r>
          <w:r w:rsidR="00683B2B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351A60" w:rsidRPr="00351A60">
            <w:rPr>
              <w:rFonts w:ascii="Arial" w:hAnsi="Arial" w:cs="Arial"/>
              <w:noProof/>
              <w:sz w:val="24"/>
              <w:szCs w:val="24"/>
              <w:lang w:val="en-US"/>
            </w:rPr>
            <w:t>(User research community, 2018)</w:t>
          </w:r>
          <w:r w:rsidR="00683B2B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683B2B">
        <w:rPr>
          <w:rFonts w:ascii="Arial" w:hAnsi="Arial" w:cs="Arial"/>
          <w:sz w:val="24"/>
          <w:szCs w:val="24"/>
          <w:lang w:val="en-US"/>
        </w:rPr>
        <w:t xml:space="preserve">. </w:t>
      </w:r>
      <w:r w:rsidR="00351A60">
        <w:rPr>
          <w:rFonts w:ascii="Arial" w:hAnsi="Arial" w:cs="Arial"/>
          <w:sz w:val="24"/>
          <w:szCs w:val="24"/>
          <w:lang w:val="en-US"/>
        </w:rPr>
        <w:t>On the other hand,</w:t>
      </w:r>
      <w:r w:rsidR="00683B2B">
        <w:rPr>
          <w:rFonts w:ascii="Arial" w:hAnsi="Arial" w:cs="Arial"/>
          <w:sz w:val="24"/>
          <w:szCs w:val="24"/>
          <w:lang w:val="en-US"/>
        </w:rPr>
        <w:t xml:space="preserve"> </w:t>
      </w:r>
      <w:r w:rsidR="00683B2B">
        <w:rPr>
          <w:rFonts w:ascii="Arial" w:hAnsi="Arial" w:cs="Arial"/>
          <w:sz w:val="24"/>
          <w:szCs w:val="24"/>
          <w:lang w:val="en-US"/>
        </w:rPr>
        <w:t xml:space="preserve">if it will be too risky for </w:t>
      </w:r>
      <w:r w:rsidR="00512272">
        <w:rPr>
          <w:rFonts w:ascii="Arial" w:hAnsi="Arial" w:cs="Arial"/>
          <w:sz w:val="24"/>
          <w:szCs w:val="24"/>
          <w:lang w:val="en-US"/>
        </w:rPr>
        <w:t>self-publication</w:t>
      </w:r>
      <w:r w:rsidR="00683B2B">
        <w:rPr>
          <w:rFonts w:ascii="Arial" w:hAnsi="Arial" w:cs="Arial"/>
          <w:sz w:val="24"/>
          <w:szCs w:val="24"/>
          <w:lang w:val="en-US"/>
        </w:rPr>
        <w:t xml:space="preserve">, </w:t>
      </w:r>
      <w:r w:rsidR="00512272">
        <w:rPr>
          <w:rFonts w:ascii="Arial" w:hAnsi="Arial" w:cs="Arial"/>
          <w:sz w:val="24"/>
          <w:szCs w:val="24"/>
          <w:lang w:val="en-US"/>
        </w:rPr>
        <w:t xml:space="preserve">following </w:t>
      </w:r>
      <w:r w:rsidR="00CB66C6">
        <w:rPr>
          <w:rFonts w:ascii="Arial" w:hAnsi="Arial" w:cs="Arial"/>
          <w:sz w:val="24"/>
          <w:szCs w:val="24"/>
          <w:lang w:val="en-US"/>
        </w:rPr>
        <w:t xml:space="preserve">Laura’s </w:t>
      </w:r>
      <w:r w:rsidR="008A33F1">
        <w:rPr>
          <w:rFonts w:ascii="Arial" w:hAnsi="Arial" w:cs="Arial"/>
          <w:sz w:val="24"/>
          <w:szCs w:val="24"/>
          <w:lang w:val="en-US"/>
        </w:rPr>
        <w:t>post, Abi</w:t>
      </w:r>
      <w:r w:rsidR="00512272">
        <w:rPr>
          <w:rFonts w:ascii="Arial" w:hAnsi="Arial" w:cs="Arial"/>
          <w:sz w:val="24"/>
          <w:szCs w:val="24"/>
          <w:lang w:val="en-US"/>
        </w:rPr>
        <w:t xml:space="preserve"> can</w:t>
      </w:r>
      <w:r w:rsidR="008A33F1">
        <w:rPr>
          <w:rFonts w:ascii="Arial" w:hAnsi="Arial" w:cs="Arial"/>
          <w:sz w:val="24"/>
          <w:szCs w:val="24"/>
          <w:lang w:val="en-US"/>
        </w:rPr>
        <w:t xml:space="preserve"> report </w:t>
      </w:r>
      <w:r w:rsidR="00CB66C6">
        <w:rPr>
          <w:rFonts w:ascii="Arial" w:hAnsi="Arial" w:cs="Arial"/>
          <w:sz w:val="24"/>
          <w:szCs w:val="24"/>
          <w:lang w:val="en-US"/>
        </w:rPr>
        <w:lastRenderedPageBreak/>
        <w:t>his findings to</w:t>
      </w:r>
      <w:r w:rsidR="008A33F1">
        <w:rPr>
          <w:rFonts w:ascii="Arial" w:hAnsi="Arial" w:cs="Arial"/>
          <w:sz w:val="24"/>
          <w:szCs w:val="24"/>
          <w:lang w:val="en-US"/>
        </w:rPr>
        <w:t xml:space="preserve"> the</w:t>
      </w:r>
      <w:r w:rsidR="00CB66C6">
        <w:rPr>
          <w:rFonts w:ascii="Arial" w:hAnsi="Arial" w:cs="Arial"/>
          <w:sz w:val="24"/>
          <w:szCs w:val="24"/>
          <w:lang w:val="en-US"/>
        </w:rPr>
        <w:t xml:space="preserve"> Food Standard Agenc</w:t>
      </w:r>
      <w:r w:rsidR="00683B2B">
        <w:rPr>
          <w:rFonts w:ascii="Arial" w:hAnsi="Arial" w:cs="Arial"/>
          <w:sz w:val="24"/>
          <w:szCs w:val="24"/>
          <w:lang w:val="en-US"/>
        </w:rPr>
        <w:t>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12272">
        <w:rPr>
          <w:rFonts w:ascii="Arial" w:hAnsi="Arial" w:cs="Arial"/>
          <w:sz w:val="24"/>
          <w:szCs w:val="24"/>
          <w:lang w:val="en-US"/>
        </w:rPr>
        <w:t>for an</w:t>
      </w:r>
      <w:r>
        <w:rPr>
          <w:rFonts w:ascii="Arial" w:hAnsi="Arial" w:cs="Arial"/>
          <w:sz w:val="24"/>
          <w:szCs w:val="24"/>
          <w:lang w:val="en-US"/>
        </w:rPr>
        <w:t xml:space="preserve"> investigat</w:t>
      </w:r>
      <w:r w:rsidR="00512272">
        <w:rPr>
          <w:rFonts w:ascii="Arial" w:hAnsi="Arial" w:cs="Arial"/>
          <w:sz w:val="24"/>
          <w:szCs w:val="24"/>
          <w:lang w:val="en-US"/>
        </w:rPr>
        <w:t>ion into</w:t>
      </w:r>
      <w:r>
        <w:rPr>
          <w:rFonts w:ascii="Arial" w:hAnsi="Arial" w:cs="Arial"/>
          <w:sz w:val="24"/>
          <w:szCs w:val="24"/>
          <w:lang w:val="en-US"/>
        </w:rPr>
        <w:t xml:space="preserve"> the manufacturer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696509877"/>
          <w:citation/>
        </w:sdtPr>
        <w:sdtContent>
          <w:r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lang w:val="en-US"/>
            </w:rPr>
            <w:instrText xml:space="preserve"> CITATION Foo99 \l 1033 </w:instrText>
          </w:r>
          <w:r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351A60"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</w:t>
          </w:r>
          <w:r w:rsidR="00351A60" w:rsidRPr="00351A60">
            <w:rPr>
              <w:rFonts w:ascii="Arial" w:hAnsi="Arial" w:cs="Arial"/>
              <w:noProof/>
              <w:sz w:val="24"/>
              <w:szCs w:val="24"/>
              <w:lang w:val="en-US"/>
            </w:rPr>
            <w:t>(Food Standards Agency, 1999)</w:t>
          </w:r>
          <w:r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683B2B">
        <w:rPr>
          <w:rFonts w:ascii="Arial" w:hAnsi="Arial" w:cs="Arial"/>
          <w:sz w:val="24"/>
          <w:szCs w:val="24"/>
          <w:lang w:val="en-US"/>
        </w:rPr>
        <w:t>.</w:t>
      </w:r>
    </w:p>
    <w:p w14:paraId="4894DB51" w14:textId="145F77F4" w:rsidR="000A44AD" w:rsidRPr="00C96DB9" w:rsidRDefault="000A44AD" w:rsidP="00C96DB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0A44AD">
        <w:rPr>
          <w:rFonts w:ascii="Arial" w:hAnsi="Arial" w:cs="Arial"/>
          <w:sz w:val="24"/>
          <w:szCs w:val="24"/>
          <w:lang w:val="en-US"/>
        </w:rPr>
        <w:t xml:space="preserve">I would like to thank my peers for reading my post and Laura for her valuable response to it. </w:t>
      </w:r>
      <w:r w:rsidRPr="000A44AD">
        <w:rPr>
          <w:rFonts w:ascii="Arial" w:hAnsi="Arial" w:cs="Arial"/>
          <w:sz w:val="24"/>
          <w:szCs w:val="24"/>
          <w:lang w:val="en-US"/>
        </w:rPr>
        <w:t>Additionally, I have greatly benefited from the</w:t>
      </w:r>
      <w:r w:rsidRPr="000A44AD">
        <w:rPr>
          <w:rFonts w:ascii="Arial" w:hAnsi="Arial" w:cs="Arial"/>
          <w:sz w:val="24"/>
          <w:szCs w:val="24"/>
          <w:lang w:val="en-US"/>
        </w:rPr>
        <w:t xml:space="preserve"> diverse</w:t>
      </w:r>
      <w:r w:rsidRPr="000A44AD">
        <w:rPr>
          <w:rFonts w:ascii="Arial" w:hAnsi="Arial" w:cs="Arial"/>
          <w:sz w:val="24"/>
          <w:szCs w:val="24"/>
          <w:lang w:val="en-US"/>
        </w:rPr>
        <w:t xml:space="preserve"> perspectives shared in my peers' posts and reviews, which have significantly enriched my understanding of the subject matter.</w:t>
      </w:r>
    </w:p>
    <w:sdt>
      <w:sdtPr>
        <w:rPr>
          <w:rFonts w:ascii="Arial" w:hAnsi="Arial" w:cs="Arial"/>
          <w:sz w:val="24"/>
          <w:szCs w:val="24"/>
        </w:rPr>
        <w:id w:val="1548644708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kern w:val="2"/>
          <w:lang w:val="en-GB"/>
        </w:rPr>
      </w:sdtEndPr>
      <w:sdtContent>
        <w:p w14:paraId="27084109" w14:textId="541B15FD" w:rsidR="00935E87" w:rsidRPr="00C96DB9" w:rsidRDefault="00935E87" w:rsidP="00C96DB9">
          <w:pPr>
            <w:pStyle w:val="Heading1"/>
            <w:spacing w:line="480" w:lineRule="aut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C96DB9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-573587230"/>
            <w:bibliography/>
          </w:sdtPr>
          <w:sdtContent>
            <w:p w14:paraId="47D8D65A" w14:textId="77777777" w:rsidR="00351A60" w:rsidRDefault="00935E87" w:rsidP="00351A60">
              <w:pPr>
                <w:pStyle w:val="Bibliography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 w:rsidRPr="00C96DB9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C96DB9">
                <w:rPr>
                  <w:rFonts w:ascii="Arial" w:hAnsi="Arial" w:cs="Arial"/>
                  <w:sz w:val="24"/>
                  <w:szCs w:val="24"/>
                </w:rPr>
                <w:instrText xml:space="preserve"> BIBLIOGRAPHY </w:instrText>
              </w:r>
              <w:r w:rsidRPr="00C96DB9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351A60">
                <w:rPr>
                  <w:noProof/>
                  <w:lang w:val="en-US"/>
                </w:rPr>
                <w:t xml:space="preserve">ACM Code 2018 Task Force, 2018. </w:t>
              </w:r>
              <w:r w:rsidR="00351A60">
                <w:rPr>
                  <w:i/>
                  <w:iCs/>
                  <w:noProof/>
                  <w:lang w:val="en-US"/>
                </w:rPr>
                <w:t xml:space="preserve">ACM Code of Ethics and Professional Conduct. </w:t>
              </w:r>
              <w:r w:rsidR="00351A60">
                <w:rPr>
                  <w:noProof/>
                  <w:lang w:val="en-US"/>
                </w:rPr>
                <w:t xml:space="preserve">[Online] </w:t>
              </w:r>
              <w:r w:rsidR="00351A60">
                <w:rPr>
                  <w:noProof/>
                  <w:lang w:val="en-US"/>
                </w:rPr>
                <w:br/>
                <w:t xml:space="preserve">Available at: </w:t>
              </w:r>
              <w:r w:rsidR="00351A60">
                <w:rPr>
                  <w:noProof/>
                  <w:u w:val="single"/>
                  <w:lang w:val="en-US"/>
                </w:rPr>
                <w:t>https://www.acm.org/code-of-ethics</w:t>
              </w:r>
              <w:r w:rsidR="00351A60">
                <w:rPr>
                  <w:noProof/>
                  <w:lang w:val="en-US"/>
                </w:rPr>
                <w:br/>
                <w:t>[Accessed 21 June 2023].</w:t>
              </w:r>
            </w:p>
            <w:p w14:paraId="64A42804" w14:textId="77777777" w:rsidR="00351A60" w:rsidRDefault="00351A60" w:rsidP="00351A6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CEPR, 2021. </w:t>
              </w:r>
              <w:r>
                <w:rPr>
                  <w:i/>
                  <w:iCs/>
                  <w:noProof/>
                  <w:lang w:val="en-US"/>
                </w:rPr>
                <w:t xml:space="preserve">Ethics and Disclosure Policy.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https://cepr.org/research/research-policies/ethics-and-disclosure-policy</w:t>
              </w:r>
              <w:r>
                <w:rPr>
                  <w:noProof/>
                  <w:lang w:val="en-US"/>
                </w:rPr>
                <w:br/>
                <w:t>[Accessed 2023 August 10].</w:t>
              </w:r>
            </w:p>
            <w:p w14:paraId="089FFBD2" w14:textId="77777777" w:rsidR="00351A60" w:rsidRDefault="00351A60" w:rsidP="00351A6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Craft, J. L., 2012. A Review of the Empirical Ethical Decision-Making Literature: 2004–2011. </w:t>
              </w:r>
              <w:r>
                <w:rPr>
                  <w:i/>
                  <w:iCs/>
                  <w:noProof/>
                  <w:lang w:val="en-US"/>
                </w:rPr>
                <w:t xml:space="preserve">Journal of Business Ethics, </w:t>
              </w:r>
              <w:r>
                <w:rPr>
                  <w:noProof/>
                  <w:lang w:val="en-US"/>
                </w:rPr>
                <w:t>Volume 117, pp. 221-259.</w:t>
              </w:r>
            </w:p>
            <w:p w14:paraId="7C8C5D02" w14:textId="77777777" w:rsidR="00351A60" w:rsidRDefault="00351A60" w:rsidP="00351A6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Food Standards Agency, 1999. </w:t>
              </w:r>
              <w:r>
                <w:rPr>
                  <w:i/>
                  <w:iCs/>
                  <w:noProof/>
                  <w:lang w:val="en-US"/>
                </w:rPr>
                <w:t xml:space="preserve">Food Standards Act 1999.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https://www.legislation.gov.uk/ukpga/1999/28/contents</w:t>
              </w:r>
              <w:r>
                <w:rPr>
                  <w:noProof/>
                  <w:lang w:val="en-US"/>
                </w:rPr>
                <w:br/>
                <w:t>[Accessed 16 August 2023].</w:t>
              </w:r>
            </w:p>
            <w:p w14:paraId="2FD91EFF" w14:textId="77777777" w:rsidR="00351A60" w:rsidRDefault="00351A60" w:rsidP="00351A60">
              <w:pPr>
                <w:pStyle w:val="Bibliography"/>
                <w:rPr>
                  <w:noProof/>
                  <w:lang w:val="en-US"/>
                </w:rPr>
              </w:pPr>
              <w:r w:rsidRPr="00351A60">
                <w:rPr>
                  <w:noProof/>
                  <w:lang w:val="fr-FR"/>
                </w:rPr>
                <w:t xml:space="preserve">Grummon, A. H. et al., 2020. </w:t>
              </w:r>
              <w:r>
                <w:rPr>
                  <w:i/>
                  <w:iCs/>
                  <w:noProof/>
                  <w:lang w:val="en-US"/>
                </w:rPr>
                <w:t xml:space="preserve">Ethical Considerations for Food and Beverage Warnings.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https://www.ncbi.nlm.nih.gov/pmc/articles/PMC7321920/</w:t>
              </w:r>
              <w:r>
                <w:rPr>
                  <w:noProof/>
                  <w:lang w:val="en-US"/>
                </w:rPr>
                <w:br/>
                <w:t>[Accessed 10 August 2023].</w:t>
              </w:r>
            </w:p>
            <w:p w14:paraId="3786ED7C" w14:textId="77777777" w:rsidR="00351A60" w:rsidRDefault="00351A60" w:rsidP="00351A6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RCR Administators, N.D.. </w:t>
              </w:r>
              <w:r>
                <w:rPr>
                  <w:i/>
                  <w:iCs/>
                  <w:noProof/>
                  <w:lang w:val="en-US"/>
                </w:rPr>
                <w:t xml:space="preserve">Who may access research data?.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https://ori.hhs.gov/education/products/rcradmin/topics/data/tutorial_7.shtml</w:t>
              </w:r>
              <w:r>
                <w:rPr>
                  <w:noProof/>
                  <w:lang w:val="en-US"/>
                </w:rPr>
                <w:br/>
                <w:t>[Accessed 11 August 2023].</w:t>
              </w:r>
            </w:p>
            <w:p w14:paraId="4E518783" w14:textId="77777777" w:rsidR="00351A60" w:rsidRDefault="00351A60" w:rsidP="00351A6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Sanjari, M. et al., 2014. Ethical challenges of researchers in qualitative studies: the necessity to develop a specific guideline. </w:t>
              </w:r>
              <w:r>
                <w:rPr>
                  <w:i/>
                  <w:iCs/>
                  <w:noProof/>
                  <w:lang w:val="en-US"/>
                </w:rPr>
                <w:t xml:space="preserve">Journal of medical ethics and history of medicine, </w:t>
              </w:r>
              <w:r>
                <w:rPr>
                  <w:noProof/>
                  <w:lang w:val="en-US"/>
                </w:rPr>
                <w:t>7(14).</w:t>
              </w:r>
            </w:p>
            <w:p w14:paraId="28C881C9" w14:textId="77777777" w:rsidR="00351A60" w:rsidRDefault="00351A60" w:rsidP="00351A6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Turillli, M. &amp; Floridi, L., 2009. </w:t>
              </w:r>
              <w:r>
                <w:rPr>
                  <w:i/>
                  <w:iCs/>
                  <w:noProof/>
                  <w:lang w:val="en-US"/>
                </w:rPr>
                <w:t xml:space="preserve">The ethics of information transparency.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https://www.researchgate.net/publication/226497023_The_ethics_of_information_transparency</w:t>
              </w:r>
              <w:r>
                <w:rPr>
                  <w:noProof/>
                  <w:lang w:val="en-US"/>
                </w:rPr>
                <w:br/>
                <w:t>[Accessed 10 August 2023].</w:t>
              </w:r>
            </w:p>
            <w:p w14:paraId="2F27C3A7" w14:textId="77777777" w:rsidR="00351A60" w:rsidRDefault="00351A60" w:rsidP="00351A6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User research community, 2018. </w:t>
              </w:r>
              <w:r>
                <w:rPr>
                  <w:i/>
                  <w:iCs/>
                  <w:noProof/>
                  <w:lang w:val="en-US"/>
                </w:rPr>
                <w:t xml:space="preserve">Managing user research data and participant privacy.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https://www.gov.uk/service-manual/user-research/managing-user-research-data-</w:t>
              </w:r>
              <w:r>
                <w:rPr>
                  <w:noProof/>
                  <w:u w:val="single"/>
                  <w:lang w:val="en-US"/>
                </w:rPr>
                <w:lastRenderedPageBreak/>
                <w:t>participant-privacy</w:t>
              </w:r>
              <w:r>
                <w:rPr>
                  <w:noProof/>
                  <w:lang w:val="en-US"/>
                </w:rPr>
                <w:br/>
                <w:t>[Accessed 10 August 2023].</w:t>
              </w:r>
            </w:p>
            <w:p w14:paraId="02B3BB0F" w14:textId="385FF3DC" w:rsidR="00935E87" w:rsidRPr="00C96DB9" w:rsidRDefault="00935E87" w:rsidP="00351A60">
              <w:pPr>
                <w:spacing w:line="480" w:lineRule="auto"/>
                <w:rPr>
                  <w:rFonts w:ascii="Arial" w:hAnsi="Arial" w:cs="Arial"/>
                  <w:sz w:val="24"/>
                  <w:szCs w:val="24"/>
                </w:rPr>
              </w:pPr>
              <w:r w:rsidRPr="00C96DB9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6BD3B22" w14:textId="77777777" w:rsidR="00935E87" w:rsidRPr="00C96DB9" w:rsidRDefault="00935E87" w:rsidP="00C96DB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2E0960DE" w14:textId="77777777" w:rsidR="00935E87" w:rsidRPr="00C96DB9" w:rsidRDefault="00935E87" w:rsidP="00C96DB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0126FA67" w14:textId="77777777" w:rsidR="00935E87" w:rsidRPr="00C96DB9" w:rsidRDefault="00935E87" w:rsidP="00C96DB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sectPr w:rsidR="00935E87" w:rsidRPr="00C96DB9" w:rsidSect="00A6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305"/>
    <w:rsid w:val="000A44AD"/>
    <w:rsid w:val="000E1391"/>
    <w:rsid w:val="00195305"/>
    <w:rsid w:val="002E24E7"/>
    <w:rsid w:val="00351A60"/>
    <w:rsid w:val="00512272"/>
    <w:rsid w:val="005556AE"/>
    <w:rsid w:val="00683B2B"/>
    <w:rsid w:val="00820D36"/>
    <w:rsid w:val="008A33F1"/>
    <w:rsid w:val="00935E87"/>
    <w:rsid w:val="00A6498F"/>
    <w:rsid w:val="00AA415E"/>
    <w:rsid w:val="00BB0338"/>
    <w:rsid w:val="00C96DB9"/>
    <w:rsid w:val="00CB66C6"/>
    <w:rsid w:val="00DF54FE"/>
    <w:rsid w:val="00E30C25"/>
    <w:rsid w:val="00F4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0055"/>
  <w15:chartTrackingRefBased/>
  <w15:docId w15:val="{1A05BBA9-18A4-4E52-80E2-C6637DDC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E8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35E87"/>
  </w:style>
  <w:style w:type="character" w:customStyle="1" w:styleId="Heading3Char">
    <w:name w:val="Heading 3 Char"/>
    <w:basedOn w:val="DefaultParagraphFont"/>
    <w:link w:val="Heading3"/>
    <w:uiPriority w:val="9"/>
    <w:semiHidden/>
    <w:rsid w:val="00935E8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CEP21</b:Tag>
    <b:SourceType>InternetSite</b:SourceType>
    <b:Guid>{5ED5595A-E1E8-4F7F-9B35-CB3FF9D42CCE}</b:Guid>
    <b:Title>Ethics and Disclosure Policy</b:Title>
    <b:Year>2021</b:Year>
    <b:YearAccessed>10</b:YearAccessed>
    <b:MonthAccessed>August</b:MonthAccessed>
    <b:DayAccessed>2023</b:DayAccessed>
    <b:URL>https://cepr.org/research/research-policies/ethics-and-disclosure-policy</b:URL>
    <b:Author>
      <b:Author>
        <b:Corporate>CEPR</b:Corporate>
      </b:Author>
    </b:Author>
    <b:RefOrder>1</b:RefOrder>
  </b:Source>
  <b:Source>
    <b:Tag>ACM181</b:Tag>
    <b:SourceType>InternetSite</b:SourceType>
    <b:Guid>{DC631B3E-60C2-42A4-8AB6-F1D5E1234B1D}</b:Guid>
    <b:Author>
      <b:Author>
        <b:Corporate>ACM Code 2018 Task Force</b:Corporate>
      </b:Author>
    </b:Author>
    <b:Title>ACM Code of Ethics and Professional Conduct</b:Title>
    <b:Year>2018</b:Year>
    <b:YearAccessed>2023</b:YearAccessed>
    <b:MonthAccessed>June</b:MonthAccessed>
    <b:DayAccessed>21</b:DayAccessed>
    <b:URL>https://www.acm.org/code-of-ethics</b:URL>
    <b:RefOrder>2</b:RefOrder>
  </b:Source>
  <b:Source>
    <b:Tag>Tur09</b:Tag>
    <b:SourceType>DocumentFromInternetSite</b:SourceType>
    <b:Guid>{49186D83-1686-40DA-8740-6B5251C7D3CD}</b:Guid>
    <b:Title>The ethics of information transparency</b:Title>
    <b:Year>2009</b:Year>
    <b:YearAccessed>2023</b:YearAccessed>
    <b:MonthAccessed>August</b:MonthAccessed>
    <b:DayAccessed>10</b:DayAccessed>
    <b:URL>https://www.researchgate.net/publication/226497023_The_ethics_of_information_transparency</b:URL>
    <b:Month>June</b:Month>
    <b:JournalName>Ethics and Information Technology</b:JournalName>
    <b:Author>
      <b:Author>
        <b:NameList>
          <b:Person>
            <b:Last>Turillli</b:Last>
            <b:First>Matteo</b:First>
          </b:Person>
          <b:Person>
            <b:Last>Floridi</b:Last>
            <b:First>Luciano</b:First>
          </b:Person>
        </b:NameList>
      </b:Author>
    </b:Author>
    <b:RefOrder>3</b:RefOrder>
  </b:Source>
  <b:Source>
    <b:Tag>San14</b:Tag>
    <b:SourceType>JournalArticle</b:SourceType>
    <b:Guid>{7C014BA0-4323-47B4-B767-3955D8AB319B}</b:Guid>
    <b:Title>Ethical challenges of researchers in qualitative studies: the necessity to develop a specific guideline</b:Title>
    <b:Year>2014</b:Year>
    <b:URL>https://www.ncbi.nlm.nih.gov/pmc/articles/PMC4263394/</b:URL>
    <b:JournalName>Journal of medical ethics and history of medicine</b:JournalName>
    <b:Volume>7</b:Volume>
    <b:Issue>14</b:Issue>
    <b:Author>
      <b:Author>
        <b:NameList>
          <b:Person>
            <b:Last>Sanjari</b:Last>
            <b:First>Mahnaz</b:First>
          </b:Person>
          <b:Person>
            <b:Last>Bahramnezhad</b:Last>
            <b:First>Fatemeh </b:First>
          </b:Person>
          <b:Person>
            <b:Last>Fomani</b:Last>
            <b:Middle>Khoshnava</b:Middle>
            <b:First>Fatemeh </b:First>
          </b:Person>
          <b:Person>
            <b:Last>Shoghi</b:Last>
            <b:First>Mahnaz</b:First>
          </b:Person>
          <b:Person>
            <b:Last>Cheraghi</b:Last>
            <b:Middle>Ali </b:Middle>
            <b:First>Mohammad </b:First>
          </b:Person>
        </b:NameList>
      </b:Author>
    </b:Author>
    <b:RefOrder>4</b:RefOrder>
  </b:Source>
  <b:Source>
    <b:Tag>Gru20</b:Tag>
    <b:SourceType>DocumentFromInternetSite</b:SourceType>
    <b:Guid>{1B229D29-AC59-436D-AFBB-67CB125EFFBF}</b:Guid>
    <b:Title>Ethical Considerations for Food and Beverage Warnings</b:Title>
    <b:Year>2020</b:Year>
    <b:YearAccessed>2023</b:YearAccessed>
    <b:MonthAccessed>August</b:MonthAccessed>
    <b:DayAccessed>10</b:DayAccessed>
    <b:URL>https://www.ncbi.nlm.nih.gov/pmc/articles/PMC7321920/</b:URL>
    <b:Month>August</b:Month>
    <b:Day>1</b:Day>
    <b:Author>
      <b:Author>
        <b:NameList>
          <b:Person>
            <b:Last>Grummon</b:Last>
            <b:Middle>H</b:Middle>
            <b:First>Anna </b:First>
          </b:Person>
          <b:Person>
            <b:Last>Hall</b:Last>
            <b:Middle>G</b:Middle>
            <b:First>Marissa</b:First>
          </b:Person>
          <b:Person>
            <b:Last>Block</b:Last>
            <b:Middle>P</b:Middle>
            <b:First>Jason</b:First>
          </b:Person>
          <b:Person>
            <b:Last>Bleich</b:Last>
            <b:Middle>N</b:Middle>
            <b:First>Sara</b:First>
          </b:Person>
          <b:Person>
            <b:Last>Rimm</b:Last>
            <b:Middle>B</b:Middle>
            <b:First>Eric</b:First>
          </b:Person>
          <b:Person>
            <b:Last>Taillie</b:Last>
            <b:Middle>Smith</b:Middle>
            <b:First>Lindsey</b:First>
          </b:Person>
          <b:Person>
            <b:Last>Barnhill</b:Last>
            <b:First>Anne</b:First>
          </b:Person>
        </b:NameList>
      </b:Author>
    </b:Author>
    <b:RefOrder>6</b:RefOrder>
  </b:Source>
  <b:Source>
    <b:Tag>RCRND</b:Tag>
    <b:SourceType>InternetSite</b:SourceType>
    <b:Guid>{F4130397-94E3-455A-B011-75F91EA11181}</b:Guid>
    <b:Title>Who may access research data?</b:Title>
    <b:Year>N.D.</b:Year>
    <b:Author>
      <b:Author>
        <b:Corporate>RCR Administators</b:Corporate>
      </b:Author>
    </b:Author>
    <b:YearAccessed>2023</b:YearAccessed>
    <b:MonthAccessed>August</b:MonthAccessed>
    <b:DayAccessed>11</b:DayAccessed>
    <b:URL>https://ori.hhs.gov/education/products/rcradmin/topics/data/tutorial_7.shtml</b:URL>
    <b:RefOrder>5</b:RefOrder>
  </b:Source>
  <b:Source>
    <b:Tag>Cra12</b:Tag>
    <b:SourceType>JournalArticle</b:SourceType>
    <b:Guid>{42AA4B0F-3173-4472-835E-B25D0FB9D59A}</b:Guid>
    <b:Title>A Review of the Empirical Ethical Decision-Making Literature: 2004–2011</b:Title>
    <b:JournalName>Journal of Business Ethics</b:JournalName>
    <b:Year>2012</b:Year>
    <b:Pages>221-259</b:Pages>
    <b:Volume>117</b:Volume>
    <b:Author>
      <b:Author>
        <b:NameList>
          <b:Person>
            <b:Last>Craft</b:Last>
            <b:Middle>L</b:Middle>
            <b:First>Jana</b:First>
          </b:Person>
        </b:NameList>
      </b:Author>
    </b:Author>
    <b:URL>https://link.springer.com/article/10.1007/s10551-012-1518-9</b:URL>
    <b:RefOrder>7</b:RefOrder>
  </b:Source>
  <b:Source>
    <b:Tag>Use18</b:Tag>
    <b:SourceType>InternetSite</b:SourceType>
    <b:Guid>{ACCE953D-A130-4BD4-AA90-2E7C5D54132C}</b:Guid>
    <b:Title>Managing user research data and participant privacy</b:Title>
    <b:Year>2018</b:Year>
    <b:Author>
      <b:Author>
        <b:Corporate>User research community</b:Corporate>
      </b:Author>
    </b:Author>
    <b:YearAccessed>2023</b:YearAccessed>
    <b:MonthAccessed>August</b:MonthAccessed>
    <b:DayAccessed>10</b:DayAccessed>
    <b:URL>https://www.gov.uk/service-manual/user-research/managing-user-research-data-participant-privacy</b:URL>
    <b:RefOrder>8</b:RefOrder>
  </b:Source>
  <b:Source>
    <b:Tag>Foo99</b:Tag>
    <b:SourceType>InternetSite</b:SourceType>
    <b:Guid>{C4FE9FBF-90DC-4BE3-B972-9DCEFC8FFD55}</b:Guid>
    <b:Title>Food Standards Act 1999</b:Title>
    <b:Year>1999</b:Year>
    <b:Author>
      <b:Author>
        <b:Corporate>Food Standards Agency</b:Corporate>
      </b:Author>
    </b:Author>
    <b:YearAccessed>2023</b:YearAccessed>
    <b:MonthAccessed>August</b:MonthAccessed>
    <b:DayAccessed>16</b:DayAccessed>
    <b:URL>https://www.legislation.gov.uk/ukpga/1999/28/contents</b:URL>
    <b:RefOrder>9</b:RefOrder>
  </b:Source>
</b:Sources>
</file>

<file path=customXml/itemProps1.xml><?xml version="1.0" encoding="utf-8"?>
<ds:datastoreItem xmlns:ds="http://schemas.openxmlformats.org/officeDocument/2006/customXml" ds:itemID="{94A3DA67-3A3E-4407-B700-F03C5CA3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3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KARIMI-PC</dc:creator>
  <cp:keywords/>
  <dc:description/>
  <cp:lastModifiedBy>KARIMI-PC</cp:lastModifiedBy>
  <cp:revision>10</cp:revision>
  <dcterms:created xsi:type="dcterms:W3CDTF">2023-08-15T08:16:00Z</dcterms:created>
  <dcterms:modified xsi:type="dcterms:W3CDTF">2023-08-17T01:13:00Z</dcterms:modified>
</cp:coreProperties>
</file>