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DISCIPLINA, VALOR Y VOCACI</w:t>
      </w:r>
      <w:r>
        <w:rPr>
          <w:rFonts w:eastAsia="Times New Roman" w:cs="Arial"/>
          <w:b/>
          <w:bCs/>
          <w:i/>
          <w:iCs/>
          <w:color w:val="auto"/>
          <w:kern w:val="0"/>
          <w:sz w:val="22"/>
          <w:szCs w:val="22"/>
          <w:lang w:val="es-ES" w:eastAsia="es-ES" w:bidi="ar-SA"/>
        </w:rPr>
        <w:t xml:space="preserve">ÓN DE </w:t>
      </w:r>
      <w:r>
        <w:rPr>
          <w:rFonts w:cs="Arial"/>
          <w:b/>
          <w:bCs/>
          <w:i/>
          <w:iCs/>
          <w:sz w:val="22"/>
          <w:szCs w:val="22"/>
        </w:rPr>
        <w:t>SERVICIO”</w:t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/>
          <w:b/>
          <w:bCs/>
          <w:i/>
          <w:iCs/>
          <w:sz w:val="22"/>
          <w:szCs w:val="22"/>
          <w:u w:val="single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  <w:u w:val="none"/>
        </w:rPr>
      </w:pPr>
      <w:r>
        <w:rPr>
          <w:rFonts w:cs="Arial"/>
          <w:b/>
          <w:bCs/>
          <w:i/>
          <w:iCs/>
          <w:sz w:val="22"/>
          <w:szCs w:val="22"/>
          <w:u w:val="none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jc w:val="center"/>
        <w:rPr>
          <w:i/>
          <w:i/>
          <w:iCs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2025 BICENTENARIO DE BOLIVIA”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8255" r="0" b="889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5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-60325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4440555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BodyText3"/>
      <w:spacing w:lineRule="auto" w:line="240" w:before="0" w:after="0"/>
      <w:ind w:left="709" w:firstLine="709"/>
      <w:jc w:val="right"/>
      <w:rPr>
        <w:rFonts w:cs="Arial"/>
        <w:b/>
        <w:b/>
        <w:bCs/>
        <w:color w:val="BFBFBF" w:themeColor="background1" w:themeShade="bf"/>
        <w:sz w:val="24"/>
        <w:szCs w:val="16"/>
        <w:vertAlign w:val="subscript"/>
      </w:rPr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1</Pages>
  <Words>50</Words>
  <Characters>393</Characters>
  <CharactersWithSpaces>428</CharactersWithSpaces>
  <Paragraphs>17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2025-02-12T15:35:40Z</dcterms:modified>
  <cp:revision>30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