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1: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(param)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67f99"/>
          <w:sz w:val="21"/>
          <w:szCs w:val="21"/>
          <w:rtl w:val="0"/>
        </w:rPr>
        <w:t xml:space="preserve">tuple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лучше isinstance(param, tuple)</w:t>
        <w:br w:type="textWrapping"/>
        <w:t xml:space="preserve">код крутой, но декораторы наверное оверкил, пришлось вспоминать как они работают))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Задание 2:</w:t>
        <w:br w:type="textWrapping"/>
        <w:br w:type="textWrapping"/>
        <w:t xml:space="preserve">функция все-таки называется функцией правдподобия, а не максимума правдподобия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([np.log(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+ (rv-theta)**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rv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sample])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это можно было сделать без цикла, если sample это np.massive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