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Задача 2: Используются циклы.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561299" cy="33004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1299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Неправильно подписан этот график. Плюс на нем должно быть 3 кривые.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Аналогично, для нормального распределения.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Так как графики неполные, то непонятно, как из них мог быть сделан такой вывод: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708282" cy="1147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8282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Задача 3: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548889" cy="10334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889" cy="103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Бутстрепная оценка дисперсии эффективна?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