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00" w:after="40"/>
      </w:pPr>
      <w:r>
        <w:rPr>
          <w:rFonts w:ascii="Calibri" w:hAnsi="Calibri" w:eastAsia="Calibri"/>
          <w:b/>
          <w:color w:val="2C7A73"/>
          <w:sz w:val="21"/>
        </w:rPr>
        <w:t>ESPECIFICACIONES TÉCNICAS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173553"/>
          <w:sz w:val="50"/>
        </w:rPr>
        <w:t>Especificaciones técnicas consolidadas para adquisición, instalación y mantenimiento de sistemas de aire acondicionado</w:t>
      </w:r>
    </w:p>
    <w:p>
      <w:pPr>
        <w:widowControl/>
        <w:spacing w:after="320"/>
      </w:pPr>
      <w:r>
        <w:rPr>
          <w:rFonts w:ascii="Calibri" w:hAnsi="Calibri" w:eastAsia="Calibri"/>
          <w:color w:val="5B6573"/>
          <w:sz w:val="26"/>
        </w:rPr>
        <w:t>Gerencia Financiera - Equipo de Infraestructura y Mantenimiento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D"/>
          <w:left w:val="single" w:sz="6" w:space="0" w:color="CAD3DD"/>
          <w:bottom w:val="single" w:sz="6" w:space="0" w:color="CAD3DD"/>
          <w:right w:val="single" w:sz="6" w:space="0" w:color="CAD3DD"/>
          <w:insideH w:val="single" w:sz="6" w:space="0" w:color="CAD3DD"/>
          <w:insideV w:val="single" w:sz="6" w:space="0" w:color="CAD3DD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Borrador técnico consolidado para revisión institucional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Corte documental y normativo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2026-07-23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Unidad usuaria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Equipo de Infraestructura y Mantenimiento · Gerencia Financiera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Aplicación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Compra, instalación, puesta en marcha, garantía y mantenimiento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CC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Condición de uso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E293B"/>
                <w:sz w:val="20"/>
              </w:rPr>
              <w:t>Documento técnico consolidado para revisión institucional. Antes de incorporarlo a un cartel o contrato deberán completarse las cantidades, capacidades, ubicaciones, planos, condiciones del sitio y criterios de evaluación del procedimiento específico.</w:t>
            </w:r>
          </w:p>
        </w:tc>
      </w:tr>
    </w:tbl>
    <w:p>
      <w:pPr>
        <w:pStyle w:val="Heading1"/>
        <w:keepNext/>
        <w:widowControl/>
      </w:pPr>
      <w:r>
        <w:t>Control documental</w:t>
      </w:r>
    </w:p>
    <w:p>
      <w:pPr>
        <w:widowControl/>
        <w:spacing w:after="140"/>
      </w:pPr>
      <w:r>
        <w:t>La consolidación conserva como autoridad el PDF firmado y utiliza el archivo editable únicamente para recuperar la estructura y facilitar la actualización.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Base principal de compra e instalación: GF-EIM-IT-0031-2025 - Especificaciones técnicas de aires acondicionados (2025-08-19). PDF firmado en EIMGF; DOCX de trabajo cotejado para recuperar estructura.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Base principal de mantenimiento: GF-EIM-IT-0020-2023 - Especificaciones técnicas de mantenimiento de aire acondicionado (2023-06-19). PDF firmado en EIMGF; DOCX de trabajo cotejado para recuperar tablas.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Lecciones de desempeño y recepción: GF-EIM-N-0005-2026 - Criterio técnico del sistema de aire acondicionado de Santa Cruz (2026-01-15). PDF ubicado en EIMGF.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Lecciones de instalación: GF-EIM-IT-0025-2026 - Visita técnica a la Sucursal de Turrialba (2026-05-06). PDF ubicado en EIMGF.</w:t>
      </w:r>
    </w:p>
    <w:p>
      <w:pPr>
        <w:pStyle w:val="Heading1"/>
        <w:keepNext/>
        <w:widowControl/>
      </w:pPr>
      <w:r>
        <w:t>Alcance de esta versión</w:t>
      </w:r>
    </w:p>
    <w:p>
      <w:pPr>
        <w:widowControl/>
        <w:spacing w:after="140"/>
      </w:pPr>
      <w:r>
        <w:t>Aplica a equipos tipo mini-split, multi-split, cassette, piso-cielo, manejadora con ductos, VRF cuando se indique expresamente y equipos portátiles. No incluye chillers ni unidades paquete.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Las cláusulas se redactan como requisitos mínimos; el oferente podrá proponer soluciones superiores cuando sean compatibles con el diseño, la normativa y la infraestructura existente.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La especificación particular de cada contratación prevalece en cantidades, ubicaciones, capacidades, horarios y restricciones de ejecución.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No se incluyen chillers ni unidades paquete. Los sistemas VRF se aplicarán únicamente cuando el cuadro de equipos y el diseño particular los indiquen.</w:t>
      </w:r>
    </w:p>
    <w:p>
      <w:pPr>
        <w:pStyle w:val="Heading1"/>
        <w:keepNext/>
        <w:widowControl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DE6"/>
          <w:left w:val="single" w:sz="5" w:space="0" w:color="D5DDE6"/>
          <w:bottom w:val="single" w:sz="5" w:space="0" w:color="D5DDE6"/>
          <w:right w:val="single" w:sz="5" w:space="0" w:color="D5DDE6"/>
          <w:insideH w:val="single" w:sz="5" w:space="0" w:color="D5DDE6"/>
          <w:insideV w:val="single" w:sz="5" w:space="0" w:color="D5DDE6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84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Sección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Objeto y alcance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Jerarquía y coordinación documental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Visita, levantamiento y diseño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Equipos y desempeño mínimo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Refrigerantes y gestión ambiental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Certificaciones y evaluación de conformidad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Instalación eléctrica y controles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Tubería de refrigerante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Drenaje de condensados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Soportes, obra civil y protección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Ductos y distribución de aire cuando aplique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12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Ejecución, puesta en marcha y recepción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Garantía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14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Mantenimiento preventivo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Mantenimiento correctivo y repuestos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16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Personal, seguridad, informes y control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Especificaciones consolidadas</w:t>
      </w:r>
    </w:p>
    <w:p>
      <w:pPr>
        <w:widowControl/>
        <w:spacing w:after="200"/>
      </w:pPr>
      <w:r>
        <w:t>Los siguientes requisitos se aplicarán en conjunto con el cuadro particular de equipos, los planos, la visita técnica y las instrucciones del fabricante.</w:t>
      </w:r>
    </w:p>
    <w:p>
      <w:pPr>
        <w:pStyle w:val="Heading2"/>
        <w:keepNext/>
        <w:widowControl/>
      </w:pPr>
      <w:r>
        <w:t>1. Objeto y alcance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Calibri" w:hAnsi="Calibri" w:eastAsia="Calibri"/>
          <w:color w:val="1E293B"/>
          <w:sz w:val="22"/>
        </w:rPr>
        <w:t>La contratación comprenderá, según cada línea, el suministro, desinstalación, sustitución, instalación, puesta en marcha, recepción y mantenimiento de sistemas de aire acondicionado en instalaciones de la CCSS.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Calibri" w:hAnsi="Calibri" w:eastAsia="Calibri"/>
          <w:color w:val="1E293B"/>
          <w:sz w:val="22"/>
        </w:rPr>
        <w:t>El alcance incluirá materiales, mano de obra, transporte, herramientas, izaje, protecciones, drenajes, tuberías de refrigerante, alimentación eléctrica, controles, soportes, sellos, acabados, pruebas y documentación necesarios para una solución completa y funcional.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Calibri" w:hAnsi="Calibri" w:eastAsia="Calibri"/>
          <w:color w:val="1E293B"/>
          <w:sz w:val="22"/>
        </w:rPr>
        <w:t>Los tipos de equipo comprendidos son mini-split, multi-split, cassette, piso-cielo, manejadora con ductos, VRF cuando se indique y portátiles. Se excluyen chillers y unidades paquete.</w:t>
      </w:r>
    </w:p>
    <w:p>
      <w:pPr>
        <w:spacing w:before="0" w:after="80" w:line="300" w:lineRule="auto"/>
        <w:widowControl/>
        <w:numPr>
          <w:ilvl w:val="0"/>
          <w:numId w:val="11"/>
        </w:numPr>
      </w:pPr>
      <w:r>
        <w:rPr>
          <w:rFonts w:ascii="Calibri" w:hAnsi="Calibri" w:eastAsia="Calibri"/>
          <w:color w:val="1E293B"/>
          <w:sz w:val="22"/>
        </w:rPr>
        <w:t>Las cantidades, capacidades, ubicaciones y condiciones particulares se definirán en la tabla de equipos, planos, croquis y visita técnica de cada procedimiento.</w:t>
      </w:r>
    </w:p>
    <w:p>
      <w:pPr>
        <w:pStyle w:val="Heading2"/>
        <w:keepNext/>
        <w:widowControl/>
      </w:pPr>
      <w:r>
        <w:t>2. Jerarquía y coordinación documental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Calibri" w:hAnsi="Calibri" w:eastAsia="Calibri"/>
          <w:color w:val="1E293B"/>
          <w:sz w:val="22"/>
        </w:rPr>
        <w:t>El contratista deberá cumplir el pliego, estas especificaciones, anexos, planos y aclaraciones emitidas formalmente. Ante contradicción, deberá solicitar aclaración antes de ofertar o ejecutar.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Calibri" w:hAnsi="Calibri" w:eastAsia="Calibri"/>
          <w:color w:val="1E293B"/>
          <w:sz w:val="22"/>
        </w:rPr>
        <w:t>Los planos o croquis de referencia no sustituyen la verificación de campo ni el diseño ejecutivo cuando este sea requerido.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Calibri" w:hAnsi="Calibri" w:eastAsia="Calibri"/>
          <w:color w:val="1E293B"/>
          <w:sz w:val="22"/>
        </w:rPr>
        <w:t>Toda desviación o ajuste de ubicación deberá contar con aprobación previa de la inspección y quedar documentado en planos conforme a obra.</w:t>
      </w:r>
    </w:p>
    <w:p>
      <w:pPr>
        <w:spacing w:before="0" w:after="80" w:line="300" w:lineRule="auto"/>
        <w:widowControl/>
        <w:numPr>
          <w:ilvl w:val="0"/>
          <w:numId w:val="12"/>
        </w:numPr>
      </w:pPr>
      <w:r>
        <w:rPr>
          <w:rFonts w:ascii="Calibri" w:hAnsi="Calibri" w:eastAsia="Calibri"/>
          <w:color w:val="1E293B"/>
          <w:sz w:val="22"/>
        </w:rPr>
        <w:t>La omisión de un accesorio indispensable para funcionamiento, seguridad, mantenimiento o acabado no libera al contratista de suministrarlo, siempre que sea inherente al alcance técnicamente definido.</w:t>
      </w:r>
    </w:p>
    <w:p>
      <w:pPr>
        <w:pStyle w:val="Heading2"/>
        <w:keepNext/>
        <w:widowControl/>
      </w:pPr>
      <w:r>
        <w:t>3. Visita, levantamiento y diseño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Calibri" w:hAnsi="Calibri" w:eastAsia="Calibri"/>
          <w:color w:val="1E293B"/>
          <w:sz w:val="22"/>
        </w:rPr>
        <w:t>El oferente deberá verificar en sitio dimensiones, accesos, rutas de tubería y drenaje, capacidad eléctrica, ubicación de tableros, estructura, techo, cielorraso, ambiente corrosivo, seguridad, interferencias y condiciones de operación.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Calibri" w:hAnsi="Calibri" w:eastAsia="Calibri"/>
          <w:color w:val="1E293B"/>
          <w:sz w:val="22"/>
        </w:rPr>
        <w:t>La capacidad no se definirá únicamente por el equipo existente. Para equipos nuevos, cambios de tipo o espacios con desempeño deficiente se presentará cálculo de carga térmica y criterio de selección.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Calibri" w:hAnsi="Calibri" w:eastAsia="Calibri"/>
          <w:color w:val="1E293B"/>
          <w:sz w:val="22"/>
        </w:rPr>
        <w:t>La selección deberá considerar temperatura y humedad de diseño, ocupación, orientación, envolvente, infiltración, cargas internas, horarios y condiciones climáticas del lugar.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Calibri" w:hAnsi="Calibri" w:eastAsia="Calibri"/>
          <w:color w:val="1E293B"/>
          <w:sz w:val="22"/>
        </w:rPr>
        <w:t>En equipos con ductos se presentarán memoria de caudal, pérdidas, presión estática, retornos, distribución, selección de rejillas/difusores y balance.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Calibri" w:hAnsi="Calibri" w:eastAsia="Calibri"/>
          <w:color w:val="1E293B"/>
          <w:sz w:val="22"/>
        </w:rPr>
        <w:t>Se verificará que la solución no produzca corrientes molestas, zonas sin cobertura, recirculación de aire de descarga, cortocircuito entre suministro y retorno ni afectación de archivos, mobiliario o equipos.</w:t>
      </w:r>
    </w:p>
    <w:p>
      <w:pPr>
        <w:spacing w:before="0" w:after="80" w:line="300" w:lineRule="auto"/>
        <w:widowControl/>
        <w:numPr>
          <w:ilvl w:val="0"/>
          <w:numId w:val="13"/>
        </w:numPr>
      </w:pPr>
      <w:r>
        <w:rPr>
          <w:rFonts w:ascii="Calibri" w:hAnsi="Calibri" w:eastAsia="Calibri"/>
          <w:color w:val="1E293B"/>
          <w:sz w:val="22"/>
        </w:rPr>
        <w:t>Los requerimientos de ventilación y aire exterior se evaluarán separadamente; un equipo dividido de recirculación no se considerará por sí solo un sistema de ventilación.</w:t>
      </w:r>
    </w:p>
    <w:p>
      <w:pPr>
        <w:pStyle w:val="Heading2"/>
        <w:keepNext/>
        <w:widowControl/>
      </w:pPr>
      <w:r>
        <w:t>4. Equipos y desempeño mínimo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Los equipos serán nuevos, sin uso, de fabricación vigente y con disponibilidad de repuestos y servicio técnico en Costa Rica.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Los equipos serán de tecnología inverter, salvo portátiles u otra excepción expresamente justificada en la tabla de equipos.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La unidad interior y la unidad exterior deberán constituir una combinación aprobada por el fabricante y certificada como conjunto cuando el esquema de certificación así lo requiera.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La capacidad nominal, consumo, REEE, EER, SEER, IEER u otras métricas aplicables deberán corresponder a la combinación ofertada y estar respaldadas por etiqueta, certificado o informe válido.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Para equipos cubiertos por los RTCA vigentes se exigirá etiqueta de eficiencia energética y documentación de evaluación de conformidad. Para equipos hasta 65 000 BTU/h se adoptará como objetivo REEE igual o mayor a 17 BTU/hW, salvo justificación técnica y estudio de mercado.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Los equipos deberán incorporar controles, protecciones y autodiagnóstico propios del fabricante, incluidos los necesarios por sobrecarga, temperatura, congelamiento, pérdida o inversión de fase cuando aplique y variaciones eléctricas.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Las unidades interiores deberán incluir filtros lavables de fácil acceso, control remoto o termostato, bandeja de condensados y elementos de difusión adecuados.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El nivel sonoro declarado deberá ser compatible con oficinas. Como referencia histórica, la unidad interior no superará 56 dB(A) en máxima velocidad y la exterior 65 dB(A) a un metro; cualquier excepción por capacidad deberá justificarse y no causar molestias.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Los equipos instalados en ambiente costero deberán tener tratamiento anticorrosivo de fábrica en serpentín, gabinete, tubería expuesta y herrajes, con evidencia de ensayo y garantía para ambiente salino.</w:t>
      </w:r>
    </w:p>
    <w:p>
      <w:pPr>
        <w:spacing w:before="0" w:after="80" w:line="300" w:lineRule="auto"/>
        <w:widowControl/>
        <w:numPr>
          <w:ilvl w:val="0"/>
          <w:numId w:val="14"/>
        </w:numPr>
      </w:pPr>
      <w:r>
        <w:rPr>
          <w:rFonts w:ascii="Calibri" w:hAnsi="Calibri" w:eastAsia="Calibri"/>
          <w:color w:val="1E293B"/>
          <w:sz w:val="22"/>
        </w:rPr>
        <w:t>No se aceptarán materiales o componentes sin identificación, catálogo, modelo, trazabilidad o procedencia verificable.</w:t>
      </w:r>
    </w:p>
    <w:p>
      <w:pPr>
        <w:pStyle w:val="Heading2"/>
        <w:keepNext/>
        <w:widowControl/>
      </w:pPr>
      <w:r>
        <w:t>5. Refrigerantes y gestión ambiental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El refrigerante de equipos nuevos tendrá potencial de agotamiento de ozono igual a cero y deberá estar permitido por la normativa nacional vigente.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El oferente declarará tipo de refrigerante, carga, clasificación de seguridad ASHRAE 34 y potencial de calentamiento global.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Se preferirán refrigerantes de menor potencial de calentamiento global que R-410A, siempre que el equipo, la instalación, el mercado local y las medidas de seguridad resulten adecuados.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Cuando se utilicen refrigerantes A2L u otra clasificación con inflamabilidad, se cumplirán las limitaciones de carga, volumen de recinto, ventilación, fuentes de ignición, señalización, herramientas, transporte y competencia técnica que correspondan.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No se permitirá liberar refrigerante a la atmósfera. Todo refrigerante retirado se recuperará con equipo adecuado, se identificará, pesará, almacenará y entregará a un gestor o centro autorizado.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El R-22 solo podrá manejarse en equipos existentes durante recuperación o mantenimiento permitido; no se aceptará en equipos nuevos.</w:t>
      </w:r>
    </w:p>
    <w:p>
      <w:pPr>
        <w:spacing w:before="0" w:after="80" w:line="300" w:lineRule="auto"/>
        <w:widowControl/>
        <w:numPr>
          <w:ilvl w:val="0"/>
          <w:numId w:val="15"/>
        </w:numPr>
      </w:pPr>
      <w:r>
        <w:rPr>
          <w:rFonts w:ascii="Calibri" w:hAnsi="Calibri" w:eastAsia="Calibri"/>
          <w:color w:val="1E293B"/>
          <w:sz w:val="22"/>
        </w:rPr>
        <w:t>El contratista entregará registro de refrigerante recuperado, reutilizado, añadido y dispuesto, con tipo, masa, equipo de procedencia y destino.</w:t>
      </w:r>
    </w:p>
    <w:p>
      <w:pPr>
        <w:pStyle w:val="Heading2"/>
        <w:keepNext/>
        <w:widowControl/>
      </w:pPr>
      <w:r>
        <w:t>6. Certificaciones y evaluación de conformidad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Los equipos cubiertos por reglamentos técnicos deberán contar con la evaluación de conformidad y etiquetado exigidos por el RTCA aplicable.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Los certificados de producto serán emitidos por organismos acreditados bajo ISO/IEC 17065 o equivalente, con alcance aplicable y reconocimiento pertinente.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Los informes de ensayo o inspección serán emitidos por organismos acreditados bajo ISO/IEC 17025 o ISO/IEC 17020, según corresponda.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No se solicitará una 'certificación ECA del equipo'. Cuando proceda, se exigirá que el organismo emisor esté acreditado o reconocido por el ECA o por un organismo signatario de acuerdos multilaterales aplicables.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Cuando se solicite AHRI, el certificado deberá identificar la combinación exacta de unidad interior y exterior y su número de referencia vigente en el directorio.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La certificación UL, ETL u otra equivalente demostrará seguridad del producto bajo una norma aplicable; su alcance deberá corresponder al modelo ofertado.</w:t>
      </w:r>
    </w:p>
    <w:p>
      <w:pPr>
        <w:spacing w:before="0" w:after="80" w:line="300" w:lineRule="auto"/>
        <w:widowControl/>
        <w:numPr>
          <w:ilvl w:val="0"/>
          <w:numId w:val="16"/>
        </w:numPr>
      </w:pPr>
      <w:r>
        <w:rPr>
          <w:rFonts w:ascii="Calibri" w:hAnsi="Calibri" w:eastAsia="Calibri"/>
          <w:color w:val="1E293B"/>
          <w:sz w:val="22"/>
        </w:rPr>
        <w:t>La documentación deberá permitir verificar fabricante, marca, modelos, capacidades, tensión, fases, refrigerante y métricas de eficiencia sin depender de declaraciones genéricas.</w:t>
      </w:r>
    </w:p>
    <w:p>
      <w:pPr>
        <w:pStyle w:val="Heading2"/>
        <w:keepNext/>
        <w:widowControl/>
      </w:pPr>
      <w:r>
        <w:t>7. Instalación eléctrica y controles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Toda instalación cumplirá el Código Eléctrico de Costa Rica vigente, planos aprobados cuando correspondan y requisitos de la empresa distribuidora.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El circuito, conductores, protección contra sobrecorriente y medio de desconexión se dimensionarán según placa, MCA, MOCP, manual del fabricante, tensión, fases, longitud, caída de tensión, temperatura, agrupamiento y método de instalación.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Los valores históricos asociados a rangos de BTU solo podrán usarse para estimación preliminar y nunca sustituirán el cálculo ni la placa del equipo.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Se utilizará canalización EMT en interiores e IMC u otra canalización aprobada donde exista intemperie o riesgo de daño mecánico. Accesorios y cajas exteriores serán adecuados al ambiente.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No se permitirá cable TSJ o similar oculto en entretecho o dentro de tuberías cuando no esté listado para ese uso.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Cada unidad exterior tendrá un medio de desconexión visible, accesible y con envolvente adecuada a la ubicación.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Se instalará protección de tensión y fases cuando corresponda, coordinada con los rangos de operación del fabricante y las condiciones reales del suministro.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Se verificará tensión, corriente, secuencia de fases, puesta a tierra, apriete de terminales, aislamiento, protecciones y rotulación antes de energizar.</w:t>
      </w:r>
    </w:p>
    <w:p>
      <w:pPr>
        <w:spacing w:before="0" w:after="80" w:line="300" w:lineRule="auto"/>
        <w:widowControl/>
        <w:numPr>
          <w:ilvl w:val="0"/>
          <w:numId w:val="17"/>
        </w:numPr>
      </w:pPr>
      <w:r>
        <w:rPr>
          <w:rFonts w:ascii="Calibri" w:hAnsi="Calibri" w:eastAsia="Calibri"/>
          <w:color w:val="1E293B"/>
          <w:sz w:val="22"/>
        </w:rPr>
        <w:t>Toda modificación de tableros, circuitos o acometida será realizada por personal competente y documentada en planos conforme a obra.</w:t>
      </w:r>
    </w:p>
    <w:p>
      <w:pPr>
        <w:pStyle w:val="Heading2"/>
        <w:keepNext/>
        <w:widowControl/>
      </w:pPr>
      <w:r>
        <w:t>8. Tubería de refrigerante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La tubería será cobre ACR sin costura conforme ASTM B280, limpia, deshidratada, sellada y adecuada a la presión, temperatura y refrigerante.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Diámetros, espesores, longitudes máximas, desniveles, trampas de aceite y carga adicional se ajustarán al manual del fabricante y al diseño.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Las juntas soldadas se ejecutarán con purga de nitrógeno seco para reducir óxidos internos; se emplearán materiales y procedimientos compatibles.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Los soportes se espaciarán según diámetro y diseño, sin aplastar aislamiento ni permitir contacto galvánico entre metales disímiles.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La línea de succión y cualquier línea susceptible a condensación se aislarán con espesor adecuado; en exteriores el aislamiento tendrá protección impermeable, ultravioleta y mecánica.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La prueba de presión se hará con nitrógeno seco regulado, a presión y duración definidas por el fabricante y el código aplicable, sin exceder la presión admisible de ningún componente.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Se verificará ausencia de fugas en uniones y válvulas con método compatible. No se usará oxígeno ni aire comprimido para presurizar.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El vacío se medirá con vacuómetro en micrones, se alcanzará el valor indicado por el fabricante y se ejecutará una prueba de sostenimiento antes de liberar o cargar refrigerante.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Las líneas prefabricadas o multicapa solo se admitirán cuando el sistema completo esté listado para refrigeración, sea compatible con refrigerante/presión y cuente con aprobación del fabricante y de la inspección.</w:t>
      </w:r>
    </w:p>
    <w:p>
      <w:pPr>
        <w:spacing w:before="0" w:after="80" w:line="300" w:lineRule="auto"/>
        <w:widowControl/>
        <w:numPr>
          <w:ilvl w:val="0"/>
          <w:numId w:val="18"/>
        </w:numPr>
      </w:pPr>
      <w:r>
        <w:rPr>
          <w:rFonts w:ascii="Calibri" w:hAnsi="Calibri" w:eastAsia="Calibri"/>
          <w:color w:val="1E293B"/>
          <w:sz w:val="22"/>
        </w:rPr>
        <w:t>Las tuberías expuestas se protegerán contra radiación, daño mecánico, vandalismo y robo sin impedir inspección ni mantenimiento.</w:t>
      </w:r>
    </w:p>
    <w:p>
      <w:pPr>
        <w:pStyle w:val="Heading2"/>
        <w:keepNext/>
        <w:widowControl/>
      </w:pPr>
      <w:r>
        <w:t>9. Drenaje de condensados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Se suministrarán bandejas, bombas y tuberías de condensado necesarias para cada unidad.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La tubería será PVC u otro material aprobado, con diámetro suficiente y pendiente continua no menor al 2 por ciento cuando funcione por gravedad.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Las tuberías interiores se aislarán para evitar condensación superficial y goteos.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Se evitarán contrapendientes y bolsas de agua; se incorporarán registros para limpieza y sifones donde exista presión negativa o conexión sanitaria.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No se descargará condensado sobre cubiertas, canoas, bajantes o estructuras metálicas si puede causar corrosión, ruido, humedad o molestias.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La ruta y el punto de descarga deberán impedir daño a personas, documentos, mobiliario, equipos, paredes, cielos y pisos.</w:t>
      </w:r>
    </w:p>
    <w:p>
      <w:pPr>
        <w:spacing w:before="0" w:after="80" w:line="300" w:lineRule="auto"/>
        <w:widowControl/>
        <w:numPr>
          <w:ilvl w:val="0"/>
          <w:numId w:val="19"/>
        </w:numPr>
      </w:pPr>
      <w:r>
        <w:rPr>
          <w:rFonts w:ascii="Calibri" w:hAnsi="Calibri" w:eastAsia="Calibri"/>
          <w:color w:val="1E293B"/>
          <w:sz w:val="22"/>
        </w:rPr>
        <w:t>Durante la recepción se probará el drenaje con caudal suficiente y se verificará la operación de bombas y alarmas.</w:t>
      </w:r>
    </w:p>
    <w:p>
      <w:pPr>
        <w:pStyle w:val="Heading2"/>
        <w:keepNext/>
        <w:widowControl/>
      </w:pPr>
      <w:r>
        <w:t>10. Soportes, obra civil y protección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Las unidades se fijarán sobre soportes, plataformas o losas calculados para su peso, vibración, viento y condiciones del sitio, con amortiguadores y anclajes apropiados.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Se respetarán las separaciones del fabricante para entrada/salida de aire, servicio, retiro de paneles y sustitución futura.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La ubicación en techo será excepcional o expresamente indicada; no deberá perforar ni debilitar elementos estructurales ni producir goteras.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Las unidades en cubierta se ubicarán de forma que permita mantenimiento y sustitución de láminas de techo, con acceso seguro.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No se perforarán vigas, columnas u otros elementos estructurales sin diseño y autorización profesional.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Los huecos y pasos se sellarán contra agua, plagas, humo y fuego según la clasificación del elemento atravesado.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Los acabados afectados se repondrán con materiales, textura y color compatibles con el estado original.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Las protecciones contra vandalismo permitirán flujo de aire, apertura de paneles, lectura de placa, mantenimiento y desmontaje; no deberán transferir vibración ni bloquear descarga.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Las estructuras metálicas tendrán preparación de superficie, sistema anticorrosivo y acabado adecuado a interior, exterior o ambiente marino.</w:t>
      </w:r>
    </w:p>
    <w:p>
      <w:pPr>
        <w:spacing w:before="0" w:after="80" w:line="300" w:lineRule="auto"/>
        <w:widowControl/>
        <w:numPr>
          <w:ilvl w:val="0"/>
          <w:numId w:val="20"/>
        </w:numPr>
      </w:pPr>
      <w:r>
        <w:rPr>
          <w:rFonts w:ascii="Calibri" w:hAnsi="Calibri" w:eastAsia="Calibri"/>
          <w:color w:val="1E293B"/>
          <w:sz w:val="22"/>
        </w:rPr>
        <w:t>Escombros, embalajes y materiales retirados se evacuarán regularmente; los activos institucionales se entregarán mediante control de la Administración.</w:t>
      </w:r>
    </w:p>
    <w:p>
      <w:pPr>
        <w:pStyle w:val="Heading2"/>
        <w:keepNext/>
        <w:widowControl/>
      </w:pPr>
      <w:r>
        <w:t>11. Ductos y distribución de aire cuando aplique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Ningún sistema con manejadora y ductos se instalará sin diseño de caudal, presión estática, suministro, retorno, balance y selección de equipo.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Los materiales de ducto deberán cumplir requisitos de reacción al fuego, rigidez, aislamiento, estanqueidad, humedad y limpieza adecuados al edificio.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Los ductos, accesorios, compuertas, difusores y equipos tendrán soporte independiente conforme a su peso y al diseño.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Se incorporarán accesos para inspección y limpieza, así como compuertas de balance donde sean necesarias.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Las conexiones flexibles se limitarán a longitudes aprobadas, sin estrangulamientos, aplastamiento ni radios incompatibles.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Antes de recepción se medirán caudales, presión estática y balance; se comprobará que cada recinto alcance condiciones uniformes sin ruido ni corrientes molestas.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Se verificará que el retorno tenga área y ubicación suficientes. No se aceptará usar cavidades contaminadas como plenum sin autorización técnica y cumplimiento normativo.</w:t>
      </w:r>
    </w:p>
    <w:p>
      <w:pPr>
        <w:spacing w:before="0" w:after="80" w:line="300" w:lineRule="auto"/>
        <w:widowControl/>
        <w:numPr>
          <w:ilvl w:val="0"/>
          <w:numId w:val="21"/>
        </w:numPr>
      </w:pPr>
      <w:r>
        <w:rPr>
          <w:rFonts w:ascii="Calibri" w:hAnsi="Calibri" w:eastAsia="Calibri"/>
          <w:color w:val="1E293B"/>
          <w:sz w:val="22"/>
        </w:rPr>
        <w:t>Cuando se requiera ventilación exterior, esta se diseñará y verificará de manera independiente del sistema de recirculación.</w:t>
      </w:r>
    </w:p>
    <w:p>
      <w:pPr>
        <w:pStyle w:val="Heading2"/>
        <w:keepNext/>
        <w:widowControl/>
      </w:pPr>
      <w:r>
        <w:t>12. Ejecución, puesta en marcha y recepción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Los trabajos se coordinarán para reducir afectación a oficinas en operación y se ejecutarán de forma continua por frente de trabajo.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Antes de instalar se confirmarán modelos, ubicaciones, rutas, soportes y condiciones eléctricas con la inspección.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La puesta en marcha será ejecutada por personal competente conforme al procedimiento del fabricante.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Cada conjunto interior-exterior se identificará con código, ubicación, marca, modelos, series, refrigerante, carga y placa institucional cuando corresponda.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El protocolo de recepción incluirá inspección visual, aprietes, aislamiento, soportes, drenaje, tensión, corriente, protecciones, presiones o parámetros disponibles, temperatura de entrada/salida, delta de temperatura, caudal cuando aplique, ruido, vibración, controles, alarmas y operación continua.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En sistemas con ductos se añadirá balance de aire, caudal por salida, presión estática y comprobación de retorno.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No se recibirá un sistema con goteos, fugas, vibraciones anormales, ruido molesto, protecciones disparadas sin causa resuelta, desempeño térmico insuficiente o pendientes que comprometan su operación.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La recepción podrá realizarse por sistemas independientes únicamente cuando cada uno sea funcional y la separación no oculte deficiencias de diseño común.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Las observaciones quedarán en acta con responsable y plazo. La recepción definitiva procederá después de verificar las correcciones.</w:t>
      </w:r>
    </w:p>
    <w:p>
      <w:pPr>
        <w:spacing w:before="0" w:after="80" w:line="300" w:lineRule="auto"/>
        <w:widowControl/>
        <w:numPr>
          <w:ilvl w:val="0"/>
          <w:numId w:val="22"/>
        </w:numPr>
      </w:pPr>
      <w:r>
        <w:rPr>
          <w:rFonts w:ascii="Calibri" w:hAnsi="Calibri" w:eastAsia="Calibri"/>
          <w:color w:val="1E293B"/>
          <w:sz w:val="22"/>
        </w:rPr>
        <w:t>Se entregarán manuales en español, garantías, certificados, catálogos, protocolos, fotografías, planos conforme a obra, parámetros de configuración y capacitación básica.</w:t>
      </w:r>
    </w:p>
    <w:p>
      <w:pPr>
        <w:pStyle w:val="Heading2"/>
        <w:keepNext/>
        <w:widowControl/>
      </w:pPr>
      <w:r>
        <w:t>13. Garantía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La garantía mínima será de 24 meses en equipos, partes, materiales, mano de obra e instalación, salvo que el procedimiento establezca una condición superior.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La garantía iniciará con la recepción definitiva del sistema y no con la entrega física del equipo.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Durante la garantía se realizará mantenimiento preventivo trimestral como mínimo, sin afectar la garantía del fabricante.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Las fallas atribuibles a fabricación, selección, instalación o materiales se corregirán sin costo para la CCSS.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Después de la tercera falla recurrente por la misma causa, o cuando no sea técnicamente reparable, se sustituirá el equipo por uno nuevo de iguales o mejores características, sujeto a criterio técnico.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El contratista documentará cada atención con diagnóstico, causa raíz, mediciones, repuestos, corrección y prueba final.</w:t>
      </w:r>
    </w:p>
    <w:p>
      <w:pPr>
        <w:spacing w:before="0" w:after="80" w:line="300" w:lineRule="auto"/>
        <w:widowControl/>
        <w:numPr>
          <w:ilvl w:val="0"/>
          <w:numId w:val="23"/>
        </w:numPr>
      </w:pPr>
      <w:r>
        <w:rPr>
          <w:rFonts w:ascii="Calibri" w:hAnsi="Calibri" w:eastAsia="Calibri"/>
          <w:color w:val="1E293B"/>
          <w:sz w:val="22"/>
        </w:rPr>
        <w:t>El tiempo fuera de servicio por garantía y cualquier ampliación de cobertura se registrarán por activo.</w:t>
      </w:r>
    </w:p>
    <w:p>
      <w:pPr>
        <w:pStyle w:val="Heading2"/>
        <w:keepNext/>
        <w:widowControl/>
      </w:pPr>
      <w:r>
        <w:t>14. Mantenimiento preventivo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La frecuencia mínima durante garantía será trimestral. En contratos independientes se definirá por criticidad, ambiente, horas de uso y fabricante, sin ser menos exigente que el intervalo contractual aprobado.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Se atenderán por separado la unidad interior y la unidad exterior de cada sistema, manteniendo vínculo común en el historial del conjunto.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La rutina incluirá limpieza o cambio de filtros, serpentines, bandejas, drenajes, ventiladores, carcasas, controles y tableros, con productos compatibles.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Se revisarán corrosión, pintura, aislamiento, tuberías, soportes, fijaciones, vibraciones, ruidos, fugas y estado general.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Se medirán y registrarán tensión, corriente, desbalance de fases cuando aplique, temperaturas de retorno y suministro, delta de temperatura, presiones y parámetros de refrigerante cuando sean diagnósticamente necesarios.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Se verificarán termostatos, controles remotos, sensores, alarmas, bombas de condensado, protecciones, desconectadores y cableado accesible.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La carga de refrigerante no se ajustará sin diagnóstico. Antes de añadir refrigerante se localizará y corregirá cualquier fuga y se registrará la masa añadida.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El mantenimiento incluirá consumibles normales y componentes de bajo costo definidos en el contrato, sin cargos separados.</w:t>
      </w:r>
    </w:p>
    <w:p>
      <w:pPr>
        <w:spacing w:before="0" w:after="80" w:line="300" w:lineRule="auto"/>
        <w:widowControl/>
        <w:numPr>
          <w:ilvl w:val="0"/>
          <w:numId w:val="24"/>
        </w:numPr>
      </w:pPr>
      <w:r>
        <w:rPr>
          <w:rFonts w:ascii="Calibri" w:hAnsi="Calibri" w:eastAsia="Calibri"/>
          <w:color w:val="1E293B"/>
          <w:sz w:val="22"/>
        </w:rPr>
        <w:t>Después del servicio se realizarán pruebas de operación y se limpiará el área.</w:t>
      </w:r>
    </w:p>
    <w:p>
      <w:pPr>
        <w:pStyle w:val="Heading2"/>
        <w:keepNext/>
        <w:widowControl/>
      </w:pPr>
      <w:r>
        <w:t>15. Mantenimiento correctivo y repuestos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La atención correctiva incluirá diagnóstico, seguridad del equipo, reparación, repuestos autorizados, puesta en marcha y reporte.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Los tiempos de respuesta y solución se definirán por criticidad y ubicación. Cuando no pueda repararse de inmediato, el equipo quedará seguro, armado en lo posible, con circuitos de refrigerante sellados contra humedad y pérdida.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Los repuestos serán nuevos, compatibles, trazables y de calidad igual o superior a la original; toda sustitución que altere desempeño requerirá aprobación.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Los componentes retirados se entregarán a la Administración o a un gestor autorizado según su condición y propiedad.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La reparación tendrá garantía escrita sobre mano de obra y repuestos por el plazo definido en el contrato.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No se autorizará sustituir un diagnóstico por recargas periódicas de refrigerante.</w:t>
      </w:r>
    </w:p>
    <w:p>
      <w:pPr>
        <w:spacing w:before="0" w:after="80" w:line="300" w:lineRule="auto"/>
        <w:widowControl/>
        <w:numPr>
          <w:ilvl w:val="0"/>
          <w:numId w:val="25"/>
        </w:numPr>
      </w:pPr>
      <w:r>
        <w:rPr>
          <w:rFonts w:ascii="Calibri" w:hAnsi="Calibri" w:eastAsia="Calibri"/>
          <w:color w:val="1E293B"/>
          <w:sz w:val="22"/>
        </w:rPr>
        <w:t>El reporte deberá indicar causa de falla, mediciones antes/después, trabajo realizado, repuestos, refrigerante, tiempo fuera de servicio y recomendación.</w:t>
      </w:r>
    </w:p>
    <w:p>
      <w:pPr>
        <w:pStyle w:val="Heading2"/>
        <w:keepNext/>
        <w:widowControl/>
      </w:pPr>
      <w:r>
        <w:t>16. Personal, seguridad, informes y control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La empresa acreditará experiencia pertinente y personal técnico competente para refrigeración, electricidad, controles y trabajos asociados.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Cuando el alcance incluya diseño, modificaciones eléctricas, estructuras o sistemas con ductos, participará el profesional incorporado al CFIA que corresponda.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El personal que manipule refrigerantes deberá demostrar formación en recuperación, vacío, carga, detección de fugas y seguridad del refrigerante utilizado.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El contratista suministrará herramientas, instrumentos calibrados o verificados, recuperación, vacío, nitrógeno regulado, medición eléctrica y protección personal.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Se cumplirán las normas vigentes de salud ocupacional, trabajo en altura, bloqueo y etiquetado, señalización, protección de usuarios y control de accesos.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El personal estará uniformado e identificado. Las áreas permanecerán señalizadas, ordenadas y libres de obstáculos.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Cada reporte identificará sucursal, ubicación, activo, marca, modelos, series, técnico, fecha, rutina, mediciones, hallazgos, repuestos, refrigerante y estado final.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Los reportes deberán ser legibles, firmados por técnico y contraparte, y entregarse en formato digital estructurado para mantener el historial por activo.</w:t>
      </w:r>
    </w:p>
    <w:p>
      <w:pPr>
        <w:spacing w:before="0" w:after="80" w:line="300" w:lineRule="auto"/>
        <w:widowControl/>
        <w:numPr>
          <w:ilvl w:val="0"/>
          <w:numId w:val="26"/>
        </w:numPr>
      </w:pPr>
      <w:r>
        <w:rPr>
          <w:rFonts w:ascii="Calibri" w:hAnsi="Calibri" w:eastAsia="Calibri"/>
          <w:color w:val="1E293B"/>
          <w:sz w:val="22"/>
        </w:rPr>
        <w:t>La Administración podrá verificar personal, herramientas, mediciones, certificados, materiales y cumplimiento de rutinas en cualquier momento.</w:t>
      </w:r>
    </w:p>
    <w:p>
      <w:pPr>
        <w:pStyle w:val="Heading1"/>
        <w:keepNext/>
        <w:widowControl/>
      </w:pPr>
      <w:r>
        <w:t>Cuadro particular que debe completar cada procedimiento</w:t>
      </w:r>
    </w:p>
    <w:p>
      <w:pPr>
        <w:widowControl/>
      </w:pPr>
      <w:r>
        <w:t>Este cuadro funciona como control mínimo de definición. Puede sustituirse por planos o anexos más detallados, siempre que conserven la misma información.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 requerida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Ubicación e identificación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Edificio, nivel, recinto, código del equipo y ubicación de unidades interior/exterior.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Tipo y cantidad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Configuración requerida y cantidad por línea.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Capacidad y desempeño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Carga de diseño o capacidad nominal; rango de operación; REEE y demás indicadores exigibles.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Servicio eléctrico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Tensión, fases, frecuencia, disponibilidad del circuito y restricciones de recorrido.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Tuberías y drenaje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Longitudes estimadas, desniveles, punto de descarga, bomba si aplica y pases previstos.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Distribución de aire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Difusores, retornos, ductos, balance y condiciones de ventilación cuando aplique.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Ambiente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Corrosividad, exposición solar/lluvia, atmósfera marina, polvo, humedad o uso crítico.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Horarios, permisos, acceso, izaje, trabajos en altura, protección de ocupantes y acabados.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Equipos existentes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Retiro, recuperación de refrigerante, traslado, disposición o entrega a la Administración.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Recepción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Pruebas particulares, responsables, plazo, capacitación y documentos exigidos.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Rutina mínima de mantenimiento preventivo</w:t>
      </w:r>
    </w:p>
    <w:p>
      <w:pPr>
        <w:widowControl/>
        <w:spacing w:after="160"/>
      </w:pPr>
      <w:r>
        <w:t>La rutina se ejecutará por unidad interior y unidad exterior, con trazabilidad común del sistema. Cada actividad deberá registrarse con condición encontrada, acción ejecutada, medición cuando corresponda y resultado.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720"/>
        <w:gridCol w:w="6840"/>
        <w:gridCol w:w="1800"/>
      </w:tblGrid>
      <w:tr>
        <w:trPr>
          <w:cantSplit/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Actividad mínima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Registrar tensión y corriente de motores y compresor.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o cambiar filtros según condición.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y revisar tarjetas, contactores, relevadores, capacitores y componentes eléctricos/electrónicos con método compatible.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carcasas y exteriores.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ventiladores y elementos de impulsión; revisar aspas.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motores, bujes, soportes y fijaciones.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Comprobar termostato, control remoto, sensores y sistema de control.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Inspeccionar el estado físico, aislamiento interno y corrosión.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bandeja, drenaje y bomba de condensado; probar evacuación.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Medir, cuando aplique, presión de succión y descarga, temperaturas de línea, saturación, sobrecalentamiento y subenfriamiento.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11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 temperatura de retorno y descarga, delta de temperatura y caudal de aire cuando aplique.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12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 tensión, corriente y desbalance entre fases cuando aplique.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13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Lavar serpentines con procedimiento y producto compatible.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14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compresor, soportes, válvulas de servicio y componentes frigoríficos accesibles.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15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Detectar fugas y corregirlas antes de añadir refrigerante.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16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Comprobar ruidos, vibraciones, alarmas y eventos acumulados.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17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aletas, tuberías de refrigeración, aislamiento, drenajes y soportes.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18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Verificar protecciones, desconectadores, canalizaciones y cableado accesible.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19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Ejecutar autodiagnóstico y pruebas de operación.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20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Registrar reportes de usuarios, hallazgos, acciones y estado final.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</w:tbl>
    <w:p>
      <w:pPr>
        <w:pStyle w:val="Heading1"/>
        <w:keepNext/>
        <w:widowControl/>
      </w:pPr>
      <w:r>
        <w:t>Entregables mínimos para recepción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Acta de puesta en marcha por sistema, firmada por el responsable técnico del contratista.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Registro de modelo y serie de unidades interior y exterior, controles y accesorios principales.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Certificados y fichas técnicas del conjunto ofrecido, incluidos eficiencia energética y compatibilidad de componentes.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Resultados de pruebas eléctricas, refrigerantes, drenaje, operación, temperaturas, flujo o balance según el tipo de sistema.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Planos o croquis conforme a obra, con circuitos, tuberías, drenajes, ductos, controles y puntos de desconexión.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Manual de operación y mantenimiento, garantías, calendario de servicio y contactos de atención.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Inventario fotográfico del antes, durante y después, incluyendo trabajos ocultos antes de cerrar cielos, ductos o acabados.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Constancia de capacitación al personal designado por la Administración.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Comprobantes de recuperación y gestión de refrigerante y residuos cuando se retiren equipos existentes.</w:t>
      </w:r>
    </w:p>
    <w:p>
      <w:pPr>
        <w:spacing w:before="0" w:after="80" w:line="300" w:lineRule="auto"/>
        <w:widowControl/>
        <w:numPr>
          <w:ilvl w:val="0"/>
          <w:numId w:val="10"/>
        </w:numPr>
      </w:pPr>
      <w:r>
        <w:rPr>
          <w:rFonts w:ascii="Calibri" w:hAnsi="Calibri" w:eastAsia="Calibri"/>
          <w:color w:val="1E293B"/>
          <w:sz w:val="22"/>
        </w:rPr>
        <w:t>Lista de pendientes cerrada o, excepcionalmente, plan de corrección aprobado sin afectar seguridad ni operación esencial.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Normativa y referencias técnicas</w:t>
      </w:r>
    </w:p>
    <w:p>
      <w:pPr>
        <w:widowControl/>
        <w:spacing w:after="160"/>
      </w:pPr>
      <w:r>
        <w:t>Se aplicará la versión vigente a la fecha de publicación del procedimiento. Cuando una norma citada sea sustituida, se utilizará su edición vigente o la disposición que legalmente la reemplace, salvo justificación técnica expresa.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2500"/>
        <w:gridCol w:w="5360"/>
        <w:gridCol w:w="150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Instrumento / enlace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Aplicación en estas especificaciones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45239-MINAE</w:t>
            </w:r>
          </w:p>
          <w:p>
            <w:pPr>
              <w:spacing w:after="40" w:before="0" w:line="240" w:lineRule="auto"/>
            </w:pPr>
            <w:hyperlink r:id="rId11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Para aires acondicionados hasta 19 050 W (65 000 BTU/h), recomienda REEE igual o mayor a 17 BTU/hW y señala cómo demostrarla mediante etiqueta y evaluación de conformidad.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Recomendación vigente para el sector público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RTCA 23.01.78:20, publicado mediante Decreto Ejecutivo 43616-COMEX-MEIC-MINAE, y Decreto 44037-MINAE</w:t>
            </w:r>
          </w:p>
          <w:p>
            <w:pPr>
              <w:spacing w:after="40" w:before="0" w:line="240" w:lineRule="auto"/>
            </w:pPr>
            <w:hyperlink r:id="rId12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Eficiencia, evaluación de conformidad y etiquetado de equipos divididos inverter, con flujo de refrigerante variable, descarga libre y sin ductos.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Reglamento técnico aplicable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RTCA 23.01.80:21, publicado mediante Decreto Ejecutivo 44016-COMEX-MEIC-MINAE, y Decreto 44964</w:t>
            </w:r>
          </w:p>
          <w:p>
            <w:pPr>
              <w:spacing w:after="40" w:before="0" w:line="240" w:lineRule="auto"/>
            </w:pPr>
            <w:hyperlink r:id="rId13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Eficiencia, evaluación de conformidad y etiquetado de equipos divididos de velocidad fija, descarga libre y sin ductos, hasta 65 000 BTU/h.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Reglamento técnico aplicable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44321-MINAE</w:t>
            </w:r>
          </w:p>
          <w:p>
            <w:pPr>
              <w:spacing w:after="40" w:before="0" w:line="240" w:lineRule="auto"/>
            </w:pPr>
            <w:hyperlink r:id="rId14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Mecanismo de cuotas para la reducción gradual del uso de HFC. Obliga a evitar especificaciones que ignoren la transición a refrigerantes de menor potencial de calentamiento global.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Vigente desde 2023-12-20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37614-MINAE y Decreto Ejecutivo 35676-S-H-MAG-MINAET</w:t>
            </w:r>
          </w:p>
          <w:p>
            <w:pPr>
              <w:spacing w:after="40" w:before="0" w:line="240" w:lineRule="auto"/>
            </w:pPr>
            <w:hyperlink r:id="rId15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Control de HCFC y de sustancias agotadoras de ozono. Desde 2020 se prohíbe importar equipos de refrigeración o climatización con HCFC; el R-22 queda limitado a equipos existentes y debe recuperarse sin liberarlo.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Marco nacional sobre HCFC y sustancias agotadoras de ozono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RTCR 458:2011, Decreto Ejecutivo 36979-MEIC y reformas</w:t>
            </w:r>
          </w:p>
          <w:p>
            <w:pPr>
              <w:spacing w:after="40" w:before="0" w:line="240" w:lineRule="auto"/>
            </w:pPr>
            <w:hyperlink r:id="rId16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Código Eléctrico de Costa Rica para la Seguridad de la Vida y de la Propiedad; aplica a instalaciones nuevas, ampliaciones y remodelaciones. El dimensionamiento debe obedecer placa, fabricante, cálculo y versión oficial de NFPA 70 adoptada.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Obligatorio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Ley 8839 y Decreto Ejecutivo 37567-S-MINAET-H</w:t>
            </w:r>
          </w:p>
          <w:p>
            <w:pPr>
              <w:spacing w:after="40" w:before="0" w:line="240" w:lineRule="auto"/>
            </w:pPr>
            <w:hyperlink r:id="rId17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Gestión integral de residuos y responsabilidad por su disposición, incluidos aceites, refrigerantes, componentes eléctricos y electrónicos y materiales retirados.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Obligatorio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ANSI/ASHRAE 15-2024 y ANSI/ASHRAE 34-2024</w:t>
            </w:r>
          </w:p>
          <w:p>
            <w:pPr>
              <w:spacing w:after="40" w:before="0" w:line="240" w:lineRule="auto"/>
            </w:pPr>
            <w:hyperlink r:id="rId18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Seguridad de sistemas de refrigeración, designación, toxicidad, inflamabilidad y límites de concentración de refrigerantes, especialmente para refrigerantes A2L.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ANSI/ASHRAE 62.1-2025</w:t>
            </w:r>
          </w:p>
          <w:p>
            <w:pPr>
              <w:spacing w:after="40" w:before="0" w:line="240" w:lineRule="auto"/>
            </w:pPr>
            <w:hyperlink r:id="rId19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Ventilación y calidad de aire interior. Un equipo mini-split no sustituye el aporte de aire exterior cuando este sea requerido.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AHRI 210/240-2024 o versión aplicable</w:t>
            </w:r>
          </w:p>
          <w:p>
            <w:pPr>
              <w:spacing w:after="40" w:before="0" w:line="240" w:lineRule="auto"/>
            </w:pPr>
            <w:hyperlink r:id="rId20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Desempeño de equipos unitarios menores de 65 000 BTU/h. Debe verificarse la combinación certificada de unidad interior y exterior, no cada componente por separado.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para certificación de desempeño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ASTM B280-23 y ASME B31.5-2022</w:t>
            </w:r>
          </w:p>
          <w:p>
            <w:pPr>
              <w:spacing w:after="40" w:before="0" w:line="240" w:lineRule="auto"/>
            </w:pPr>
            <w:hyperlink r:id="rId21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Tubería de cobre ACR y requisitos de materiales, diseño, fabricación, ensamble, prueba e inspección de tuberías de refrigeración.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Referencias técnicas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ASTM B117-26</w:t>
            </w:r>
          </w:p>
          <w:p>
            <w:pPr>
              <w:spacing w:after="40" w:before="0" w:line="240" w:lineRule="auto"/>
            </w:pPr>
            <w:hyperlink r:id="rId22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La exposición a niebla salina permite comparar recubrimientos bajo condiciones controladas, pero sus horas no deben interpretarse por sí solas como años de servicio.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Método de ensayo, no predicción de vida útil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INTE-ISO/IEC 17065, 17025 y 17020</w:t>
            </w:r>
          </w:p>
          <w:p>
            <w:pPr>
              <w:spacing w:after="40" w:before="0" w:line="240" w:lineRule="auto"/>
            </w:pPr>
            <w:hyperlink r:id="rId23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La certificación, ensayo o inspección debe provenir de organismos con acreditación vigente y alcance pertinente. El ECA acredita organismos; no certifica productos.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Evaluación de conformidad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2E74B5"/>
                <w:sz w:val="21"/>
              </w:rPr>
              <w:t>Revisión previa a publicación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E293B"/>
                <w:sz w:val="20"/>
              </w:rPr>
              <w:t>La unidad técnica deberá verificar el cuadro de equipos, la carga térmica o selección, el servicio eléctrico disponible, la ruta de drenaje, las condiciones de corrosión, el acceso para mantenimiento, la documentación de eficiencia energética y la compatibilidad del refrigerante antes de aprobar cada procedimiento.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488"/>
      <w:gridCol w:w="1872"/>
    </w:tblGrid>
    <w:tr>
      <w:tc>
        <w:tcPr>
          <w:tcW w:type="dxa" w:w="748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eastAsia="Calibri"/>
              <w:color w:val="5B6573"/>
              <w:sz w:val="17"/>
            </w:rPr>
            <w:t>Especificaciones técnicas consolidadas de aire acondicionado</w:t>
          </w:r>
        </w:p>
      </w:tc>
      <w:tc>
        <w:tcPr>
          <w:tcW w:type="dxa" w:w="1872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Calibri"/>
              <w:color w:val="5B6573"/>
              <w:sz w:val="17"/>
            </w:rPr>
            <w:t xml:space="preserve">Página </w:t>
          </w:r>
          <w:r>
            <w:rPr>
              <w:rFonts w:ascii="Calibri" w:hAnsi="Calibri" w:eastAsia="Calibri"/>
              <w:color w:val="5B6573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CCSS · Gerencia Financiera · Infraestructura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rPr>
        <w:rFonts w:ascii="Calibri" w:hAnsi="Calibri"/>
      </w:rPr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grweb.go.cr/scij/Busqueda/Normativa/Normas/nrm_articulo.aspx?nValor1=1&amp;nValor2=105653&amp;nValor3=148373&amp;nValor5=2&amp;param1=NRA" TargetMode="External"/><Relationship Id="rId12" Type="http://schemas.openxmlformats.org/officeDocument/2006/relationships/hyperlink" Target="https://pgrweb.go.cr/scij/Busqueda/Normativa/Normas/nrm_texto_completo.aspx?nValor1=1&amp;nValor2=97459" TargetMode="External"/><Relationship Id="rId13" Type="http://schemas.openxmlformats.org/officeDocument/2006/relationships/hyperlink" Target="https://pgrweb.go.cr/scij/Busqueda/Normativa/Normas/nrm_texto_completo.aspx?nValor1=1&amp;nValor2=99765&amp;nValor3=136577" TargetMode="External"/><Relationship Id="rId14" Type="http://schemas.openxmlformats.org/officeDocument/2006/relationships/hyperlink" Target="https://pgrweb.go.cr/scij/Busqueda/Normativa/Normas/nrm_norma.aspx?nValor1=1&amp;nValor2=101111&amp;nValor3=138933&amp;param1=NRM&amp;strTipM=FN" TargetMode="External"/><Relationship Id="rId15" Type="http://schemas.openxmlformats.org/officeDocument/2006/relationships/hyperlink" Target="https://cambioclimatico.minae.go.cr/wp-content/uploads/2019/08/Gestion-y-uso-seguro-de-refrigerantes.pdf" TargetMode="External"/><Relationship Id="rId16" Type="http://schemas.openxmlformats.org/officeDocument/2006/relationships/hyperlink" Target="https://pgrweb.go.cr/scij/Busqueda/Normativa/Normas/nrm_texto_completo.aspx?nValor1=1&amp;nValor2=72027&amp;nValor3=0&amp;param1=NRTC&amp;strTipM=TC" TargetMode="External"/><Relationship Id="rId17" Type="http://schemas.openxmlformats.org/officeDocument/2006/relationships/hyperlink" Target="https://www.pgrweb.go.cr/docsdescargar/Normas/No%20R-12-27112024/Version1/PlanNacionaldeCompraPublica.pdf" TargetMode="External"/><Relationship Id="rId18" Type="http://schemas.openxmlformats.org/officeDocument/2006/relationships/hyperlink" Target="https://www.ashrae.org/File%20Library/About/Government%20Affairs/Public%20Policy%20Resources/Standards-15-and-24-2024-Fact-Sheet.pdf" TargetMode="External"/><Relationship Id="rId19" Type="http://schemas.openxmlformats.org/officeDocument/2006/relationships/hyperlink" Target="https://www.ashrae.org/technical-resources/bookstore/standards-62-1-62-2" TargetMode="External"/><Relationship Id="rId20" Type="http://schemas.openxmlformats.org/officeDocument/2006/relationships/hyperlink" Target="https://www.ahrinet.org/search-standards/ahri-210240-i-p-performance-rating-unitary-air-conditioning-and-air-source-heat-pump-equipment" TargetMode="External"/><Relationship Id="rId21" Type="http://schemas.openxmlformats.org/officeDocument/2006/relationships/hyperlink" Target="https://store.astm.org/products-services/standards-and-publications/standards/copper-standards.html" TargetMode="External"/><Relationship Id="rId22" Type="http://schemas.openxmlformats.org/officeDocument/2006/relationships/hyperlink" Target="https://store.astm.org/standards/b117" TargetMode="External"/><Relationship Id="rId23" Type="http://schemas.openxmlformats.org/officeDocument/2006/relationships/hyperlink" Target="https://eca.or.cr/faq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