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300" w:after="40"/>
      </w:pPr>
      <w:r>
        <w:rPr>
          <w:rFonts w:ascii="Calibri" w:hAnsi="Calibri" w:eastAsia="Calibri"/>
          <w:b/>
          <w:color w:val="2C7A73"/>
          <w:sz w:val="21"/>
        </w:rPr>
        <w:t>ESPECIFICACIONES TÉCNICAS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173553"/>
          <w:sz w:val="50"/>
        </w:rPr>
        <w:t>Especificaciones técnicas consolidadas para adquisición, instalación y mantenimiento de sistemas de aire acondicionado</w:t>
      </w:r>
    </w:p>
    <w:p>
      <w:pPr>
        <w:widowControl/>
        <w:spacing w:after="320"/>
      </w:pPr>
      <w:r>
        <w:rPr>
          <w:rFonts w:ascii="Calibri" w:hAnsi="Calibri" w:eastAsia="Calibri"/>
          <w:color w:val="5B6573"/>
          <w:sz w:val="26"/>
        </w:rPr>
        <w:t>Gerencia Financiera - Equipo de Infraestructura y Mantenimiento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D"/>
          <w:left w:val="single" w:sz="6" w:space="0" w:color="CAD3DD"/>
          <w:bottom w:val="single" w:sz="6" w:space="0" w:color="CAD3DD"/>
          <w:right w:val="single" w:sz="6" w:space="0" w:color="CAD3DD"/>
          <w:insideH w:val="single" w:sz="6" w:space="0" w:color="CAD3DD"/>
          <w:insideV w:val="single" w:sz="6" w:space="0" w:color="CAD3DD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b/>
                <w:color w:val="173553"/>
                <w:sz w:val="19"/>
              </w:rPr>
              <w:t>Estado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b w:val="0"/>
                <w:color w:val="1E293B"/>
                <w:sz w:val="19"/>
              </w:rPr>
              <w:t>Borrador técnico consolidado para revisión institucional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b/>
                <w:color w:val="173553"/>
                <w:sz w:val="19"/>
              </w:rPr>
              <w:t>Corte documental y normativo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b w:val="0"/>
                <w:color w:val="1E293B"/>
                <w:sz w:val="19"/>
              </w:rPr>
              <w:t>2026-07-23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b/>
                <w:color w:val="173553"/>
                <w:sz w:val="19"/>
              </w:rPr>
              <w:t>Unidad usuaria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b w:val="0"/>
                <w:color w:val="1E293B"/>
                <w:sz w:val="19"/>
              </w:rPr>
              <w:t>Equipo de Infraestructura y Mantenimiento · Gerencia Financiera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b/>
                <w:color w:val="173553"/>
                <w:sz w:val="19"/>
              </w:rPr>
              <w:t>Aplicación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b w:val="0"/>
                <w:color w:val="1E293B"/>
                <w:sz w:val="19"/>
              </w:rPr>
              <w:t>Compra, instalación, puesta en marcha, garantía y mantenimiento</w:t>
            </w:r>
          </w:p>
        </w:tc>
      </w:tr>
    </w:tbl>
    <w:p>
      <w:pPr>
        <w:widowControl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4CC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color w:val="7A5A00"/>
                <w:sz w:val="21"/>
              </w:rPr>
              <w:t>Condición de uso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E293B"/>
                <w:sz w:val="20"/>
              </w:rPr>
              <w:t>Documento técnico consolidado para revisión institucional. Antes de incorporarlo a un cartel o contrato deberán completarse las cantidades, capacidades, ubicaciones, planos, condiciones del sitio y criterios de evaluación del procedimiento específico.</w:t>
            </w:r>
          </w:p>
        </w:tc>
      </w:tr>
    </w:tbl>
    <w:p>
      <w:pPr>
        <w:pStyle w:val="Heading1"/>
        <w:keepNext/>
        <w:widowControl/>
      </w:pPr>
      <w:r>
        <w:t>Control documental</w:t>
      </w:r>
    </w:p>
    <w:p>
      <w:pPr>
        <w:widowControl/>
        <w:spacing w:after="140"/>
      </w:pPr>
      <w:r>
        <w:t>La consolidación conserva como autoridad el PDF firmado y utiliza el archivo editable únicamente para recuperar la estructura y facilitar la actualización.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Base principal de compra e instalación: GF-EIM-IT-0031-2025 - Especificaciones técnicas de aires acondicionados (2025-08-19). PDF firmado en EIMGF; DOCX de trabajo cotejado para recuperar estructura.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Base principal de mantenimiento: GF-EIM-IT-0020-2023 - Especificaciones técnicas de mantenimiento de aire acondicionado (2023-06-19). PDF firmado en EIMGF; DOCX de trabajo cotejado para recuperar tablas.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Lecciones de desempeño y recepción: GF-EIM-N-0005-2026 - Criterio técnico del sistema de aire acondicionado de Santa Cruz (2026-01-15). PDF ubicado en EIMGF.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Lecciones de instalación: GF-EIM-IT-0025-2026 - Visita técnica a la Sucursal de Turrialba (2026-05-06). PDF ubicado en EIMGF.</w:t>
      </w:r>
    </w:p>
    <w:p>
      <w:pPr>
        <w:pStyle w:val="Heading1"/>
        <w:keepNext/>
        <w:widowControl/>
      </w:pPr>
      <w:r>
        <w:t>Alcance de esta versión</w:t>
      </w:r>
    </w:p>
    <w:p>
      <w:pPr>
        <w:widowControl/>
        <w:spacing w:after="140"/>
      </w:pPr>
      <w:r>
        <w:t>Aplica a equipos tipo mini-split, multi-split, cassette, piso-cielo, manejadora con ductos, VRF cuando se indique expresamente y equipos portátiles. No incluye chillers ni unidades paquete.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cláusulas se redactan como requisitos mínimos; el oferente podrá proponer soluciones superiores cuando sean compatibles con el diseño, la normativa y la infraestructura existente.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especificación particular de cada contratación prevalece en cantidades, ubicaciones, capacidades, horarios y restricciones de ejecución.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No se incluyen chillers ni unidades paquete. Los sistemas VRF se aplicarán únicamente cuando el cuadro de equipos y el diseño particular los indiquen.</w:t>
      </w:r>
    </w:p>
    <w:p>
      <w:pPr>
        <w:pStyle w:val="Heading1"/>
        <w:keepNext/>
        <w:widowControl/>
      </w:pPr>
      <w:r>
        <w:t>Contenido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DE6"/>
          <w:left w:val="single" w:sz="5" w:space="0" w:color="D5DDE6"/>
          <w:bottom w:val="single" w:sz="5" w:space="0" w:color="D5DDE6"/>
          <w:right w:val="single" w:sz="5" w:space="0" w:color="D5DDE6"/>
          <w:insideH w:val="single" w:sz="5" w:space="0" w:color="D5DDE6"/>
          <w:insideV w:val="single" w:sz="5" w:space="0" w:color="D5DDE6"/>
        </w:tblBorders>
      </w:tblPr>
      <w:tblGrid>
        <w:gridCol w:w="900"/>
        <w:gridCol w:w="846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N.º</w:t>
            </w:r>
          </w:p>
        </w:tc>
        <w:tc>
          <w:tcPr>
            <w:tcW w:type="dxa" w:w="846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Sección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Objeto y alcance</w:t>
            </w:r>
          </w:p>
        </w:tc>
      </w:tr>
      <w:tr>
        <w:trPr>
          <w:cantSplit/>
        </w:trPr>
        <w:tc>
          <w:tcPr>
            <w:tcW w:type="dxa" w:w="9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2</w:t>
            </w:r>
          </w:p>
        </w:tc>
        <w:tc>
          <w:tcPr>
            <w:tcW w:type="dxa" w:w="84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Jerarquía y coordinación documental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3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Visita, levantamiento y diseño</w:t>
            </w:r>
          </w:p>
        </w:tc>
      </w:tr>
      <w:tr>
        <w:trPr>
          <w:cantSplit/>
        </w:trPr>
        <w:tc>
          <w:tcPr>
            <w:tcW w:type="dxa" w:w="9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4</w:t>
            </w:r>
          </w:p>
        </w:tc>
        <w:tc>
          <w:tcPr>
            <w:tcW w:type="dxa" w:w="84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Equipos y desempeño mínimo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5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Refrigerantes y gestión ambiental</w:t>
            </w:r>
          </w:p>
        </w:tc>
      </w:tr>
      <w:tr>
        <w:trPr>
          <w:cantSplit/>
        </w:trPr>
        <w:tc>
          <w:tcPr>
            <w:tcW w:type="dxa" w:w="9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6</w:t>
            </w:r>
          </w:p>
        </w:tc>
        <w:tc>
          <w:tcPr>
            <w:tcW w:type="dxa" w:w="84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Certificaciones y evaluación de conformidad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7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Instalación eléctrica y controles</w:t>
            </w:r>
          </w:p>
        </w:tc>
      </w:tr>
      <w:tr>
        <w:trPr>
          <w:cantSplit/>
        </w:trPr>
        <w:tc>
          <w:tcPr>
            <w:tcW w:type="dxa" w:w="9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8</w:t>
            </w:r>
          </w:p>
        </w:tc>
        <w:tc>
          <w:tcPr>
            <w:tcW w:type="dxa" w:w="84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Tubería de refrigerante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9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Drenaje de condensados</w:t>
            </w:r>
          </w:p>
        </w:tc>
      </w:tr>
      <w:tr>
        <w:trPr>
          <w:cantSplit/>
        </w:trPr>
        <w:tc>
          <w:tcPr>
            <w:tcW w:type="dxa" w:w="9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10</w:t>
            </w:r>
          </w:p>
        </w:tc>
        <w:tc>
          <w:tcPr>
            <w:tcW w:type="dxa" w:w="84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Soportes, obra civil y protección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11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Ductos y distribución de aire cuando aplique</w:t>
            </w:r>
          </w:p>
        </w:tc>
      </w:tr>
      <w:tr>
        <w:trPr>
          <w:cantSplit/>
        </w:trPr>
        <w:tc>
          <w:tcPr>
            <w:tcW w:type="dxa" w:w="9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12</w:t>
            </w:r>
          </w:p>
        </w:tc>
        <w:tc>
          <w:tcPr>
            <w:tcW w:type="dxa" w:w="84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Ejecución, puesta en marcha y recepción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13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Garantía</w:t>
            </w:r>
          </w:p>
        </w:tc>
      </w:tr>
      <w:tr>
        <w:trPr>
          <w:cantSplit/>
        </w:trPr>
        <w:tc>
          <w:tcPr>
            <w:tcW w:type="dxa" w:w="9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14</w:t>
            </w:r>
          </w:p>
        </w:tc>
        <w:tc>
          <w:tcPr>
            <w:tcW w:type="dxa" w:w="84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Mantenimiento preventivo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15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Mantenimiento correctivo y repuestos</w:t>
            </w:r>
          </w:p>
        </w:tc>
      </w:tr>
      <w:tr>
        <w:trPr>
          <w:cantSplit/>
        </w:trPr>
        <w:tc>
          <w:tcPr>
            <w:tcW w:type="dxa" w:w="9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16</w:t>
            </w:r>
          </w:p>
        </w:tc>
        <w:tc>
          <w:tcPr>
            <w:tcW w:type="dxa" w:w="84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Personal, seguridad, informes y control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Especificaciones consolidadas</w:t>
      </w:r>
    </w:p>
    <w:p>
      <w:pPr>
        <w:widowControl/>
        <w:spacing w:after="200"/>
      </w:pPr>
      <w:r>
        <w:t>Los siguientes requisitos se aplicarán en conjunto con el cuadro particular de equipos, los planos, la visita técnica y las instrucciones del fabricante.</w:t>
      </w:r>
    </w:p>
    <w:p>
      <w:pPr>
        <w:pStyle w:val="Heading2"/>
        <w:keepNext/>
        <w:widowControl/>
      </w:pPr>
      <w:r>
        <w:t>1. Objeto y alcance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contratación comprenderá, según cada línea, el suministro, desinstalación, sustitución, instalación, puesta en marcha, recepción y mantenimiento de sistemas de aire acondicionado en instalaciones de la CCSS.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alcance incluirá materiales, mano de obra, transporte, herramientas, izaje, protecciones, drenajes, tuberías de refrigerante, alimentación eléctrica, controles, soportes, sellos, acabados, pruebas y documentación necesarios para una solución completa y funcional.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tipos de equipo comprendidos son mini-split, multi-split, cassette, piso-cielo, manejadora con ductos, VRF cuando se indique y portátiles. Se excluyen chillers y unidades paquete.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cantidades, capacidades, ubicaciones y condiciones particulares se definirán en la tabla de equipos, planos, croquis y visita técnica de cada procedimiento.</w:t>
      </w:r>
    </w:p>
    <w:p>
      <w:pPr>
        <w:pStyle w:val="Heading2"/>
        <w:keepNext/>
        <w:widowControl/>
      </w:pPr>
      <w:r>
        <w:t>2. Jerarquía y coordinación documental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contratista deberá cumplir el pliego, estas especificaciones, anexos, planos y aclaraciones emitidas formalmente. Ante contradicción, deberá solicitar aclaración antes de ofertar o ejecutar.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planos o croquis de referencia no sustituyen la verificación de campo ni el diseño ejecutivo cuando este sea requerido.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Toda desviación o ajuste de ubicación deberá contar con aprobación previa de la inspección y quedar documentado en planos conforme a obra.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omisión de un accesorio indispensable para funcionamiento, seguridad, mantenimiento o acabado no libera al contratista de suministrarlo, siempre que sea inherente al alcance técnicamente definido.</w:t>
      </w:r>
    </w:p>
    <w:p>
      <w:pPr>
        <w:pStyle w:val="Heading2"/>
        <w:keepNext/>
        <w:widowControl/>
      </w:pPr>
      <w:r>
        <w:t>3. Visita, levantamiento y diseño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oferente deberá verificar en sitio dimensiones, accesos, rutas de tubería y drenaje, capacidad eléctrica, ubicación de tableros, estructura, techo, cielorraso, ambiente corrosivo, seguridad, interferencias y condiciones de operación.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capacidad no se definirá únicamente por el equipo existente. Para equipos nuevos, cambios de tipo o espacios con desempeño deficiente se presentará cálculo de carga térmica y criterio de selección.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selección deberá considerar temperatura y humedad de diseño, ocupación, orientación, envolvente, infiltración, cargas internas, horarios y condiciones climáticas del lugar.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En equipos con ductos se presentarán memoria de caudal, pérdidas, presión estática, retornos, distribución, selección de rejillas/difusores y balance.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verificará que la solución no produzca corrientes molestas, zonas sin cobertura, recirculación de aire de descarga, cortocircuito entre suministro y retorno ni afectación de archivos, mobiliario o equipos.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requerimientos de ventilación y aire exterior se evaluarán separadamente; un equipo dividido de recirculación no se considerará por sí solo un sistema de ventilación.</w:t>
      </w:r>
    </w:p>
    <w:p>
      <w:pPr>
        <w:pStyle w:val="Heading2"/>
        <w:keepNext/>
        <w:widowControl/>
      </w:pPr>
      <w:r>
        <w:t>4. Equipos y desempeño mínimo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equipos serán nuevos, sin uso, de fabricación vigente y con disponibilidad de repuestos y servicio técnico en Costa Rica.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equipos serán de tecnología inverter, salvo portátiles u otra excepción expresamente justificada en la tabla de equipos.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unidad interior y la unidad exterior deberán constituir una combinación aprobada por el fabricante y certificada como conjunto cuando el esquema de certificación así lo requiera.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capacidad nominal, consumo, REEE, EER, SEER, IEER u otras métricas aplicables deberán corresponder a la combinación ofertada y estar respaldadas por etiqueta, certificado o informe válido.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Para equipos cubiertos por los RTCA vigentes se exigirá etiqueta de eficiencia energética y documentación de evaluación de conformidad. Para equipos hasta 65 000 BTU/h se adoptará como objetivo REEE igual o mayor a 17 BTU/hW, salvo justificación técnica y estudio de mercado.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equipos deberán incorporar controles, protecciones y autodiagnóstico propios del fabricante, incluidos los necesarios por sobrecarga, temperatura, congelamiento, pérdida o inversión de fase cuando aplique y variaciones eléctricas.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unidades interiores deberán incluir filtros lavables de fácil acceso, control remoto o termostato, bandeja de condensados y elementos de difusión adecuados.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nivel sonoro declarado deberá ser compatible con oficinas. Como referencia histórica, la unidad interior no superará 56 dB(A) en máxima velocidad y la exterior 65 dB(A) a un metro; cualquier excepción por capacidad deberá justificarse y no causar molestias.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equipos instalados en ambiente costero deberán tener tratamiento anticorrosivo de fábrica en serpentín, gabinete, tubería expuesta y herrajes, con evidencia de ensayo y garantía para ambiente salino.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No se aceptarán materiales o componentes sin identificación, catálogo, modelo, trazabilidad o procedencia verificable.</w:t>
      </w:r>
    </w:p>
    <w:p>
      <w:pPr>
        <w:pStyle w:val="Heading2"/>
        <w:keepNext/>
        <w:widowControl/>
      </w:pPr>
      <w:r>
        <w:t>5. Refrigerantes y gestión ambiental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refrigerante de equipos nuevos tendrá potencial de agotamiento de ozono igual a cero y deberá estar permitido por la normativa nacional vigente.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oferente declarará tipo de refrigerante, carga, clasificación de seguridad ASHRAE 34 y potencial de calentamiento global.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preferirán refrigerantes de menor potencial de calentamiento global que R-410A, siempre que el equipo, la instalación, el mercado local y las medidas de seguridad resulten adecuados.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Cuando se utilicen refrigerantes A2L u otra clasificación con inflamabilidad, se cumplirán las limitaciones de carga, volumen de recinto, ventilación, fuentes de ignición, señalización, herramientas, transporte y competencia técnica que correspondan.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No se permitirá liberar refrigerante a la atmósfera. Todo refrigerante retirado se recuperará con equipo adecuado, se identificará, pesará, almacenará y entregará a un gestor o centro autorizado.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R-22 solo podrá manejarse en equipos existentes durante recuperación o mantenimiento permitido; no se aceptará en equipos nuevos.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contratista entregará registro de refrigerante recuperado, reutilizado, añadido y dispuesto, con tipo, masa, equipo de procedencia y destino.</w:t>
      </w:r>
    </w:p>
    <w:p>
      <w:pPr>
        <w:pStyle w:val="Heading2"/>
        <w:keepNext/>
        <w:widowControl/>
      </w:pPr>
      <w:r>
        <w:t>6. Certificaciones y evaluación de conformidad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equipos cubiertos por reglamentos técnicos deberán contar con la evaluación de conformidad y etiquetado exigidos por el RTCA aplicable.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certificados de producto serán emitidos por organismos acreditados bajo ISO/IEC 17065 o equivalente, con alcance aplicable y reconocimiento pertinente.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informes de ensayo o inspección serán emitidos por organismos acreditados bajo ISO/IEC 17025 o ISO/IEC 17020, según corresponda.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No se solicitará una 'certificación ECA del equipo'. Cuando proceda, se exigirá que el organismo emisor esté acreditado o reconocido por el ECA o por un organismo signatario de acuerdos multilaterales aplicables.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Cuando se solicite AHRI, el certificado deberá identificar la combinación exacta de unidad interior y exterior y su número de referencia vigente en el directorio.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certificación UL, ETL u otra equivalente demostrará seguridad del producto bajo una norma aplicable; su alcance deberá corresponder al modelo ofertado.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documentación deberá permitir verificar fabricante, marca, modelos, capacidades, tensión, fases, refrigerante y métricas de eficiencia sin depender de declaraciones genéricas.</w:t>
      </w:r>
    </w:p>
    <w:p>
      <w:pPr>
        <w:pStyle w:val="Heading2"/>
        <w:keepNext/>
        <w:widowControl/>
      </w:pPr>
      <w:r>
        <w:t>7. Instalación eléctrica y controles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Toda instalación cumplirá el Código Eléctrico de Costa Rica vigente, planos aprobados cuando correspondan y requisitos de la empresa distribuidora.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circuito, conductores, protección contra sobrecorriente y medio de desconexión se dimensionarán según placa, MCA, MOCP, manual del fabricante, tensión, fases, longitud, caída de tensión, temperatura, agrupamiento y método de instalación.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valores históricos asociados a rangos de BTU solo podrán usarse para estimación preliminar y nunca sustituirán el cálculo ni la placa del equipo.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utilizará canalización EMT en interiores e IMC u otra canalización aprobada donde exista intemperie o riesgo de daño mecánico. Accesorios y cajas exteriores serán adecuados al ambiente.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No se permitirá cable TSJ o similar oculto en entretecho o dentro de tuberías cuando no esté listado para ese uso.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Cada unidad exterior tendrá un medio de desconexión visible, accesible y con envolvente adecuada a la ubicación.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instalará protección de tensión y fases cuando corresponda, coordinada con los rangos de operación del fabricante y las condiciones reales del suministro.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verificará tensión, corriente, secuencia de fases, puesta a tierra, apriete de terminales, aislamiento, protecciones y rotulación antes de energizar.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Toda modificación de tableros, circuitos o acometida será realizada por personal competente y documentada en planos conforme a obra.</w:t>
      </w:r>
    </w:p>
    <w:p>
      <w:pPr>
        <w:pStyle w:val="Heading2"/>
        <w:keepNext/>
        <w:widowControl/>
      </w:pPr>
      <w:r>
        <w:t>8. Tubería de refrigerante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tubería será cobre ACR sin costura conforme ASTM B280, limpia, deshidratada, sellada y adecuada a la presión, temperatura y refrigerante.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Diámetros, espesores, longitudes máximas, desniveles, trampas de aceite y carga adicional se ajustarán al manual del fabricante y al diseño.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juntas soldadas se ejecutarán con purga de nitrógeno seco para reducir óxidos internos; se emplearán materiales y procedimientos compatibles.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soportes se espaciarán según diámetro y diseño, sin aplastar aislamiento ni permitir contacto galvánico entre metales disímiles.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línea de succión y cualquier línea susceptible a condensación se aislarán con espesor adecuado; en exteriores el aislamiento tendrá protección impermeable, ultravioleta y mecánica.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prueba de presión se hará con nitrógeno seco regulado, a presión y duración definidas por el fabricante y el código aplicable, sin exceder la presión admisible de ningún componente.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verificará ausencia de fugas en uniones y válvulas con método compatible. No se usará oxígeno ni aire comprimido para presurizar.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vacío se medirá con vacuómetro en micrones, se alcanzará el valor indicado por el fabricante y se ejecutará una prueba de sostenimiento antes de liberar o cargar refrigerante.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líneas prefabricadas o multicapa solo se admitirán cuando el sistema completo esté listado para refrigeración, sea compatible con refrigerante/presión y cuente con aprobación del fabricante y de la inspección.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tuberías expuestas se protegerán contra radiación, daño mecánico, vandalismo y robo sin impedir inspección ni mantenimiento.</w:t>
      </w:r>
    </w:p>
    <w:p>
      <w:pPr>
        <w:pStyle w:val="Heading2"/>
        <w:keepNext/>
        <w:widowControl/>
      </w:pPr>
      <w:r>
        <w:t>9. Drenaje de condensados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suministrarán bandejas, bombas y tuberías de condensado necesarias para cada unidad.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tubería será PVC u otro material aprobado, con diámetro suficiente y pendiente continua no menor al 2 por ciento cuando funcione por gravedad.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tuberías interiores se aislarán para evitar condensación superficial y goteos.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evitarán contrapendientes y bolsas de agua; se incorporarán registros para limpieza y sifones donde exista presión negativa o conexión sanitaria.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No se descargará condensado sobre cubiertas, canoas, bajantes o estructuras metálicas si puede causar corrosión, ruido, humedad o molestias.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ruta y el punto de descarga deberán impedir daño a personas, documentos, mobiliario, equipos, paredes, cielos y pisos.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Durante la recepción se probará el drenaje con caudal suficiente y se verificará la operación de bombas y alarmas.</w:t>
      </w:r>
    </w:p>
    <w:p>
      <w:pPr>
        <w:pStyle w:val="Heading2"/>
        <w:keepNext/>
        <w:widowControl/>
      </w:pPr>
      <w:r>
        <w:t>10. Soportes, obra civil y protección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unidades se fijarán sobre soportes, plataformas o losas calculados para su peso, vibración, viento y condiciones del sitio, con amortiguadores y anclajes apropiados.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respetarán las separaciones del fabricante para entrada/salida de aire, servicio, retiro de paneles y sustitución futura.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ubicación en techo será excepcional o expresamente indicada; no deberá perforar ni debilitar elementos estructurales ni producir goteras.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unidades en cubierta se ubicarán de forma que permita mantenimiento y sustitución de láminas de techo, con acceso seguro.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No se perforarán vigas, columnas u otros elementos estructurales sin diseño y autorización profesional.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huecos y pasos se sellarán contra agua, plagas, humo y fuego según la clasificación del elemento atravesado.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acabados afectados se repondrán con materiales, textura y color compatibles con el estado original.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protecciones contra vandalismo permitirán flujo de aire, apertura de paneles, lectura de placa, mantenimiento y desmontaje; no deberán transferir vibración ni bloquear descarga.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estructuras metálicas tendrán preparación de superficie, sistema anticorrosivo y acabado adecuado a interior, exterior o ambiente marino.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Escombros, embalajes y materiales retirados se evacuarán regularmente; los activos institucionales se entregarán mediante control de la Administración.</w:t>
      </w:r>
    </w:p>
    <w:p>
      <w:pPr>
        <w:pStyle w:val="Heading2"/>
        <w:keepNext/>
        <w:widowControl/>
      </w:pPr>
      <w:r>
        <w:t>11. Ductos y distribución de aire cuando aplique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Ningún sistema con manejadora y ductos se instalará sin diseño de caudal, presión estática, suministro, retorno, balance y selección de equipo.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materiales de ducto deberán cumplir requisitos de reacción al fuego, rigidez, aislamiento, estanqueidad, humedad y limpieza adecuados al edificio.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ductos, accesorios, compuertas, difusores y equipos tendrán soporte independiente conforme a su peso y al diseño.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incorporarán accesos para inspección y limpieza, así como compuertas de balance donde sean necesarias.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conexiones flexibles se limitarán a longitudes aprobadas, sin estrangulamientos, aplastamiento ni radios incompatibles.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Antes de recepción se medirán caudales, presión estática y balance; se comprobará que cada recinto alcance condiciones uniformes sin ruido ni corrientes molestas.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verificará que el retorno tenga área y ubicación suficientes. No se aceptará usar cavidades contaminadas como plenum sin autorización técnica y cumplimiento normativo.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Cuando se requiera ventilación exterior, esta se diseñará y verificará de manera independiente del sistema de recirculación.</w:t>
      </w:r>
    </w:p>
    <w:p>
      <w:pPr>
        <w:pStyle w:val="Heading2"/>
        <w:keepNext/>
        <w:widowControl/>
      </w:pPr>
      <w:r>
        <w:t>12. Ejecución, puesta en marcha y recepción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trabajos se coordinarán para reducir afectación a oficinas en operación y se ejecutarán de forma continua por frente de trabajo.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Antes de instalar se confirmarán modelos, ubicaciones, rutas, soportes y condiciones eléctricas con la inspección.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puesta en marcha será ejecutada por personal competente conforme al procedimiento del fabricante.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Cada conjunto interior-exterior se identificará con código, ubicación, marca, modelos, series, refrigerante, carga y placa institucional cuando corresponda.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protocolo de recepción incluirá inspección visual, aprietes, aislamiento, soportes, drenaje, tensión, corriente, protecciones, presiones o parámetros disponibles, temperatura de entrada/salida, delta de temperatura, caudal cuando aplique, ruido, vibración, controles, alarmas y operación continua.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En sistemas con ductos se añadirá balance de aire, caudal por salida, presión estática y comprobación de retorno.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No se recibirá un sistema con goteos, fugas, vibraciones anormales, ruido molesto, protecciones disparadas sin causa resuelta, desempeño térmico insuficiente o pendientes que comprometan su operación.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recepción podrá realizarse por sistemas independientes únicamente cuando cada uno sea funcional y la separación no oculte deficiencias de diseño común.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observaciones quedarán en acta con responsable y plazo. La recepción definitiva procederá después de verificar las correcciones.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entregarán manuales en español, garantías, certificados, catálogos, protocolos, fotografías, planos conforme a obra, parámetros de configuración y capacitación básica.</w:t>
      </w:r>
    </w:p>
    <w:p>
      <w:pPr>
        <w:pStyle w:val="Heading2"/>
        <w:keepNext/>
        <w:widowControl/>
      </w:pPr>
      <w:r>
        <w:t>13. Garantía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garantía mínima será de 24 meses en equipos, partes, materiales, mano de obra e instalación, salvo que el procedimiento establezca una condición superior.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garantía iniciará con la recepción definitiva del sistema y no con la entrega física del equipo.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Durante la garantía se realizará mantenimiento preventivo trimestral como mínimo, sin afectar la garantía del fabricante.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fallas atribuibles a fabricación, selección, instalación o materiales se corregirán sin costo para la CCSS.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Después de la tercera falla recurrente por la misma causa, o cuando no sea técnicamente reparable, se sustituirá el equipo por uno nuevo de iguales o mejores características, sujeto a criterio técnico.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contratista documentará cada atención con diagnóstico, causa raíz, mediciones, repuestos, corrección y prueba final.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tiempo fuera de servicio por garantía y cualquier ampliación de cobertura se registrarán por activo.</w:t>
      </w:r>
    </w:p>
    <w:p>
      <w:pPr>
        <w:pStyle w:val="Heading2"/>
        <w:keepNext/>
        <w:widowControl/>
      </w:pPr>
      <w:r>
        <w:t>14. Mantenimiento preventivo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frecuencia mínima durante garantía será trimestral. En contratos independientes se definirá por criticidad, ambiente, horas de uso y fabricante, sin ser menos exigente que el intervalo contractual aprobado.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atenderán por separado la unidad interior y la unidad exterior de cada sistema, manteniendo vínculo común en el historial del conjunto.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rutina incluirá limpieza o cambio de filtros, serpentines, bandejas, drenajes, ventiladores, carcasas, controles y tableros, con productos compatibles.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revisarán corrosión, pintura, aislamiento, tuberías, soportes, fijaciones, vibraciones, ruidos, fugas y estado general.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medirán y registrarán tensión, corriente, desbalance de fases cuando aplique, temperaturas de retorno y suministro, delta de temperatura, presiones y parámetros de refrigerante cuando sean diagnósticamente necesarios.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verificarán termostatos, controles remotos, sensores, alarmas, bombas de condensado, protecciones, desconectadores y cableado accesible.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carga de refrigerante no se ajustará sin diagnóstico. Antes de añadir refrigerante se localizará y corregirá cualquier fuga y se registrará la masa añadida.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mantenimiento incluirá consumibles normales y componentes de bajo costo definidos en el contrato, sin cargos separados.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Después del servicio se realizarán pruebas de operación y se limpiará el área.</w:t>
      </w:r>
    </w:p>
    <w:p>
      <w:pPr>
        <w:pStyle w:val="Heading2"/>
        <w:keepNext/>
        <w:widowControl/>
      </w:pPr>
      <w:r>
        <w:t>15. Mantenimiento correctivo y repuestos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atención correctiva incluirá diagnóstico, seguridad del equipo, reparación, repuestos autorizados, puesta en marcha y reporte.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tiempos de respuesta y solución se definirán por criticidad y ubicación. Cuando no pueda repararse de inmediato, el equipo quedará seguro, armado en lo posible, con circuitos de refrigerante sellados contra humedad y pérdida.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repuestos serán nuevos, compatibles, trazables y de calidad igual o superior a la original; toda sustitución que altere desempeño requerirá aprobación.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componentes retirados se entregarán a la Administración o a un gestor autorizado según su condición y propiedad.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reparación tendrá garantía escrita sobre mano de obra y repuestos por el plazo definido en el contrato.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No se autorizará sustituir un diagnóstico por recargas periódicas de refrigerante.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reporte deberá indicar causa de falla, mediciones antes/después, trabajo realizado, repuestos, refrigerante, tiempo fuera de servicio y recomendación.</w:t>
      </w:r>
    </w:p>
    <w:p>
      <w:pPr>
        <w:pStyle w:val="Heading2"/>
        <w:keepNext/>
        <w:widowControl/>
      </w:pPr>
      <w:r>
        <w:t>16. Personal, seguridad, informes y control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empresa acreditará experiencia pertinente y personal técnico competente para refrigeración, electricidad, controles y trabajos asociados.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Cuando el alcance incluya diseño, modificaciones eléctricas, estructuras o sistemas con ductos, participará el profesional incorporado al CFIA que corresponda.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personal que manipule refrigerantes deberá demostrar formación en recuperación, vacío, carga, detección de fugas y seguridad del refrigerante utilizado.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contratista suministrará herramientas, instrumentos calibrados o verificados, recuperación, vacío, nitrógeno regulado, medición eléctrica y protección personal.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cumplirán las normas vigentes de salud ocupacional, trabajo en altura, bloqueo y etiquetado, señalización, protección de usuarios y control de accesos.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personal estará uniformado e identificado. Las áreas permanecerán señalizadas, ordenadas y libres de obstáculos.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Cada reporte identificará sucursal, ubicación, activo, marca, modelos, series, técnico, fecha, rutina, mediciones, hallazgos, repuestos, refrigerante y estado final.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reportes deberán ser legibles, firmados por técnico y contraparte, y entregarse en formato digital estructurado para mantener el historial por activo.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Administración podrá verificar personal, herramientas, mediciones, certificados, materiales y cumplimiento de rutinas en cualquier momento.</w:t>
      </w:r>
    </w:p>
    <w:p>
      <w:pPr>
        <w:pStyle w:val="Heading1"/>
        <w:keepNext/>
        <w:widowControl/>
      </w:pPr>
      <w:r>
        <w:t>Cuadro particular que debe completar cada procedimiento</w:t>
      </w:r>
    </w:p>
    <w:p>
      <w:pPr>
        <w:widowControl/>
      </w:pPr>
      <w:r>
        <w:t>Este cuadro funciona como control mínimo de definición. Puede sustituirse por planos o anexos más detallados, siempre que conserven la misma información.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3CF"/>
          <w:left w:val="single" w:sz="6" w:space="0" w:color="B8C3CF"/>
          <w:bottom w:val="single" w:sz="6" w:space="0" w:color="B8C3CF"/>
          <w:right w:val="single" w:sz="6" w:space="0" w:color="B8C3CF"/>
          <w:insideH w:val="single" w:sz="6" w:space="0" w:color="B8C3CF"/>
          <w:insideV w:val="single" w:sz="6" w:space="0" w:color="B8C3CF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Definición requerida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Ubicación e identificación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Edificio, nivel, recinto, código del equipo y ubicación de unidades interior/exterior.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Tipo y cantidad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Configuración requerida y cantidad por línea.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Capacidad y desempeño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Carga de diseño o capacidad nominal; rango de operación; REEE y demás indicadores exigibles.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Servicio eléctrico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Tensión, fases, frecuencia, disponibilidad del circuito y restricciones de recorrido.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Tuberías y drenaje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Longitudes estimadas, desniveles, punto de descarga, bomba si aplica y pases previstos.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Distribución de aire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Difusores, retornos, ductos, balance y condiciones de ventilación cuando aplique.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Ambiente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Corrosividad, exposición solar/lluvia, atmósfera marina, polvo, humedad o uso crítico.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Ejecución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Horarios, permisos, acceso, izaje, trabajos en altura, protección de ocupantes y acabados.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Equipos existentes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Retiro, recuperación de refrigerante, traslado, disposición o entrega a la Administración.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Recepción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Pruebas particulares, responsables, plazo, capacitación y documentos exigidos.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Rutina mínima de mantenimiento preventivo</w:t>
      </w:r>
    </w:p>
    <w:p>
      <w:pPr>
        <w:widowControl/>
        <w:spacing w:after="160"/>
      </w:pPr>
      <w:r>
        <w:t>La rutina se ejecutará por unidad interior y unidad exterior, con trazabilidad común del sistema. Cada actividad deberá registrarse con condición encontrada, acción ejecutada, medición cuando corresponda y resultado.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3CF"/>
          <w:left w:val="single" w:sz="6" w:space="0" w:color="B8C3CF"/>
          <w:bottom w:val="single" w:sz="6" w:space="0" w:color="B8C3CF"/>
          <w:right w:val="single" w:sz="6" w:space="0" w:color="B8C3CF"/>
          <w:insideH w:val="single" w:sz="6" w:space="0" w:color="B8C3CF"/>
          <w:insideV w:val="single" w:sz="6" w:space="0" w:color="B8C3CF"/>
        </w:tblBorders>
      </w:tblPr>
      <w:tblGrid>
        <w:gridCol w:w="720"/>
        <w:gridCol w:w="6840"/>
        <w:gridCol w:w="1800"/>
      </w:tblGrid>
      <w:tr>
        <w:trPr>
          <w:cantSplit/>
          <w:tblHeader w:val="true"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N.º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Actividad mínima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Registro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Registrar tensión y corriente de motores y compresor.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2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Limpiar o cambiar filtros según condición.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3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Limpiar y revisar tarjetas, contactores, relevadores, capacitores y componentes eléctricos/electrónicos con método compatible.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4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Limpiar carcasas y exteriores.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5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Limpiar ventiladores y elementos de impulsión; revisar aspas.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6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Revisar motores, bujes, soportes y fijaciones.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7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Comprobar termostato, control remoto, sensores y sistema de control.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8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Inspeccionar el estado físico, aislamiento interno y corrosión.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9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Limpiar bandeja, drenaje y bomba de condensado; probar evacuación.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10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Medir, cuando aplique, presión de succión y descarga, temperaturas de línea, saturación, sobrecalentamiento y subenfriamiento.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11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Medir temperatura de retorno y descarga, delta de temperatura y caudal de aire cuando aplique.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12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Medir tensión, corriente y desbalance entre fases cuando aplique.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13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Lavar serpentines con procedimiento y producto compatible.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14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Revisar compresor, soportes, válvulas de servicio y componentes frigoríficos accesibles.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15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Detectar fugas y corregirlas antes de añadir refrigerante.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16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Comprobar ruidos, vibraciones, alarmas y eventos acumulados.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17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Revisar aletas, tuberías de refrigeración, aislamiento, drenajes y soportes.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18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Verificar protecciones, desconectadores, canalizaciones y cableado accesible.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19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Ejecutar autodiagnóstico y pruebas de operación.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20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Registrar reportes de usuarios, hallazgos, acciones y estado final.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</w:tbl>
    <w:p>
      <w:pPr>
        <w:pStyle w:val="Heading1"/>
        <w:keepNext/>
        <w:widowControl/>
      </w:pPr>
      <w:r>
        <w:t>Entregables mínimos para recepción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Acta de puesta en marcha por sistema, firmada por el responsable técnico del contratista.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Registro de modelo y serie de unidades interior y exterior, controles y accesorios principales.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Certificados y fichas técnicas del conjunto ofrecido, incluidos eficiencia energética y compatibilidad de componentes.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Resultados de pruebas eléctricas, refrigerantes, drenaje, operación, temperaturas, flujo o balance según el tipo de sistema.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Planos o croquis conforme a obra, con circuitos, tuberías, drenajes, ductos, controles y puntos de desconexión.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Manual de operación y mantenimiento, garantías, calendario de servicio y contactos de atención.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Inventario fotográfico del antes, durante y después, incluyendo trabajos ocultos antes de cerrar cielos, ductos o acabados.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Constancia de capacitación al personal designado por la Administración.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Comprobantes de recuperación y gestión de refrigerante y residuos cuando se retiren equipos existentes.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Lista de pendientes cerrada o, excepcionalmente, plan de corrección aprobado sin afectar seguridad ni operación esencial.</w:t>
      </w:r>
    </w:p>
    <w:p>
      <w:pPr>
        <w:pStyle w:val="Heading1"/>
        <w:keepNext/>
        <w:widowControl/>
      </w:pPr>
      <w:r>
        <w:t>Normativa y referencias técnicas</w:t>
      </w:r>
    </w:p>
    <w:p>
      <w:pPr>
        <w:widowControl/>
        <w:spacing w:after="160"/>
      </w:pPr>
      <w:r>
        <w:t>Se aplicará la versión vigente a la fecha de publicación del procedimiento. Cuando una norma citada sea sustituida, se utilizará su edición vigente o la disposición que legalmente la reemplace, salvo justificación técnica expresa.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3CF"/>
          <w:left w:val="single" w:sz="6" w:space="0" w:color="B8C3CF"/>
          <w:bottom w:val="single" w:sz="6" w:space="0" w:color="B8C3CF"/>
          <w:right w:val="single" w:sz="6" w:space="0" w:color="B8C3CF"/>
          <w:insideH w:val="single" w:sz="6" w:space="0" w:color="B8C3CF"/>
          <w:insideV w:val="single" w:sz="6" w:space="0" w:color="B8C3CF"/>
        </w:tblBorders>
      </w:tblPr>
      <w:tblGrid>
        <w:gridCol w:w="2500"/>
        <w:gridCol w:w="5360"/>
        <w:gridCol w:w="150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Instrumento / enlace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Aplicación en estas especificaciones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Condición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Decreto Ejecutivo 45239-MINAE</w:t>
            </w:r>
          </w:p>
          <w:p>
            <w:pPr>
              <w:spacing w:after="40" w:before="0" w:line="240" w:lineRule="auto"/>
            </w:pPr>
            <w:hyperlink r:id="rId11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Para aires acondicionados hasta 19 050 W (65 000 BTU/h), recomienda REEE igual o mayor a 17 BTU/hW y señala cómo demostrarla mediante etiqueta y evaluación de conformidad.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Recomendación vigente para el sector público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RTCA 23.01.78:20, publicado mediante Decreto Ejecutivo 43616-COMEX-MEIC-MINAE, y Decreto 44037-MINAE</w:t>
            </w:r>
          </w:p>
          <w:p>
            <w:pPr>
              <w:spacing w:after="40" w:before="0" w:line="240" w:lineRule="auto"/>
            </w:pPr>
            <w:hyperlink r:id="rId12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Eficiencia, evaluación de conformidad y etiquetado de equipos divididos inverter, con flujo de refrigerante variable, descarga libre y sin ductos.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Reglamento técnico aplicable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RTCA 23.01.80:21, publicado mediante Decreto Ejecutivo 44016-COMEX-MEIC-MINAE, y Decreto 44964</w:t>
            </w:r>
          </w:p>
          <w:p>
            <w:pPr>
              <w:spacing w:after="40" w:before="0" w:line="240" w:lineRule="auto"/>
            </w:pPr>
            <w:hyperlink r:id="rId13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Eficiencia, evaluación de conformidad y etiquetado de equipos divididos de velocidad fija, descarga libre y sin ductos, hasta 65 000 BTU/h.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Reglamento técnico aplicable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Decreto Ejecutivo 44321-MINAE</w:t>
            </w:r>
          </w:p>
          <w:p>
            <w:pPr>
              <w:spacing w:after="40" w:before="0" w:line="240" w:lineRule="auto"/>
            </w:pPr>
            <w:hyperlink r:id="rId14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Mecanismo de cuotas para la reducción gradual del uso de HFC. Obliga a evitar especificaciones que ignoren la transición a refrigerantes de menor potencial de calentamiento global.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Vigente desde 2023-12-20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Decreto Ejecutivo 37614-MINAE y Decreto Ejecutivo 35676-S-H-MAG-MINAET</w:t>
            </w:r>
          </w:p>
          <w:p>
            <w:pPr>
              <w:spacing w:after="40" w:before="0" w:line="240" w:lineRule="auto"/>
            </w:pPr>
            <w:hyperlink r:id="rId15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Control de HCFC y de sustancias agotadoras de ozono. Desde 2020 se prohíbe importar equipos de refrigeración o climatización con HCFC; el R-22 queda limitado a equipos existentes y debe recuperarse sin liberarlo.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Marco nacional sobre HCFC y sustancias agotadoras de ozono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RTCR 458:2011, Decreto Ejecutivo 36979-MEIC y reformas</w:t>
            </w:r>
          </w:p>
          <w:p>
            <w:pPr>
              <w:spacing w:after="40" w:before="0" w:line="240" w:lineRule="auto"/>
            </w:pPr>
            <w:hyperlink r:id="rId16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Código Eléctrico de Costa Rica para la Seguridad de la Vida y de la Propiedad; aplica a instalaciones nuevas, ampliaciones y remodelaciones. El dimensionamiento debe obedecer placa, fabricante, cálculo y versión oficial de NFPA 70 adoptada.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Obligatorio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Ley 8839 y Decreto Ejecutivo 37567-S-MINAET-H</w:t>
            </w:r>
          </w:p>
          <w:p>
            <w:pPr>
              <w:spacing w:after="40" w:before="0" w:line="240" w:lineRule="auto"/>
            </w:pPr>
            <w:hyperlink r:id="rId17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Gestión integral de residuos y responsabilidad por su disposición, incluidos aceites, refrigerantes, componentes eléctricos y electrónicos y materiales retirados.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Obligatorio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ANSI/ASHRAE 15-2024 y ANSI/ASHRAE 34-2024</w:t>
            </w:r>
          </w:p>
          <w:p>
            <w:pPr>
              <w:spacing w:after="40" w:before="0" w:line="240" w:lineRule="auto"/>
            </w:pPr>
            <w:hyperlink r:id="rId18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Seguridad de sistemas de refrigeración, designación, toxicidad, inflamabilidad y límites de concentración de refrigerantes, especialmente para refrigerantes A2L.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Referencia técnica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ANSI/ASHRAE 62.1-2025</w:t>
            </w:r>
          </w:p>
          <w:p>
            <w:pPr>
              <w:spacing w:after="40" w:before="0" w:line="240" w:lineRule="auto"/>
            </w:pPr>
            <w:hyperlink r:id="rId19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Ventilación y calidad de aire interior. Un equipo mini-split no sustituye el aporte de aire exterior cuando este sea requerido.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Referencia técnica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AHRI 210/240-2024 o versión aplicable</w:t>
            </w:r>
          </w:p>
          <w:p>
            <w:pPr>
              <w:spacing w:after="40" w:before="0" w:line="240" w:lineRule="auto"/>
            </w:pPr>
            <w:hyperlink r:id="rId20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Desempeño de equipos unitarios menores de 65 000 BTU/h. Debe verificarse la combinación certificada de unidad interior y exterior, no cada componente por separado.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Referencia para certificación de desempeño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ASTM B280-23 y ASME B31.5-2022</w:t>
            </w:r>
          </w:p>
          <w:p>
            <w:pPr>
              <w:spacing w:after="40" w:before="0" w:line="240" w:lineRule="auto"/>
            </w:pPr>
            <w:hyperlink r:id="rId21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Tubería de cobre ACR y requisitos de materiales, diseño, fabricación, ensamble, prueba e inspección de tuberías de refrigeración.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Referencias técnicas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ASTM B117-26</w:t>
            </w:r>
          </w:p>
          <w:p>
            <w:pPr>
              <w:spacing w:after="40" w:before="0" w:line="240" w:lineRule="auto"/>
            </w:pPr>
            <w:hyperlink r:id="rId22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La exposición a niebla salina permite comparar recubrimientos bajo condiciones controladas, pero sus horas no deben interpretarse por sí solas como años de servicio.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Método de ensayo, no predicción de vida útil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INTE-ISO/IEC 17065, 17025 y 17020</w:t>
            </w:r>
          </w:p>
          <w:p>
            <w:pPr>
              <w:spacing w:after="40" w:before="0" w:line="240" w:lineRule="auto"/>
            </w:pPr>
            <w:hyperlink r:id="rId23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La certificación, ensayo o inspección debe provenir de organismos con acreditación vigente y alcance pertinente. El ECA acredita organismos; no certifica productos.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Evaluación de conformidad</w:t>
            </w:r>
          </w:p>
        </w:tc>
      </w:tr>
    </w:tbl>
    <w:p>
      <w:pPr>
        <w:widowControl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color w:val="2E74B5"/>
                <w:sz w:val="21"/>
              </w:rPr>
              <w:t>Revisión previa a publicación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E293B"/>
                <w:sz w:val="20"/>
              </w:rPr>
              <w:t>La unidad técnica deberá verificar el cuadro de equipos, la carga térmica o selección, el servicio eléctrico disponible, la ruta de drenaje, las condiciones de corrosión, el acceso para mantenimiento, la documentación de eficiencia energética y la compatibilidad del refrigerante antes de aprobar cada procedimiento.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7488"/>
      <w:gridCol w:w="1872"/>
    </w:tblGrid>
    <w:tr>
      <w:tc>
        <w:tcPr>
          <w:tcW w:type="dxa" w:w="7488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spacing w:after="0"/>
          </w:pPr>
          <w:r>
            <w:rPr>
              <w:rFonts w:ascii="Calibri" w:hAnsi="Calibri" w:eastAsia="Calibri"/>
              <w:color w:val="5B6573"/>
              <w:sz w:val="17"/>
            </w:rPr>
            <w:t>Especificaciones técnicas consolidadas de aire acondicionado</w:t>
          </w:r>
        </w:p>
      </w:tc>
      <w:tc>
        <w:tcPr>
          <w:tcW w:type="dxa" w:w="1872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alibri" w:hAnsi="Calibri" w:eastAsia="Calibri"/>
              <w:color w:val="5B6573"/>
              <w:sz w:val="17"/>
            </w:rPr>
            <w:t xml:space="preserve">Página </w:t>
          </w:r>
          <w:r>
            <w:rPr>
              <w:rFonts w:ascii="Calibri" w:hAnsi="Calibri" w:eastAsia="Calibri"/>
              <w:color w:val="5B6573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B6573"/>
        <w:sz w:val="17"/>
      </w:rPr>
      <w:t>CCSS · Gerencia Financiera · Infraestructura y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/>
      <w:color w:val="1E29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/>
      <w:color w:val="1E293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grweb.go.cr/scij/Busqueda/Normativa/Normas/nrm_articulo.aspx?nValor1=1&amp;nValor2=105653&amp;nValor3=148373&amp;nValor5=2&amp;param1=NRA" TargetMode="External"/><Relationship Id="rId12" Type="http://schemas.openxmlformats.org/officeDocument/2006/relationships/hyperlink" Target="https://pgrweb.go.cr/scij/Busqueda/Normativa/Normas/nrm_texto_completo.aspx?nValor1=1&amp;nValor2=97459" TargetMode="External"/><Relationship Id="rId13" Type="http://schemas.openxmlformats.org/officeDocument/2006/relationships/hyperlink" Target="https://pgrweb.go.cr/scij/Busqueda/Normativa/Normas/nrm_texto_completo.aspx?nValor1=1&amp;nValor2=99765&amp;nValor3=136577" TargetMode="External"/><Relationship Id="rId14" Type="http://schemas.openxmlformats.org/officeDocument/2006/relationships/hyperlink" Target="https://pgrweb.go.cr/scij/Busqueda/Normativa/Normas/nrm_norma.aspx?nValor1=1&amp;nValor2=101111&amp;nValor3=138933&amp;param1=NRM&amp;strTipM=FN" TargetMode="External"/><Relationship Id="rId15" Type="http://schemas.openxmlformats.org/officeDocument/2006/relationships/hyperlink" Target="https://cambioclimatico.minae.go.cr/wp-content/uploads/2019/08/Gestion-y-uso-seguro-de-refrigerantes.pdf" TargetMode="External"/><Relationship Id="rId16" Type="http://schemas.openxmlformats.org/officeDocument/2006/relationships/hyperlink" Target="https://pgrweb.go.cr/scij/Busqueda/Normativa/Normas/nrm_texto_completo.aspx?nValor1=1&amp;nValor2=72027&amp;nValor3=0&amp;param1=NRTC&amp;strTipM=TC" TargetMode="External"/><Relationship Id="rId17" Type="http://schemas.openxmlformats.org/officeDocument/2006/relationships/hyperlink" Target="https://www.pgrweb.go.cr/docsdescargar/Normas/No%20R-12-27112024/Version1/PlanNacionaldeCompraPublica.pdf" TargetMode="External"/><Relationship Id="rId18" Type="http://schemas.openxmlformats.org/officeDocument/2006/relationships/hyperlink" Target="https://www.ashrae.org/File%20Library/About/Government%20Affairs/Public%20Policy%20Resources/Standards-15-and-24-2024-Fact-Sheet.pdf" TargetMode="External"/><Relationship Id="rId19" Type="http://schemas.openxmlformats.org/officeDocument/2006/relationships/hyperlink" Target="https://www.ashrae.org/technical-resources/bookstore/standards-62-1-62-2" TargetMode="External"/><Relationship Id="rId20" Type="http://schemas.openxmlformats.org/officeDocument/2006/relationships/hyperlink" Target="https://www.ahrinet.org/search-standards/ahri-210240-i-p-performance-rating-unitary-air-conditioning-and-air-source-heat-pump-equipment" TargetMode="External"/><Relationship Id="rId21" Type="http://schemas.openxmlformats.org/officeDocument/2006/relationships/hyperlink" Target="https://store.astm.org/products-services/standards-and-publications/standards/copper-standards.html" TargetMode="External"/><Relationship Id="rId22" Type="http://schemas.openxmlformats.org/officeDocument/2006/relationships/hyperlink" Target="https://store.astm.org/standards/b117" TargetMode="External"/><Relationship Id="rId23" Type="http://schemas.openxmlformats.org/officeDocument/2006/relationships/hyperlink" Target="https://eca.or.cr/faq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