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00" w:after="0"/>
        <w:jc w:val="center"/>
        <w:rPr>
          <w:lang w:val="pt-BR"/>
        </w:rPr>
      </w:pPr>
      <w:r>
        <w:rPr>
          <w:lang w:val="pt-BR"/>
        </w:rPr>
        <w:t>Análise Temática Independente — KKS (Klauss K. S. Garcia)</w:t>
      </w:r>
    </w:p>
    <w:p>
      <w:pPr>
        <w:pStyle w:val="Normal"/>
        <w:spacing w:before="0" w:after="120"/>
        <w:jc w:val="center"/>
        <w:rPr>
          <w:lang w:val="pt-BR"/>
        </w:rPr>
      </w:pPr>
      <w:r>
        <w:rPr>
          <w:b w:val="false"/>
          <w:i/>
          <w:sz w:val="20"/>
          <w:lang w:val="pt-BR"/>
        </w:rPr>
        <w:t>Manuscrito: PCLM-D-26-00100R1 | PLOS Climate | Segunda Revisão (R2)</w:t>
      </w:r>
    </w:p>
    <w:p>
      <w:pPr>
        <w:pStyle w:val="Normal"/>
        <w:spacing w:before="0" w:after="360"/>
        <w:jc w:val="center"/>
        <w:rPr>
          <w:lang w:val="pt-BR"/>
        </w:rPr>
      </w:pPr>
      <w:r>
        <w:rPr>
          <w:b w:val="false"/>
          <w:i/>
          <w:sz w:val="20"/>
          <w:lang w:val="pt-BR"/>
        </w:rPr>
        <w:t>Framework: Bardin (1977) | 8 documentos (S1–S8) | Período: 15 jan – 5 dez 2024</w:t>
      </w:r>
    </w:p>
    <w:p>
      <w:pPr>
        <w:pStyle w:val="Normal"/>
        <w:spacing w:before="120" w:after="120"/>
        <w:jc w:val="start"/>
        <w:rPr>
          <w:lang w:val="pt-BR"/>
        </w:rPr>
      </w:pPr>
      <w:r>
        <w:rPr>
          <w:b/>
          <w:i w:val="false"/>
          <w:color w:val="1F497D"/>
          <w:sz w:val="24"/>
          <w:lang w:val="pt-BR"/>
        </w:rPr>
        <w:t>INSTRUÇÕES PARA PREENCHIMENTO</w:t>
      </w:r>
    </w:p>
    <w:p>
      <w:pPr>
        <w:pStyle w:val="ListBullet"/>
        <w:numPr>
          <w:ilvl w:val="0"/>
          <w:numId w:val="1"/>
        </w:numPr>
        <w:rPr>
          <w:lang w:val="pt-BR"/>
        </w:rPr>
      </w:pPr>
      <w:r>
        <w:rPr>
          <w:b/>
          <w:sz w:val="20"/>
          <w:lang w:val="pt-BR"/>
        </w:rPr>
        <w:t xml:space="preserve">Objetivo: </w:t>
      </w:r>
      <w:r>
        <w:rPr>
          <w:sz w:val="20"/>
          <w:lang w:val="pt-BR"/>
        </w:rPr>
        <w:t>Este formulário documenta a sua análise temática independente (KKS) sobre os 8 documentos oficiais do corpus (S1–S8), seguindo o framework de Bardin (1977). O preenchimento permite comparar com a análise do primeiro autor (MVML) e consolidar as discrepâncias interpretativas antes da síntese final.</w:t>
      </w:r>
    </w:p>
    <w:p>
      <w:pPr>
        <w:pStyle w:val="ListBullet"/>
        <w:numPr>
          <w:ilvl w:val="0"/>
          <w:numId w:val="1"/>
        </w:numPr>
        <w:rPr>
          <w:lang w:val="pt-BR"/>
        </w:rPr>
      </w:pPr>
      <w:r>
        <w:rPr>
          <w:b/>
          <w:sz w:val="20"/>
          <w:lang w:val="pt-BR"/>
        </w:rPr>
        <w:t xml:space="preserve">Antes de começar: </w:t>
      </w:r>
      <w:r>
        <w:rPr>
          <w:sz w:val="20"/>
          <w:lang w:val="pt-BR"/>
        </w:rPr>
        <w:t xml:space="preserve">NÃO consulte a análise de MVML antes de preencher este formulário. A independência da extração é um critério de qualidade declarado no Methods do manuscrito. </w:t>
      </w:r>
    </w:p>
    <w:p>
      <w:pPr>
        <w:pStyle w:val="ListBullet"/>
        <w:numPr>
          <w:ilvl w:val="0"/>
          <w:numId w:val="1"/>
        </w:numPr>
        <w:rPr>
          <w:lang w:val="pt-BR"/>
        </w:rPr>
      </w:pPr>
      <w:r>
        <w:rPr>
          <w:b/>
          <w:sz w:val="20"/>
          <w:lang w:val="pt-BR"/>
        </w:rPr>
        <w:t xml:space="preserve">Passo 1 — Leitura flutuante: </w:t>
      </w:r>
      <w:r>
        <w:rPr>
          <w:sz w:val="20"/>
          <w:lang w:val="pt-BR"/>
        </w:rPr>
        <w:t>Leia cada documento PDF (S1–S8) na íntegra sem anotar. Objetivo: obter impressão geral e confirmar relevância para o estudo.</w:t>
      </w:r>
    </w:p>
    <w:p>
      <w:pPr>
        <w:pStyle w:val="ListBullet"/>
        <w:numPr>
          <w:ilvl w:val="0"/>
          <w:numId w:val="1"/>
        </w:numPr>
        <w:rPr>
          <w:lang w:val="pt-BR"/>
        </w:rPr>
      </w:pPr>
      <w:r>
        <w:rPr>
          <w:b/>
          <w:sz w:val="20"/>
          <w:lang w:val="pt-BR"/>
        </w:rPr>
        <w:t xml:space="preserve">Passo 2 — Extração de unidades temáticas: </w:t>
      </w:r>
      <w:r>
        <w:rPr>
          <w:sz w:val="20"/>
          <w:lang w:val="pt-BR"/>
        </w:rPr>
        <w:t>Releia cada documento e identifique as unidades temáticas relevantes: qualquer frase ou trecho que contenha informação sobre ações, decisões, mecanismos de coordenação, mobilização de recursos, comunicação ou populações vulneráveis. Transcreva ou parafraseie cada unidade na tabela do documento correspondente (S1–S8), indicando sempre a página ou seção de origem.</w:t>
      </w:r>
    </w:p>
    <w:p>
      <w:pPr>
        <w:pStyle w:val="ListBullet"/>
        <w:numPr>
          <w:ilvl w:val="0"/>
          <w:numId w:val="1"/>
        </w:numPr>
        <w:rPr>
          <w:lang w:val="pt-BR"/>
        </w:rPr>
      </w:pPr>
      <w:r>
        <w:rPr>
          <w:b/>
          <w:sz w:val="20"/>
          <w:lang w:val="pt-BR"/>
        </w:rPr>
        <w:t xml:space="preserve">Passo 3 — Codificação nas 6 categorias: </w:t>
      </w:r>
      <w:r>
        <w:rPr>
          <w:sz w:val="20"/>
          <w:lang w:val="pt-BR"/>
        </w:rPr>
        <w:t>Atribua cada unidade temática a uma das 6 categorias predefinidas (ver quadro abaixo). Quando uma passagem se enquadrar em mais de uma categoria, registre-a na categoria principal e faça uma nota de referência cruzada na coluna 'Notes'.</w:t>
      </w:r>
    </w:p>
    <w:p>
      <w:pPr>
        <w:pStyle w:val="ListBullet"/>
        <w:numPr>
          <w:ilvl w:val="0"/>
          <w:numId w:val="1"/>
        </w:numPr>
        <w:rPr>
          <w:lang w:val="pt-BR"/>
        </w:rPr>
      </w:pPr>
      <w:r>
        <w:rPr>
          <w:b/>
          <w:sz w:val="20"/>
          <w:lang w:val="pt-BR"/>
        </w:rPr>
        <w:t xml:space="preserve">Passo 4 — Síntese temática: </w:t>
      </w:r>
      <w:r>
        <w:rPr>
          <w:sz w:val="20"/>
          <w:lang w:val="pt-BR"/>
        </w:rPr>
        <w:t>Após codificar todos os documentos, preencha a Tabela de Síntese Temática (última seção). Consolide as principais achados por categoria e por fase da emergência (enchentes: jan–mar 2024; seca e incêndios: jun–dez 2024).</w:t>
      </w:r>
    </w:p>
    <w:p>
      <w:pPr>
        <w:pStyle w:val="ListBullet"/>
        <w:numPr>
          <w:ilvl w:val="0"/>
          <w:numId w:val="1"/>
        </w:numPr>
        <w:rPr>
          <w:lang w:val="pt-BR"/>
        </w:rPr>
      </w:pPr>
      <w:r>
        <w:rPr>
          <w:b/>
          <w:sz w:val="20"/>
          <w:lang w:val="pt-BR"/>
        </w:rPr>
        <w:t xml:space="preserve">Formatação: </w:t>
      </w:r>
      <w:r>
        <w:rPr>
          <w:sz w:val="20"/>
          <w:lang w:val="pt-BR"/>
        </w:rPr>
        <w:t>Preencha em inglês britânico. Adicione linhas nas tabelas conforme necessário. Salve o arquivo como '5-Framework_Extraction_KKS_PREENCHIDO.docx' ao devolver.</w:t>
      </w:r>
    </w:p>
    <w:p>
      <w:pPr>
        <w:pStyle w:val="Normal"/>
        <w:spacing w:before="240" w:after="80"/>
        <w:jc w:val="start"/>
        <w:rPr>
          <w:lang w:val="pt-BR"/>
        </w:rPr>
      </w:pPr>
      <w:r>
        <w:rPr>
          <w:b/>
          <w:i w:val="false"/>
          <w:color w:val="1F497D"/>
          <w:sz w:val="22"/>
          <w:lang w:val="pt-BR"/>
        </w:rPr>
        <w:br/>
        <w:t>AS 6 CATEGORIAS TEMÁTICAS PREDEFINIDAS</w:t>
      </w:r>
    </w:p>
    <w:tbl>
      <w:tblPr>
        <w:tblStyle w:val="TableGrid"/>
        <w:tblW w:w="9123"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041"/>
        <w:gridCol w:w="3041"/>
        <w:gridCol w:w="3041"/>
      </w:tblGrid>
      <w:tr>
        <w:trPr/>
        <w:tc>
          <w:tcPr>
            <w:tcW w:w="3041" w:type="dxa"/>
            <w:tcBorders/>
            <w:shd w:color="auto" w:fill="1F497D"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color w:val="FFFFFF"/>
                <w:kern w:val="0"/>
                <w:sz w:val="18"/>
                <w:szCs w:val="22"/>
                <w:lang w:val="pt-BR" w:eastAsia="en-US" w:bidi="ar-SA"/>
              </w:rPr>
              <w:t>#</w:t>
            </w:r>
          </w:p>
        </w:tc>
        <w:tc>
          <w:tcPr>
            <w:tcW w:w="3041" w:type="dxa"/>
            <w:tcBorders/>
            <w:shd w:color="auto" w:fill="1F497D"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color w:val="FFFFFF"/>
                <w:kern w:val="0"/>
                <w:sz w:val="18"/>
                <w:szCs w:val="22"/>
                <w:lang w:val="pt-BR" w:eastAsia="en-US" w:bidi="ar-SA"/>
              </w:rPr>
              <w:t>Category (British English)</w:t>
            </w:r>
          </w:p>
        </w:tc>
        <w:tc>
          <w:tcPr>
            <w:tcW w:w="3041" w:type="dxa"/>
            <w:tcBorders/>
            <w:shd w:color="auto" w:fill="1F497D"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color w:val="FFFFFF"/>
                <w:kern w:val="0"/>
                <w:sz w:val="18"/>
                <w:szCs w:val="22"/>
                <w:lang w:val="pt-BR" w:eastAsia="en-US" w:bidi="ar-SA"/>
              </w:rPr>
              <w:t>Scope</w:t>
            </w:r>
          </w:p>
        </w:tc>
      </w:tr>
      <w:tr>
        <w:trPr/>
        <w:tc>
          <w:tcPr>
            <w:tcW w:w="3041" w:type="dxa"/>
            <w:tcBorders/>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1</w:t>
            </w:r>
          </w:p>
        </w:tc>
        <w:tc>
          <w:tcPr>
            <w:tcW w:w="3041" w:type="dxa"/>
            <w:tcBorders/>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Adopted response strategies</w:t>
            </w:r>
          </w:p>
        </w:tc>
        <w:tc>
          <w:tcPr>
            <w:tcW w:w="3041" w:type="dxa"/>
            <w:tcBorders/>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Actions and measures implemented in response to the health emergency.</w:t>
            </w:r>
          </w:p>
        </w:tc>
      </w:tr>
      <w:tr>
        <w:trPr/>
        <w:tc>
          <w:tcPr>
            <w:tcW w:w="3041" w:type="dxa"/>
            <w:tcBorders/>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2</w:t>
            </w:r>
          </w:p>
        </w:tc>
        <w:tc>
          <w:tcPr>
            <w:tcW w:w="3041" w:type="dxa"/>
            <w:tcBorders/>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Mobilisation of human and material resources</w:t>
            </w:r>
          </w:p>
        </w:tc>
        <w:tc>
          <w:tcPr>
            <w:tcW w:w="3041" w:type="dxa"/>
            <w:tcBorders/>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Personnel, supplies, equipment, and financial resources deployed.</w:t>
            </w:r>
          </w:p>
        </w:tc>
      </w:tr>
      <w:tr>
        <w:trPr/>
        <w:tc>
          <w:tcPr>
            <w:tcW w:w="3041" w:type="dxa"/>
            <w:tcBorders/>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3</w:t>
            </w:r>
          </w:p>
        </w:tc>
        <w:tc>
          <w:tcPr>
            <w:tcW w:w="3041" w:type="dxa"/>
            <w:tcBorders/>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Intersectoral coordination</w:t>
            </w:r>
          </w:p>
        </w:tc>
        <w:tc>
          <w:tcPr>
            <w:tcW w:w="3041" w:type="dxa"/>
            <w:tcBorders/>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Coordination activities between health sector and other sectors or institutions.</w:t>
            </w:r>
          </w:p>
        </w:tc>
      </w:tr>
      <w:tr>
        <w:trPr/>
        <w:tc>
          <w:tcPr>
            <w:tcW w:w="3041" w:type="dxa"/>
            <w:tcBorders/>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4</w:t>
            </w:r>
          </w:p>
        </w:tc>
        <w:tc>
          <w:tcPr>
            <w:tcW w:w="3041" w:type="dxa"/>
            <w:tcBorders/>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Risk communication</w:t>
            </w:r>
          </w:p>
        </w:tc>
        <w:tc>
          <w:tcPr>
            <w:tcW w:w="3041" w:type="dxa"/>
            <w:tcBorders/>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Communication activities directed at the public, municipalities, or partners.</w:t>
            </w:r>
          </w:p>
        </w:tc>
      </w:tr>
      <w:tr>
        <w:trPr/>
        <w:tc>
          <w:tcPr>
            <w:tcW w:w="3041" w:type="dxa"/>
            <w:tcBorders/>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5</w:t>
            </w:r>
          </w:p>
        </w:tc>
        <w:tc>
          <w:tcPr>
            <w:tcW w:w="3041" w:type="dxa"/>
            <w:tcBorders/>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Epidemiological and environmental surveillance</w:t>
            </w:r>
          </w:p>
        </w:tc>
        <w:tc>
          <w:tcPr>
            <w:tcW w:w="3041" w:type="dxa"/>
            <w:tcBorders/>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Monitoring, notification, and analysis of disease trends and environmental hazards.</w:t>
            </w:r>
          </w:p>
        </w:tc>
      </w:tr>
      <w:tr>
        <w:trPr/>
        <w:tc>
          <w:tcPr>
            <w:tcW w:w="3041" w:type="dxa"/>
            <w:tcBorders/>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6</w:t>
            </w:r>
          </w:p>
        </w:tc>
        <w:tc>
          <w:tcPr>
            <w:tcW w:w="3041" w:type="dxa"/>
            <w:tcBorders/>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Actions directed at vulnerable populations</w:t>
            </w:r>
          </w:p>
        </w:tc>
        <w:tc>
          <w:tcPr>
            <w:tcW w:w="3041" w:type="dxa"/>
            <w:tcBorders/>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Specific actions targeting Indigenous communities, riverside populations, or displaced persons.</w:t>
            </w:r>
          </w:p>
        </w:tc>
      </w:tr>
    </w:tbl>
    <w:p>
      <w:pPr>
        <w:pStyle w:val="Normal"/>
        <w:spacing w:before="0" w:after="120"/>
        <w:jc w:val="start"/>
        <w:rPr>
          <w:lang w:val="pt-BR"/>
        </w:rPr>
      </w:pPr>
      <w:r>
        <w:rPr>
          <w:lang w:val="pt-BR"/>
        </w:rPr>
      </w:r>
    </w:p>
    <w:p>
      <w:pPr>
        <w:pStyle w:val="Normal"/>
        <w:rPr>
          <w:lang w:val="pt-BR"/>
        </w:rPr>
      </w:pPr>
      <w:r>
        <w:rPr>
          <w:lang w:val="pt-BR"/>
        </w:rPr>
      </w:r>
      <w:r>
        <w:br w:type="page"/>
      </w:r>
    </w:p>
    <w:p>
      <w:pPr>
        <w:pStyle w:val="Heading1"/>
        <w:spacing w:before="0" w:after="0"/>
        <w:rPr>
          <w:lang w:val="pt-BR"/>
        </w:rPr>
      </w:pPr>
      <w:r>
        <w:rPr>
          <w:color w:val="1F497D"/>
          <w:lang w:val="pt-BR"/>
        </w:rPr>
        <w:t>Section 1 — Document Extraction Sheets</w:t>
      </w:r>
    </w:p>
    <w:p>
      <w:pPr>
        <w:pStyle w:val="Normal"/>
        <w:spacing w:before="0" w:after="200"/>
        <w:jc w:val="start"/>
        <w:rPr>
          <w:lang w:val="pt-BR"/>
        </w:rPr>
      </w:pPr>
      <w:r>
        <w:rPr>
          <w:b w:val="false"/>
          <w:i/>
          <w:sz w:val="18"/>
          <w:lang w:val="pt-BR"/>
        </w:rPr>
        <w:t>For each document (S1–S8): read the PDF in full and extract all relevant thematic units. Record each unit in the appropriate category row. Add rows as needed. Always indicate the source (page number or section title).</w:t>
      </w:r>
    </w:p>
    <w:p>
      <w:pPr>
        <w:pStyle w:val="Normal"/>
        <w:rPr>
          <w:lang w:val="pt-BR"/>
        </w:rPr>
      </w:pPr>
      <w:r>
        <w:rPr>
          <w:lang w:val="pt-BR"/>
        </w:rPr>
      </w:r>
      <w:r>
        <w:br w:type="page"/>
      </w:r>
    </w:p>
    <w:p>
      <w:pPr>
        <w:pStyle w:val="Heading2"/>
        <w:spacing w:before="0" w:after="0"/>
        <w:rPr>
          <w:lang w:val="pt-BR"/>
        </w:rPr>
      </w:pPr>
      <w:r>
        <w:rPr>
          <w:color w:val="1F497D"/>
          <w:lang w:val="pt-BR"/>
        </w:rPr>
        <w:t>Document S1</w:t>
      </w:r>
    </w:p>
    <w:tbl>
      <w:tblPr>
        <w:tblStyle w:val="TableGrid"/>
        <w:tblW w:w="912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561"/>
        <w:gridCol w:w="4561"/>
      </w:tblGrid>
      <w:tr>
        <w:trPr/>
        <w:tc>
          <w:tcPr>
            <w:tcW w:w="4561"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8"/>
                <w:szCs w:val="22"/>
                <w:lang w:val="pt-BR" w:eastAsia="en-US" w:bidi="ar-SA"/>
              </w:rPr>
              <w:t>Document ID</w:t>
            </w:r>
          </w:p>
        </w:tc>
        <w:tc>
          <w:tcPr>
            <w:tcW w:w="4561" w:type="dxa"/>
            <w:tcBorders/>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S1</w:t>
            </w:r>
          </w:p>
        </w:tc>
      </w:tr>
      <w:tr>
        <w:trPr/>
        <w:tc>
          <w:tcPr>
            <w:tcW w:w="4561"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8"/>
                <w:szCs w:val="22"/>
                <w:lang w:val="pt-BR" w:eastAsia="en-US" w:bidi="ar-SA"/>
              </w:rPr>
              <w:t>Title / Description</w:t>
            </w:r>
          </w:p>
        </w:tc>
        <w:tc>
          <w:tcPr>
            <w:tcW w:w="4561" w:type="dxa"/>
            <w:tcBorders/>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Meeting Records — CIB Extraordinary Meeting (Enchente)</w:t>
            </w:r>
          </w:p>
        </w:tc>
      </w:tr>
      <w:tr>
        <w:trPr/>
        <w:tc>
          <w:tcPr>
            <w:tcW w:w="4561"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8"/>
                <w:szCs w:val="22"/>
                <w:lang w:val="pt-BR" w:eastAsia="en-US" w:bidi="ar-SA"/>
              </w:rPr>
              <w:t>Document Type</w:t>
            </w:r>
          </w:p>
        </w:tc>
        <w:tc>
          <w:tcPr>
            <w:tcW w:w="4561" w:type="dxa"/>
            <w:tcBorders/>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Meeting record</w:t>
            </w:r>
          </w:p>
        </w:tc>
      </w:tr>
      <w:tr>
        <w:trPr/>
        <w:tc>
          <w:tcPr>
            <w:tcW w:w="4561"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8"/>
                <w:szCs w:val="22"/>
                <w:lang w:val="pt-BR" w:eastAsia="en-US" w:bidi="ar-SA"/>
              </w:rPr>
              <w:t>Date</w:t>
            </w:r>
          </w:p>
        </w:tc>
        <w:tc>
          <w:tcPr>
            <w:tcW w:w="4561" w:type="dxa"/>
            <w:tcBorders/>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03–04 March 2024</w:t>
            </w:r>
          </w:p>
        </w:tc>
      </w:tr>
    </w:tbl>
    <w:p>
      <w:pPr>
        <w:pStyle w:val="Normal"/>
        <w:spacing w:before="0" w:after="80"/>
        <w:jc w:val="start"/>
        <w:rPr>
          <w:lang w:val="pt-BR"/>
        </w:rPr>
      </w:pPr>
      <w:r>
        <w:rPr>
          <w:lang w:val="pt-BR"/>
        </w:rPr>
      </w:r>
    </w:p>
    <w:p>
      <w:pPr>
        <w:pStyle w:val="Normal"/>
        <w:spacing w:before="0" w:after="120"/>
        <w:jc w:val="start"/>
        <w:rPr>
          <w:lang w:val="pt-BR"/>
        </w:rPr>
      </w:pPr>
      <w:r>
        <w:rPr>
          <w:b w:val="false"/>
          <w:i/>
          <w:color w:val="606060"/>
          <w:sz w:val="18"/>
          <w:lang w:val="pt-BR"/>
        </w:rPr>
        <w:t>Instrução: Leia S1 (arquivo PDF) na íntegra e preencha as unidades temáticas identificadas em cada categoria abaixo. Para cada entrada, indique a página/seção de origem.</w:t>
      </w:r>
    </w:p>
    <w:tbl>
      <w:tblPr>
        <w:tblStyle w:val="TableGrid"/>
        <w:tblW w:w="912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80"/>
        <w:gridCol w:w="2280"/>
        <w:gridCol w:w="2280"/>
        <w:gridCol w:w="2280"/>
      </w:tblGrid>
      <w:tr>
        <w:trPr/>
        <w:tc>
          <w:tcPr>
            <w:tcW w:w="2280" w:type="dxa"/>
            <w:tcBorders/>
            <w:shd w:color="auto" w:fill="1F497D"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color w:val="FFFFFF"/>
                <w:kern w:val="0"/>
                <w:sz w:val="18"/>
                <w:szCs w:val="22"/>
                <w:lang w:val="pt-BR" w:eastAsia="en-US" w:bidi="ar-SA"/>
              </w:rPr>
              <w:t>Cat.</w:t>
            </w:r>
          </w:p>
        </w:tc>
        <w:tc>
          <w:tcPr>
            <w:tcW w:w="2280" w:type="dxa"/>
            <w:tcBorders/>
            <w:shd w:color="auto" w:fill="1F497D"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color w:val="FFFFFF"/>
                <w:kern w:val="0"/>
                <w:sz w:val="18"/>
                <w:szCs w:val="22"/>
                <w:lang w:val="pt-BR" w:eastAsia="en-US" w:bidi="ar-SA"/>
              </w:rPr>
              <w:t>Category</w:t>
            </w:r>
          </w:p>
        </w:tc>
        <w:tc>
          <w:tcPr>
            <w:tcW w:w="2280" w:type="dxa"/>
            <w:tcBorders/>
            <w:shd w:color="auto" w:fill="1F497D"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color w:val="FFFFFF"/>
                <w:kern w:val="0"/>
                <w:sz w:val="18"/>
                <w:szCs w:val="22"/>
                <w:lang w:val="pt-BR" w:eastAsia="en-US" w:bidi="ar-SA"/>
              </w:rPr>
              <w:t>Thematic unit (transcription or paraphrase)</w:t>
            </w:r>
          </w:p>
        </w:tc>
        <w:tc>
          <w:tcPr>
            <w:tcW w:w="2280" w:type="dxa"/>
            <w:tcBorders/>
            <w:shd w:color="auto" w:fill="1F497D"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color w:val="FFFFFF"/>
                <w:kern w:val="0"/>
                <w:sz w:val="18"/>
                <w:szCs w:val="22"/>
                <w:lang w:val="pt-BR" w:eastAsia="en-US" w:bidi="ar-SA"/>
              </w:rPr>
              <w:t>Source (page / section)</w:t>
            </w:r>
          </w:p>
        </w:tc>
      </w:tr>
      <w:tr>
        <w:trPr/>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1</w:t>
            </w:r>
          </w:p>
        </w:tc>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Adopted response strategies</w:t>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2</w:t>
            </w:r>
          </w:p>
        </w:tc>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Mobilisation of human and material resources</w:t>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3</w:t>
            </w:r>
          </w:p>
        </w:tc>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Intersectoral coordination</w:t>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4</w:t>
            </w:r>
          </w:p>
        </w:tc>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Risk communication</w:t>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5</w:t>
            </w:r>
          </w:p>
        </w:tc>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Epidemiological and environmental surveillance</w:t>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6</w:t>
            </w:r>
          </w:p>
        </w:tc>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Actions directed at vulnerable populations</w:t>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bl>
    <w:p>
      <w:pPr>
        <w:pStyle w:val="Normal"/>
        <w:spacing w:before="120" w:after="40"/>
        <w:jc w:val="start"/>
        <w:rPr>
          <w:lang w:val="pt-BR"/>
        </w:rPr>
      </w:pPr>
      <w:r>
        <w:rPr>
          <w:b/>
          <w:i w:val="false"/>
          <w:sz w:val="18"/>
          <w:lang w:val="pt-BR"/>
        </w:rPr>
        <w:t>General observations on this document (optional):</w:t>
      </w:r>
    </w:p>
    <w:p>
      <w:pPr>
        <w:pStyle w:val="Normal"/>
        <w:spacing w:before="0" w:after="40"/>
        <w:jc w:val="start"/>
        <w:rPr>
          <w:lang w:val="pt-BR"/>
        </w:rPr>
      </w:pPr>
      <w:r>
        <w:rPr>
          <w:b w:val="false"/>
          <w:i w:val="false"/>
          <w:sz w:val="18"/>
          <w:lang w:val="pt-BR"/>
        </w:rPr>
        <w:t>______________________________________________________________________________________________________________</w:t>
      </w:r>
    </w:p>
    <w:p>
      <w:pPr>
        <w:pStyle w:val="Normal"/>
        <w:spacing w:before="0" w:after="40"/>
        <w:jc w:val="start"/>
        <w:rPr>
          <w:lang w:val="pt-BR"/>
        </w:rPr>
      </w:pPr>
      <w:r>
        <w:rPr>
          <w:b w:val="false"/>
          <w:i w:val="false"/>
          <w:sz w:val="18"/>
          <w:lang w:val="pt-BR"/>
        </w:rPr>
        <w:t>______________________________________________________________________________________________________________</w:t>
      </w:r>
    </w:p>
    <w:p>
      <w:pPr>
        <w:pStyle w:val="Normal"/>
        <w:rPr>
          <w:lang w:val="pt-BR"/>
        </w:rPr>
      </w:pPr>
      <w:r>
        <w:rPr>
          <w:lang w:val="pt-BR"/>
        </w:rPr>
      </w:r>
      <w:r>
        <w:br w:type="page"/>
      </w:r>
    </w:p>
    <w:p>
      <w:pPr>
        <w:pStyle w:val="Heading2"/>
        <w:spacing w:before="0" w:after="0"/>
        <w:rPr>
          <w:lang w:val="pt-BR"/>
        </w:rPr>
      </w:pPr>
      <w:r>
        <w:rPr>
          <w:color w:val="1F497D"/>
          <w:lang w:val="pt-BR"/>
        </w:rPr>
        <w:t>Document S2</w:t>
      </w:r>
    </w:p>
    <w:tbl>
      <w:tblPr>
        <w:tblStyle w:val="TableGrid"/>
        <w:tblW w:w="912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561"/>
        <w:gridCol w:w="4561"/>
      </w:tblGrid>
      <w:tr>
        <w:trPr/>
        <w:tc>
          <w:tcPr>
            <w:tcW w:w="4561"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8"/>
                <w:szCs w:val="22"/>
                <w:lang w:val="pt-BR" w:eastAsia="en-US" w:bidi="ar-SA"/>
              </w:rPr>
              <w:t>Document ID</w:t>
            </w:r>
          </w:p>
        </w:tc>
        <w:tc>
          <w:tcPr>
            <w:tcW w:w="4561" w:type="dxa"/>
            <w:tcBorders/>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S2</w:t>
            </w:r>
          </w:p>
        </w:tc>
      </w:tr>
      <w:tr>
        <w:trPr/>
        <w:tc>
          <w:tcPr>
            <w:tcW w:w="4561"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8"/>
                <w:szCs w:val="22"/>
                <w:lang w:val="pt-BR" w:eastAsia="en-US" w:bidi="ar-SA"/>
              </w:rPr>
              <w:t>Title / Description</w:t>
            </w:r>
          </w:p>
        </w:tc>
        <w:tc>
          <w:tcPr>
            <w:tcW w:w="4561" w:type="dxa"/>
            <w:tcBorders/>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Action Plan — COE Arboviruses and Floods</w:t>
            </w:r>
          </w:p>
        </w:tc>
      </w:tr>
      <w:tr>
        <w:trPr/>
        <w:tc>
          <w:tcPr>
            <w:tcW w:w="4561"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8"/>
                <w:szCs w:val="22"/>
                <w:lang w:val="pt-BR" w:eastAsia="en-US" w:bidi="ar-SA"/>
              </w:rPr>
              <w:t>Document Type</w:t>
            </w:r>
          </w:p>
        </w:tc>
        <w:tc>
          <w:tcPr>
            <w:tcW w:w="4561" w:type="dxa"/>
            <w:tcBorders/>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Official technical action plan</w:t>
            </w:r>
          </w:p>
        </w:tc>
      </w:tr>
      <w:tr>
        <w:trPr/>
        <w:tc>
          <w:tcPr>
            <w:tcW w:w="4561"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8"/>
                <w:szCs w:val="22"/>
                <w:lang w:val="pt-BR" w:eastAsia="en-US" w:bidi="ar-SA"/>
              </w:rPr>
              <w:t>Date</w:t>
            </w:r>
          </w:p>
        </w:tc>
        <w:tc>
          <w:tcPr>
            <w:tcW w:w="4561" w:type="dxa"/>
            <w:tcBorders/>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March 2024 (Portaria GM/MS Nº 3.242, 4 Mar 2024)</w:t>
            </w:r>
          </w:p>
        </w:tc>
      </w:tr>
    </w:tbl>
    <w:p>
      <w:pPr>
        <w:pStyle w:val="Normal"/>
        <w:spacing w:before="0" w:after="80"/>
        <w:jc w:val="start"/>
        <w:rPr>
          <w:lang w:val="pt-BR"/>
        </w:rPr>
      </w:pPr>
      <w:r>
        <w:rPr>
          <w:lang w:val="pt-BR"/>
        </w:rPr>
      </w:r>
    </w:p>
    <w:p>
      <w:pPr>
        <w:pStyle w:val="Normal"/>
        <w:spacing w:before="0" w:after="120"/>
        <w:jc w:val="start"/>
        <w:rPr>
          <w:lang w:val="pt-BR"/>
        </w:rPr>
      </w:pPr>
      <w:r>
        <w:rPr>
          <w:b w:val="false"/>
          <w:i/>
          <w:color w:val="606060"/>
          <w:sz w:val="18"/>
          <w:lang w:val="pt-BR"/>
        </w:rPr>
        <w:t>Instrução: Leia S2 (arquivo PDF) na íntegra e preencha as unidades temáticas identificadas em cada categoria abaixo. Para cada entrada, indique a página/seção de origem.</w:t>
      </w:r>
    </w:p>
    <w:tbl>
      <w:tblPr>
        <w:tblStyle w:val="TableGrid"/>
        <w:tblW w:w="912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80"/>
        <w:gridCol w:w="2280"/>
        <w:gridCol w:w="2280"/>
        <w:gridCol w:w="2280"/>
      </w:tblGrid>
      <w:tr>
        <w:trPr/>
        <w:tc>
          <w:tcPr>
            <w:tcW w:w="2280" w:type="dxa"/>
            <w:tcBorders/>
            <w:shd w:color="auto" w:fill="1F497D"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color w:val="FFFFFF"/>
                <w:kern w:val="0"/>
                <w:sz w:val="18"/>
                <w:szCs w:val="22"/>
                <w:lang w:val="pt-BR" w:eastAsia="en-US" w:bidi="ar-SA"/>
              </w:rPr>
              <w:t>Cat.</w:t>
            </w:r>
          </w:p>
        </w:tc>
        <w:tc>
          <w:tcPr>
            <w:tcW w:w="2280" w:type="dxa"/>
            <w:tcBorders/>
            <w:shd w:color="auto" w:fill="1F497D"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color w:val="FFFFFF"/>
                <w:kern w:val="0"/>
                <w:sz w:val="18"/>
                <w:szCs w:val="22"/>
                <w:lang w:val="pt-BR" w:eastAsia="en-US" w:bidi="ar-SA"/>
              </w:rPr>
              <w:t>Category</w:t>
            </w:r>
          </w:p>
        </w:tc>
        <w:tc>
          <w:tcPr>
            <w:tcW w:w="2280" w:type="dxa"/>
            <w:tcBorders/>
            <w:shd w:color="auto" w:fill="1F497D"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color w:val="FFFFFF"/>
                <w:kern w:val="0"/>
                <w:sz w:val="18"/>
                <w:szCs w:val="22"/>
                <w:lang w:val="pt-BR" w:eastAsia="en-US" w:bidi="ar-SA"/>
              </w:rPr>
              <w:t>Thematic unit (transcription or paraphrase)</w:t>
            </w:r>
          </w:p>
        </w:tc>
        <w:tc>
          <w:tcPr>
            <w:tcW w:w="2280" w:type="dxa"/>
            <w:tcBorders/>
            <w:shd w:color="auto" w:fill="1F497D"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color w:val="FFFFFF"/>
                <w:kern w:val="0"/>
                <w:sz w:val="18"/>
                <w:szCs w:val="22"/>
                <w:lang w:val="pt-BR" w:eastAsia="en-US" w:bidi="ar-SA"/>
              </w:rPr>
              <w:t>Source (page / section)</w:t>
            </w:r>
          </w:p>
        </w:tc>
      </w:tr>
      <w:tr>
        <w:trPr/>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1</w:t>
            </w:r>
          </w:p>
        </w:tc>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Adopted response strategies</w:t>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2</w:t>
            </w:r>
          </w:p>
        </w:tc>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Mobilisation of human and material resources</w:t>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3</w:t>
            </w:r>
          </w:p>
        </w:tc>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Intersectoral coordination</w:t>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4</w:t>
            </w:r>
          </w:p>
        </w:tc>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Risk communication</w:t>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5</w:t>
            </w:r>
          </w:p>
        </w:tc>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Epidemiological and environmental surveillance</w:t>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6</w:t>
            </w:r>
          </w:p>
        </w:tc>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Actions directed at vulnerable populations</w:t>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bl>
    <w:p>
      <w:pPr>
        <w:pStyle w:val="Normal"/>
        <w:spacing w:before="120" w:after="40"/>
        <w:jc w:val="start"/>
        <w:rPr>
          <w:lang w:val="pt-BR"/>
        </w:rPr>
      </w:pPr>
      <w:r>
        <w:rPr>
          <w:b/>
          <w:i w:val="false"/>
          <w:sz w:val="18"/>
          <w:lang w:val="pt-BR"/>
        </w:rPr>
        <w:t>General observations on this document (optional):</w:t>
      </w:r>
    </w:p>
    <w:p>
      <w:pPr>
        <w:pStyle w:val="Normal"/>
        <w:spacing w:before="0" w:after="40"/>
        <w:jc w:val="start"/>
        <w:rPr>
          <w:lang w:val="pt-BR"/>
        </w:rPr>
      </w:pPr>
      <w:r>
        <w:rPr>
          <w:b w:val="false"/>
          <w:i w:val="false"/>
          <w:sz w:val="18"/>
          <w:lang w:val="pt-BR"/>
        </w:rPr>
        <w:t>______________________________________________________________________________________________________________</w:t>
      </w:r>
    </w:p>
    <w:p>
      <w:pPr>
        <w:pStyle w:val="Normal"/>
        <w:spacing w:before="0" w:after="40"/>
        <w:jc w:val="start"/>
        <w:rPr>
          <w:lang w:val="pt-BR"/>
        </w:rPr>
      </w:pPr>
      <w:r>
        <w:rPr>
          <w:b w:val="false"/>
          <w:i w:val="false"/>
          <w:sz w:val="18"/>
          <w:lang w:val="pt-BR"/>
        </w:rPr>
        <w:t>______________________________________________________________________________________________________________</w:t>
      </w:r>
    </w:p>
    <w:p>
      <w:pPr>
        <w:pStyle w:val="Normal"/>
        <w:rPr>
          <w:lang w:val="pt-BR"/>
        </w:rPr>
      </w:pPr>
      <w:r>
        <w:rPr>
          <w:lang w:val="pt-BR"/>
        </w:rPr>
      </w:r>
      <w:r>
        <w:br w:type="page"/>
      </w:r>
    </w:p>
    <w:p>
      <w:pPr>
        <w:pStyle w:val="Heading2"/>
        <w:spacing w:before="0" w:after="0"/>
        <w:rPr>
          <w:lang w:val="pt-BR"/>
        </w:rPr>
      </w:pPr>
      <w:r>
        <w:rPr>
          <w:color w:val="1F497D"/>
          <w:lang w:val="pt-BR"/>
        </w:rPr>
        <w:t>Document S3</w:t>
      </w:r>
    </w:p>
    <w:tbl>
      <w:tblPr>
        <w:tblStyle w:val="TableGrid"/>
        <w:tblW w:w="912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561"/>
        <w:gridCol w:w="4561"/>
      </w:tblGrid>
      <w:tr>
        <w:trPr/>
        <w:tc>
          <w:tcPr>
            <w:tcW w:w="4561"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8"/>
                <w:szCs w:val="22"/>
                <w:lang w:val="pt-BR" w:eastAsia="en-US" w:bidi="ar-SA"/>
              </w:rPr>
              <w:t>Document ID</w:t>
            </w:r>
          </w:p>
        </w:tc>
        <w:tc>
          <w:tcPr>
            <w:tcW w:w="4561" w:type="dxa"/>
            <w:tcBorders/>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S3</w:t>
            </w:r>
          </w:p>
        </w:tc>
      </w:tr>
      <w:tr>
        <w:trPr/>
        <w:tc>
          <w:tcPr>
            <w:tcW w:w="4561"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8"/>
                <w:szCs w:val="22"/>
                <w:lang w:val="pt-BR" w:eastAsia="en-US" w:bidi="ar-SA"/>
              </w:rPr>
              <w:t>Title / Description</w:t>
            </w:r>
          </w:p>
        </w:tc>
        <w:tc>
          <w:tcPr>
            <w:tcW w:w="4561" w:type="dxa"/>
            <w:tcBorders/>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Action Plan — COE Extreme Weather Events</w:t>
            </w:r>
          </w:p>
        </w:tc>
      </w:tr>
      <w:tr>
        <w:trPr/>
        <w:tc>
          <w:tcPr>
            <w:tcW w:w="4561"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8"/>
                <w:szCs w:val="22"/>
                <w:lang w:val="pt-BR" w:eastAsia="en-US" w:bidi="ar-SA"/>
              </w:rPr>
              <w:t>Document Type</w:t>
            </w:r>
          </w:p>
        </w:tc>
        <w:tc>
          <w:tcPr>
            <w:tcW w:w="4561" w:type="dxa"/>
            <w:tcBorders/>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Official technical action plan</w:t>
            </w:r>
          </w:p>
        </w:tc>
      </w:tr>
      <w:tr>
        <w:trPr/>
        <w:tc>
          <w:tcPr>
            <w:tcW w:w="4561"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8"/>
                <w:szCs w:val="22"/>
                <w:lang w:val="pt-BR" w:eastAsia="en-US" w:bidi="ar-SA"/>
              </w:rPr>
              <w:t>Date</w:t>
            </w:r>
          </w:p>
        </w:tc>
        <w:tc>
          <w:tcPr>
            <w:tcW w:w="4561" w:type="dxa"/>
            <w:tcBorders/>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Early 2024 (floods/arboviruses context)</w:t>
            </w:r>
          </w:p>
        </w:tc>
      </w:tr>
    </w:tbl>
    <w:p>
      <w:pPr>
        <w:pStyle w:val="Normal"/>
        <w:spacing w:before="0" w:after="80"/>
        <w:jc w:val="start"/>
        <w:rPr>
          <w:lang w:val="pt-BR"/>
        </w:rPr>
      </w:pPr>
      <w:r>
        <w:rPr>
          <w:lang w:val="pt-BR"/>
        </w:rPr>
      </w:r>
    </w:p>
    <w:p>
      <w:pPr>
        <w:pStyle w:val="Normal"/>
        <w:spacing w:before="0" w:after="120"/>
        <w:jc w:val="start"/>
        <w:rPr>
          <w:lang w:val="pt-BR"/>
        </w:rPr>
      </w:pPr>
      <w:r>
        <w:rPr>
          <w:b w:val="false"/>
          <w:i/>
          <w:color w:val="606060"/>
          <w:sz w:val="18"/>
          <w:lang w:val="pt-BR"/>
        </w:rPr>
        <w:t>Instrução: Leia S3 (arquivo PDF) na íntegra e preencha as unidades temáticas identificadas em cada categoria abaixo. Para cada entrada, indique a página/seção de origem.</w:t>
      </w:r>
    </w:p>
    <w:tbl>
      <w:tblPr>
        <w:tblStyle w:val="TableGrid"/>
        <w:tblW w:w="912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80"/>
        <w:gridCol w:w="2280"/>
        <w:gridCol w:w="2280"/>
        <w:gridCol w:w="2280"/>
      </w:tblGrid>
      <w:tr>
        <w:trPr/>
        <w:tc>
          <w:tcPr>
            <w:tcW w:w="2280" w:type="dxa"/>
            <w:tcBorders/>
            <w:shd w:color="auto" w:fill="1F497D"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color w:val="FFFFFF"/>
                <w:kern w:val="0"/>
                <w:sz w:val="18"/>
                <w:szCs w:val="22"/>
                <w:lang w:val="pt-BR" w:eastAsia="en-US" w:bidi="ar-SA"/>
              </w:rPr>
              <w:t>Cat.</w:t>
            </w:r>
          </w:p>
        </w:tc>
        <w:tc>
          <w:tcPr>
            <w:tcW w:w="2280" w:type="dxa"/>
            <w:tcBorders/>
            <w:shd w:color="auto" w:fill="1F497D"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color w:val="FFFFFF"/>
                <w:kern w:val="0"/>
                <w:sz w:val="18"/>
                <w:szCs w:val="22"/>
                <w:lang w:val="pt-BR" w:eastAsia="en-US" w:bidi="ar-SA"/>
              </w:rPr>
              <w:t>Category</w:t>
            </w:r>
          </w:p>
        </w:tc>
        <w:tc>
          <w:tcPr>
            <w:tcW w:w="2280" w:type="dxa"/>
            <w:tcBorders/>
            <w:shd w:color="auto" w:fill="1F497D"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color w:val="FFFFFF"/>
                <w:kern w:val="0"/>
                <w:sz w:val="18"/>
                <w:szCs w:val="22"/>
                <w:lang w:val="pt-BR" w:eastAsia="en-US" w:bidi="ar-SA"/>
              </w:rPr>
              <w:t>Thematic unit (transcription or paraphrase)</w:t>
            </w:r>
          </w:p>
        </w:tc>
        <w:tc>
          <w:tcPr>
            <w:tcW w:w="2280" w:type="dxa"/>
            <w:tcBorders/>
            <w:shd w:color="auto" w:fill="1F497D"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color w:val="FFFFFF"/>
                <w:kern w:val="0"/>
                <w:sz w:val="18"/>
                <w:szCs w:val="22"/>
                <w:lang w:val="pt-BR" w:eastAsia="en-US" w:bidi="ar-SA"/>
              </w:rPr>
              <w:t>Source (page / section)</w:t>
            </w:r>
          </w:p>
        </w:tc>
      </w:tr>
      <w:tr>
        <w:trPr/>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1</w:t>
            </w:r>
          </w:p>
        </w:tc>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Adopted response strategies</w:t>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2</w:t>
            </w:r>
          </w:p>
        </w:tc>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Mobilisation of human and material resources</w:t>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3</w:t>
            </w:r>
          </w:p>
        </w:tc>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Intersectoral coordination</w:t>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4</w:t>
            </w:r>
          </w:p>
        </w:tc>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Risk communication</w:t>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5</w:t>
            </w:r>
          </w:p>
        </w:tc>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Epidemiological and environmental surveillance</w:t>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6</w:t>
            </w:r>
          </w:p>
        </w:tc>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Actions directed at vulnerable populations</w:t>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bl>
    <w:p>
      <w:pPr>
        <w:pStyle w:val="Normal"/>
        <w:spacing w:before="120" w:after="40"/>
        <w:jc w:val="start"/>
        <w:rPr>
          <w:lang w:val="pt-BR"/>
        </w:rPr>
      </w:pPr>
      <w:r>
        <w:rPr>
          <w:b/>
          <w:i w:val="false"/>
          <w:sz w:val="18"/>
          <w:lang w:val="pt-BR"/>
        </w:rPr>
        <w:t>General observations on this document (optional):</w:t>
      </w:r>
    </w:p>
    <w:p>
      <w:pPr>
        <w:pStyle w:val="Normal"/>
        <w:spacing w:before="0" w:after="40"/>
        <w:jc w:val="start"/>
        <w:rPr>
          <w:lang w:val="pt-BR"/>
        </w:rPr>
      </w:pPr>
      <w:r>
        <w:rPr>
          <w:b w:val="false"/>
          <w:i w:val="false"/>
          <w:sz w:val="18"/>
          <w:lang w:val="pt-BR"/>
        </w:rPr>
        <w:t>______________________________________________________________________________________________________________</w:t>
      </w:r>
    </w:p>
    <w:p>
      <w:pPr>
        <w:pStyle w:val="Normal"/>
        <w:spacing w:before="0" w:after="40"/>
        <w:jc w:val="start"/>
        <w:rPr>
          <w:lang w:val="pt-BR"/>
        </w:rPr>
      </w:pPr>
      <w:r>
        <w:rPr>
          <w:b w:val="false"/>
          <w:i w:val="false"/>
          <w:sz w:val="18"/>
          <w:lang w:val="pt-BR"/>
        </w:rPr>
        <w:t>______________________________________________________________________________________________________________</w:t>
      </w:r>
    </w:p>
    <w:p>
      <w:pPr>
        <w:pStyle w:val="Normal"/>
        <w:rPr>
          <w:lang w:val="pt-BR"/>
        </w:rPr>
      </w:pPr>
      <w:r>
        <w:rPr>
          <w:lang w:val="pt-BR"/>
        </w:rPr>
      </w:r>
      <w:r>
        <w:br w:type="page"/>
      </w:r>
    </w:p>
    <w:p>
      <w:pPr>
        <w:pStyle w:val="Heading2"/>
        <w:spacing w:before="0" w:after="0"/>
        <w:rPr>
          <w:lang w:val="pt-BR"/>
        </w:rPr>
      </w:pPr>
      <w:r>
        <w:rPr>
          <w:color w:val="1F497D"/>
          <w:lang w:val="pt-BR"/>
        </w:rPr>
        <w:t>Document S4</w:t>
      </w:r>
    </w:p>
    <w:tbl>
      <w:tblPr>
        <w:tblStyle w:val="TableGrid"/>
        <w:tblW w:w="912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561"/>
        <w:gridCol w:w="4561"/>
      </w:tblGrid>
      <w:tr>
        <w:trPr/>
        <w:tc>
          <w:tcPr>
            <w:tcW w:w="4561"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8"/>
                <w:szCs w:val="22"/>
                <w:lang w:val="pt-BR" w:eastAsia="en-US" w:bidi="ar-SA"/>
              </w:rPr>
              <w:t>Document ID</w:t>
            </w:r>
          </w:p>
        </w:tc>
        <w:tc>
          <w:tcPr>
            <w:tcW w:w="4561" w:type="dxa"/>
            <w:tcBorders/>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S4</w:t>
            </w:r>
          </w:p>
        </w:tc>
      </w:tr>
      <w:tr>
        <w:trPr/>
        <w:tc>
          <w:tcPr>
            <w:tcW w:w="4561"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8"/>
                <w:szCs w:val="22"/>
                <w:lang w:val="pt-BR" w:eastAsia="en-US" w:bidi="ar-SA"/>
              </w:rPr>
              <w:t>Title / Description</w:t>
            </w:r>
          </w:p>
        </w:tc>
        <w:tc>
          <w:tcPr>
            <w:tcW w:w="4561" w:type="dxa"/>
            <w:tcBorders/>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Meeting Record — COES Extraordinary Meeting SRAG</w:t>
            </w:r>
          </w:p>
        </w:tc>
      </w:tr>
      <w:tr>
        <w:trPr/>
        <w:tc>
          <w:tcPr>
            <w:tcW w:w="4561"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8"/>
                <w:szCs w:val="22"/>
                <w:lang w:val="pt-BR" w:eastAsia="en-US" w:bidi="ar-SA"/>
              </w:rPr>
              <w:t>Document Type</w:t>
            </w:r>
          </w:p>
        </w:tc>
        <w:tc>
          <w:tcPr>
            <w:tcW w:w="4561" w:type="dxa"/>
            <w:tcBorders/>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Meeting record</w:t>
            </w:r>
          </w:p>
        </w:tc>
      </w:tr>
      <w:tr>
        <w:trPr/>
        <w:tc>
          <w:tcPr>
            <w:tcW w:w="4561"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8"/>
                <w:szCs w:val="22"/>
                <w:lang w:val="pt-BR" w:eastAsia="en-US" w:bidi="ar-SA"/>
              </w:rPr>
              <w:t>Date</w:t>
            </w:r>
          </w:p>
        </w:tc>
        <w:tc>
          <w:tcPr>
            <w:tcW w:w="4561" w:type="dxa"/>
            <w:tcBorders/>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28 March 2024</w:t>
            </w:r>
          </w:p>
        </w:tc>
      </w:tr>
    </w:tbl>
    <w:p>
      <w:pPr>
        <w:pStyle w:val="Normal"/>
        <w:spacing w:before="0" w:after="80"/>
        <w:jc w:val="start"/>
        <w:rPr>
          <w:lang w:val="pt-BR"/>
        </w:rPr>
      </w:pPr>
      <w:r>
        <w:rPr>
          <w:lang w:val="pt-BR"/>
        </w:rPr>
      </w:r>
    </w:p>
    <w:p>
      <w:pPr>
        <w:pStyle w:val="Normal"/>
        <w:spacing w:before="0" w:after="120"/>
        <w:jc w:val="start"/>
        <w:rPr>
          <w:lang w:val="pt-BR"/>
        </w:rPr>
      </w:pPr>
      <w:r>
        <w:rPr>
          <w:b w:val="false"/>
          <w:i/>
          <w:color w:val="606060"/>
          <w:sz w:val="18"/>
          <w:lang w:val="pt-BR"/>
        </w:rPr>
        <w:t>Instrução: Leia S4 (arquivo PDF) na íntegra e preencha as unidades temáticas identificadas em cada categoria abaixo. Para cada entrada, indique a página/seção de origem.</w:t>
      </w:r>
    </w:p>
    <w:tbl>
      <w:tblPr>
        <w:tblStyle w:val="TableGrid"/>
        <w:tblW w:w="912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80"/>
        <w:gridCol w:w="2280"/>
        <w:gridCol w:w="2280"/>
        <w:gridCol w:w="2280"/>
      </w:tblGrid>
      <w:tr>
        <w:trPr/>
        <w:tc>
          <w:tcPr>
            <w:tcW w:w="2280" w:type="dxa"/>
            <w:tcBorders/>
            <w:shd w:color="auto" w:fill="1F497D"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color w:val="FFFFFF"/>
                <w:kern w:val="0"/>
                <w:sz w:val="18"/>
                <w:szCs w:val="22"/>
                <w:lang w:val="pt-BR" w:eastAsia="en-US" w:bidi="ar-SA"/>
              </w:rPr>
              <w:t>Cat.</w:t>
            </w:r>
          </w:p>
        </w:tc>
        <w:tc>
          <w:tcPr>
            <w:tcW w:w="2280" w:type="dxa"/>
            <w:tcBorders/>
            <w:shd w:color="auto" w:fill="1F497D"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color w:val="FFFFFF"/>
                <w:kern w:val="0"/>
                <w:sz w:val="18"/>
                <w:szCs w:val="22"/>
                <w:lang w:val="pt-BR" w:eastAsia="en-US" w:bidi="ar-SA"/>
              </w:rPr>
              <w:t>Category</w:t>
            </w:r>
          </w:p>
        </w:tc>
        <w:tc>
          <w:tcPr>
            <w:tcW w:w="2280" w:type="dxa"/>
            <w:tcBorders/>
            <w:shd w:color="auto" w:fill="1F497D"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color w:val="FFFFFF"/>
                <w:kern w:val="0"/>
                <w:sz w:val="18"/>
                <w:szCs w:val="22"/>
                <w:lang w:val="pt-BR" w:eastAsia="en-US" w:bidi="ar-SA"/>
              </w:rPr>
              <w:t>Thematic unit (transcription or paraphrase)</w:t>
            </w:r>
          </w:p>
        </w:tc>
        <w:tc>
          <w:tcPr>
            <w:tcW w:w="2280" w:type="dxa"/>
            <w:tcBorders/>
            <w:shd w:color="auto" w:fill="1F497D"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color w:val="FFFFFF"/>
                <w:kern w:val="0"/>
                <w:sz w:val="18"/>
                <w:szCs w:val="22"/>
                <w:lang w:val="pt-BR" w:eastAsia="en-US" w:bidi="ar-SA"/>
              </w:rPr>
              <w:t>Source (page / section)</w:t>
            </w:r>
          </w:p>
        </w:tc>
      </w:tr>
      <w:tr>
        <w:trPr/>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1</w:t>
            </w:r>
          </w:p>
        </w:tc>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Adopted response strategies</w:t>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2</w:t>
            </w:r>
          </w:p>
        </w:tc>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Mobilisation of human and material resources</w:t>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3</w:t>
            </w:r>
          </w:p>
        </w:tc>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Intersectoral coordination</w:t>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4</w:t>
            </w:r>
          </w:p>
        </w:tc>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Risk communication</w:t>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5</w:t>
            </w:r>
          </w:p>
        </w:tc>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Epidemiological and environmental surveillance</w:t>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6</w:t>
            </w:r>
          </w:p>
        </w:tc>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Actions directed at vulnerable populations</w:t>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bl>
    <w:p>
      <w:pPr>
        <w:pStyle w:val="Normal"/>
        <w:spacing w:before="120" w:after="40"/>
        <w:jc w:val="start"/>
        <w:rPr>
          <w:lang w:val="pt-BR"/>
        </w:rPr>
      </w:pPr>
      <w:r>
        <w:rPr>
          <w:b/>
          <w:i w:val="false"/>
          <w:sz w:val="18"/>
          <w:lang w:val="pt-BR"/>
        </w:rPr>
        <w:t>General observations on this document (optional):</w:t>
      </w:r>
    </w:p>
    <w:p>
      <w:pPr>
        <w:pStyle w:val="Normal"/>
        <w:spacing w:before="0" w:after="40"/>
        <w:jc w:val="start"/>
        <w:rPr>
          <w:lang w:val="pt-BR"/>
        </w:rPr>
      </w:pPr>
      <w:r>
        <w:rPr>
          <w:b w:val="false"/>
          <w:i w:val="false"/>
          <w:sz w:val="18"/>
          <w:lang w:val="pt-BR"/>
        </w:rPr>
        <w:t>______________________________________________________________________________________________________________</w:t>
      </w:r>
    </w:p>
    <w:p>
      <w:pPr>
        <w:pStyle w:val="Normal"/>
        <w:spacing w:before="0" w:after="40"/>
        <w:jc w:val="start"/>
        <w:rPr>
          <w:lang w:val="pt-BR"/>
        </w:rPr>
      </w:pPr>
      <w:r>
        <w:rPr>
          <w:b w:val="false"/>
          <w:i w:val="false"/>
          <w:sz w:val="18"/>
          <w:lang w:val="pt-BR"/>
        </w:rPr>
        <w:t>______________________________________________________________________________________________________________</w:t>
      </w:r>
    </w:p>
    <w:p>
      <w:pPr>
        <w:pStyle w:val="Normal"/>
        <w:rPr>
          <w:lang w:val="pt-BR"/>
        </w:rPr>
      </w:pPr>
      <w:r>
        <w:rPr>
          <w:lang w:val="pt-BR"/>
        </w:rPr>
      </w:r>
      <w:r>
        <w:br w:type="page"/>
      </w:r>
    </w:p>
    <w:p>
      <w:pPr>
        <w:pStyle w:val="Heading2"/>
        <w:spacing w:before="0" w:after="0"/>
        <w:rPr>
          <w:lang w:val="pt-BR"/>
        </w:rPr>
      </w:pPr>
      <w:r>
        <w:rPr>
          <w:color w:val="1F497D"/>
          <w:lang w:val="pt-BR"/>
        </w:rPr>
        <w:t>Document S5</w:t>
      </w:r>
    </w:p>
    <w:tbl>
      <w:tblPr>
        <w:tblStyle w:val="TableGrid"/>
        <w:tblW w:w="912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561"/>
        <w:gridCol w:w="4561"/>
      </w:tblGrid>
      <w:tr>
        <w:trPr/>
        <w:tc>
          <w:tcPr>
            <w:tcW w:w="4561"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8"/>
                <w:szCs w:val="22"/>
                <w:lang w:val="pt-BR" w:eastAsia="en-US" w:bidi="ar-SA"/>
              </w:rPr>
              <w:t>Document ID</w:t>
            </w:r>
          </w:p>
        </w:tc>
        <w:tc>
          <w:tcPr>
            <w:tcW w:w="4561" w:type="dxa"/>
            <w:tcBorders/>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S5</w:t>
            </w:r>
          </w:p>
        </w:tc>
      </w:tr>
      <w:tr>
        <w:trPr/>
        <w:tc>
          <w:tcPr>
            <w:tcW w:w="4561"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8"/>
                <w:szCs w:val="22"/>
                <w:lang w:val="pt-BR" w:eastAsia="en-US" w:bidi="ar-SA"/>
              </w:rPr>
              <w:t>Title / Description</w:t>
            </w:r>
          </w:p>
        </w:tc>
        <w:tc>
          <w:tcPr>
            <w:tcW w:w="4561" w:type="dxa"/>
            <w:tcBorders/>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Meeting Record — COES Ordinary Meeting (Decree)</w:t>
            </w:r>
          </w:p>
        </w:tc>
      </w:tr>
      <w:tr>
        <w:trPr/>
        <w:tc>
          <w:tcPr>
            <w:tcW w:w="4561"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8"/>
                <w:szCs w:val="22"/>
                <w:lang w:val="pt-BR" w:eastAsia="en-US" w:bidi="ar-SA"/>
              </w:rPr>
              <w:t>Document Type</w:t>
            </w:r>
          </w:p>
        </w:tc>
        <w:tc>
          <w:tcPr>
            <w:tcW w:w="4561" w:type="dxa"/>
            <w:tcBorders/>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Meeting record</w:t>
            </w:r>
          </w:p>
        </w:tc>
      </w:tr>
      <w:tr>
        <w:trPr/>
        <w:tc>
          <w:tcPr>
            <w:tcW w:w="4561"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8"/>
                <w:szCs w:val="22"/>
                <w:lang w:val="pt-BR" w:eastAsia="en-US" w:bidi="ar-SA"/>
              </w:rPr>
              <w:t>Date</w:t>
            </w:r>
          </w:p>
        </w:tc>
        <w:tc>
          <w:tcPr>
            <w:tcW w:w="4561" w:type="dxa"/>
            <w:tcBorders/>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17 May 2024</w:t>
            </w:r>
          </w:p>
        </w:tc>
      </w:tr>
    </w:tbl>
    <w:p>
      <w:pPr>
        <w:pStyle w:val="Normal"/>
        <w:spacing w:before="0" w:after="80"/>
        <w:jc w:val="start"/>
        <w:rPr>
          <w:lang w:val="pt-BR"/>
        </w:rPr>
      </w:pPr>
      <w:r>
        <w:rPr>
          <w:lang w:val="pt-BR"/>
        </w:rPr>
      </w:r>
    </w:p>
    <w:p>
      <w:pPr>
        <w:pStyle w:val="Normal"/>
        <w:spacing w:before="0" w:after="120"/>
        <w:jc w:val="start"/>
        <w:rPr>
          <w:lang w:val="pt-BR"/>
        </w:rPr>
      </w:pPr>
      <w:r>
        <w:rPr>
          <w:b w:val="false"/>
          <w:i/>
          <w:color w:val="606060"/>
          <w:sz w:val="18"/>
          <w:lang w:val="pt-BR"/>
        </w:rPr>
        <w:t>Instrução: Leia S5 (arquivo PDF) na íntegra e preencha as unidades temáticas identificadas em cada categoria abaixo. Para cada entrada, indique a página/seção de origem.</w:t>
      </w:r>
    </w:p>
    <w:tbl>
      <w:tblPr>
        <w:tblStyle w:val="TableGrid"/>
        <w:tblW w:w="912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80"/>
        <w:gridCol w:w="2280"/>
        <w:gridCol w:w="2280"/>
        <w:gridCol w:w="2280"/>
      </w:tblGrid>
      <w:tr>
        <w:trPr/>
        <w:tc>
          <w:tcPr>
            <w:tcW w:w="2280" w:type="dxa"/>
            <w:tcBorders/>
            <w:shd w:color="auto" w:fill="1F497D"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color w:val="FFFFFF"/>
                <w:kern w:val="0"/>
                <w:sz w:val="18"/>
                <w:szCs w:val="22"/>
                <w:lang w:val="pt-BR" w:eastAsia="en-US" w:bidi="ar-SA"/>
              </w:rPr>
              <w:t>Cat.</w:t>
            </w:r>
          </w:p>
        </w:tc>
        <w:tc>
          <w:tcPr>
            <w:tcW w:w="2280" w:type="dxa"/>
            <w:tcBorders/>
            <w:shd w:color="auto" w:fill="1F497D"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color w:val="FFFFFF"/>
                <w:kern w:val="0"/>
                <w:sz w:val="18"/>
                <w:szCs w:val="22"/>
                <w:lang w:val="pt-BR" w:eastAsia="en-US" w:bidi="ar-SA"/>
              </w:rPr>
              <w:t>Category</w:t>
            </w:r>
          </w:p>
        </w:tc>
        <w:tc>
          <w:tcPr>
            <w:tcW w:w="2280" w:type="dxa"/>
            <w:tcBorders/>
            <w:shd w:color="auto" w:fill="1F497D"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color w:val="FFFFFF"/>
                <w:kern w:val="0"/>
                <w:sz w:val="18"/>
                <w:szCs w:val="22"/>
                <w:lang w:val="pt-BR" w:eastAsia="en-US" w:bidi="ar-SA"/>
              </w:rPr>
              <w:t>Thematic unit (transcription or paraphrase)</w:t>
            </w:r>
          </w:p>
        </w:tc>
        <w:tc>
          <w:tcPr>
            <w:tcW w:w="2280" w:type="dxa"/>
            <w:tcBorders/>
            <w:shd w:color="auto" w:fill="1F497D"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color w:val="FFFFFF"/>
                <w:kern w:val="0"/>
                <w:sz w:val="18"/>
                <w:szCs w:val="22"/>
                <w:lang w:val="pt-BR" w:eastAsia="en-US" w:bidi="ar-SA"/>
              </w:rPr>
              <w:t>Source (page / section)</w:t>
            </w:r>
          </w:p>
        </w:tc>
      </w:tr>
      <w:tr>
        <w:trPr/>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1</w:t>
            </w:r>
          </w:p>
        </w:tc>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Adopted response strategies</w:t>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2</w:t>
            </w:r>
          </w:p>
        </w:tc>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Mobilisation of human and material resources</w:t>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3</w:t>
            </w:r>
          </w:p>
        </w:tc>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Intersectoral coordination</w:t>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4</w:t>
            </w:r>
          </w:p>
        </w:tc>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Risk communication</w:t>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5</w:t>
            </w:r>
          </w:p>
        </w:tc>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Epidemiological and environmental surveillance</w:t>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6</w:t>
            </w:r>
          </w:p>
        </w:tc>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Actions directed at vulnerable populations</w:t>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bl>
    <w:p>
      <w:pPr>
        <w:pStyle w:val="Normal"/>
        <w:spacing w:before="120" w:after="40"/>
        <w:jc w:val="start"/>
        <w:rPr>
          <w:lang w:val="pt-BR"/>
        </w:rPr>
      </w:pPr>
      <w:r>
        <w:rPr>
          <w:b/>
          <w:i w:val="false"/>
          <w:sz w:val="18"/>
          <w:lang w:val="pt-BR"/>
        </w:rPr>
        <w:t>General observations on this document (optional):</w:t>
      </w:r>
    </w:p>
    <w:p>
      <w:pPr>
        <w:pStyle w:val="Normal"/>
        <w:spacing w:before="0" w:after="40"/>
        <w:jc w:val="start"/>
        <w:rPr>
          <w:lang w:val="pt-BR"/>
        </w:rPr>
      </w:pPr>
      <w:r>
        <w:rPr>
          <w:b w:val="false"/>
          <w:i w:val="false"/>
          <w:sz w:val="18"/>
          <w:lang w:val="pt-BR"/>
        </w:rPr>
        <w:t>______________________________________________________________________________________________________________</w:t>
      </w:r>
    </w:p>
    <w:p>
      <w:pPr>
        <w:pStyle w:val="Normal"/>
        <w:spacing w:before="0" w:after="40"/>
        <w:jc w:val="start"/>
        <w:rPr>
          <w:lang w:val="pt-BR"/>
        </w:rPr>
      </w:pPr>
      <w:r>
        <w:rPr>
          <w:b w:val="false"/>
          <w:i w:val="false"/>
          <w:sz w:val="18"/>
          <w:lang w:val="pt-BR"/>
        </w:rPr>
        <w:t>______________________________________________________________________________________________________________</w:t>
      </w:r>
    </w:p>
    <w:p>
      <w:pPr>
        <w:pStyle w:val="Normal"/>
        <w:rPr>
          <w:lang w:val="pt-BR"/>
        </w:rPr>
      </w:pPr>
      <w:r>
        <w:rPr>
          <w:lang w:val="pt-BR"/>
        </w:rPr>
      </w:r>
      <w:r>
        <w:br w:type="page"/>
      </w:r>
    </w:p>
    <w:p>
      <w:pPr>
        <w:pStyle w:val="Heading2"/>
        <w:spacing w:before="0" w:after="0"/>
        <w:rPr>
          <w:lang w:val="pt-BR"/>
        </w:rPr>
      </w:pPr>
      <w:r>
        <w:rPr>
          <w:color w:val="1F497D"/>
          <w:lang w:val="pt-BR"/>
        </w:rPr>
        <w:t>Document S6</w:t>
      </w:r>
    </w:p>
    <w:tbl>
      <w:tblPr>
        <w:tblStyle w:val="TableGrid"/>
        <w:tblW w:w="912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561"/>
        <w:gridCol w:w="4561"/>
      </w:tblGrid>
      <w:tr>
        <w:trPr/>
        <w:tc>
          <w:tcPr>
            <w:tcW w:w="4561"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8"/>
                <w:szCs w:val="22"/>
                <w:lang w:val="pt-BR" w:eastAsia="en-US" w:bidi="ar-SA"/>
              </w:rPr>
              <w:t>Document ID</w:t>
            </w:r>
          </w:p>
        </w:tc>
        <w:tc>
          <w:tcPr>
            <w:tcW w:w="4561" w:type="dxa"/>
            <w:tcBorders/>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S6</w:t>
            </w:r>
          </w:p>
        </w:tc>
      </w:tr>
      <w:tr>
        <w:trPr/>
        <w:tc>
          <w:tcPr>
            <w:tcW w:w="4561"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8"/>
                <w:szCs w:val="22"/>
                <w:lang w:val="pt-BR" w:eastAsia="en-US" w:bidi="ar-SA"/>
              </w:rPr>
              <w:t>Title / Description</w:t>
            </w:r>
          </w:p>
        </w:tc>
        <w:tc>
          <w:tcPr>
            <w:tcW w:w="4561" w:type="dxa"/>
            <w:tcBorders/>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State Contingency Plan — Drought and Dry Season 2024</w:t>
            </w:r>
          </w:p>
        </w:tc>
      </w:tr>
      <w:tr>
        <w:trPr/>
        <w:tc>
          <w:tcPr>
            <w:tcW w:w="4561"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8"/>
                <w:szCs w:val="22"/>
                <w:lang w:val="pt-BR" w:eastAsia="en-US" w:bidi="ar-SA"/>
              </w:rPr>
              <w:t>Document Type</w:t>
            </w:r>
          </w:p>
        </w:tc>
        <w:tc>
          <w:tcPr>
            <w:tcW w:w="4561" w:type="dxa"/>
            <w:tcBorders/>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Official contingency plan</w:t>
            </w:r>
          </w:p>
        </w:tc>
      </w:tr>
      <w:tr>
        <w:trPr/>
        <w:tc>
          <w:tcPr>
            <w:tcW w:w="4561"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8"/>
                <w:szCs w:val="22"/>
                <w:lang w:val="pt-BR" w:eastAsia="en-US" w:bidi="ar-SA"/>
              </w:rPr>
              <w:t>Date</w:t>
            </w:r>
          </w:p>
        </w:tc>
        <w:tc>
          <w:tcPr>
            <w:tcW w:w="4561" w:type="dxa"/>
            <w:tcBorders/>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2024 (drought/dry season phase)</w:t>
            </w:r>
          </w:p>
        </w:tc>
      </w:tr>
    </w:tbl>
    <w:p>
      <w:pPr>
        <w:pStyle w:val="Normal"/>
        <w:spacing w:before="0" w:after="80"/>
        <w:jc w:val="start"/>
        <w:rPr>
          <w:lang w:val="pt-BR"/>
        </w:rPr>
      </w:pPr>
      <w:r>
        <w:rPr>
          <w:lang w:val="pt-BR"/>
        </w:rPr>
      </w:r>
    </w:p>
    <w:p>
      <w:pPr>
        <w:pStyle w:val="Normal"/>
        <w:spacing w:before="0" w:after="120"/>
        <w:jc w:val="start"/>
        <w:rPr>
          <w:lang w:val="pt-BR"/>
        </w:rPr>
      </w:pPr>
      <w:r>
        <w:rPr>
          <w:b w:val="false"/>
          <w:i/>
          <w:color w:val="606060"/>
          <w:sz w:val="18"/>
          <w:lang w:val="pt-BR"/>
        </w:rPr>
        <w:t>Instrução: Leia S6 (arquivo PDF) na íntegra e preencha as unidades temáticas identificadas em cada categoria abaixo. Para cada entrada, indique a página/seção de origem.</w:t>
      </w:r>
    </w:p>
    <w:tbl>
      <w:tblPr>
        <w:tblStyle w:val="TableGrid"/>
        <w:tblW w:w="912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80"/>
        <w:gridCol w:w="2280"/>
        <w:gridCol w:w="2280"/>
        <w:gridCol w:w="2280"/>
      </w:tblGrid>
      <w:tr>
        <w:trPr/>
        <w:tc>
          <w:tcPr>
            <w:tcW w:w="2280" w:type="dxa"/>
            <w:tcBorders/>
            <w:shd w:color="auto" w:fill="1F497D"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color w:val="FFFFFF"/>
                <w:kern w:val="0"/>
                <w:sz w:val="18"/>
                <w:szCs w:val="22"/>
                <w:lang w:val="pt-BR" w:eastAsia="en-US" w:bidi="ar-SA"/>
              </w:rPr>
              <w:t>Cat.</w:t>
            </w:r>
          </w:p>
        </w:tc>
        <w:tc>
          <w:tcPr>
            <w:tcW w:w="2280" w:type="dxa"/>
            <w:tcBorders/>
            <w:shd w:color="auto" w:fill="1F497D"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color w:val="FFFFFF"/>
                <w:kern w:val="0"/>
                <w:sz w:val="18"/>
                <w:szCs w:val="22"/>
                <w:lang w:val="pt-BR" w:eastAsia="en-US" w:bidi="ar-SA"/>
              </w:rPr>
              <w:t>Category</w:t>
            </w:r>
          </w:p>
        </w:tc>
        <w:tc>
          <w:tcPr>
            <w:tcW w:w="2280" w:type="dxa"/>
            <w:tcBorders/>
            <w:shd w:color="auto" w:fill="1F497D"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color w:val="FFFFFF"/>
                <w:kern w:val="0"/>
                <w:sz w:val="18"/>
                <w:szCs w:val="22"/>
                <w:lang w:val="pt-BR" w:eastAsia="en-US" w:bidi="ar-SA"/>
              </w:rPr>
              <w:t>Thematic unit (transcription or paraphrase)</w:t>
            </w:r>
          </w:p>
        </w:tc>
        <w:tc>
          <w:tcPr>
            <w:tcW w:w="2280" w:type="dxa"/>
            <w:tcBorders/>
            <w:shd w:color="auto" w:fill="1F497D"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color w:val="FFFFFF"/>
                <w:kern w:val="0"/>
                <w:sz w:val="18"/>
                <w:szCs w:val="22"/>
                <w:lang w:val="pt-BR" w:eastAsia="en-US" w:bidi="ar-SA"/>
              </w:rPr>
              <w:t>Source (page / section)</w:t>
            </w:r>
          </w:p>
        </w:tc>
      </w:tr>
      <w:tr>
        <w:trPr/>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1</w:t>
            </w:r>
          </w:p>
        </w:tc>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Adopted response strategies</w:t>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2</w:t>
            </w:r>
          </w:p>
        </w:tc>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Mobilisation of human and material resources</w:t>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3</w:t>
            </w:r>
          </w:p>
        </w:tc>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Intersectoral coordination</w:t>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4</w:t>
            </w:r>
          </w:p>
        </w:tc>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Risk communication</w:t>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5</w:t>
            </w:r>
          </w:p>
        </w:tc>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Epidemiological and environmental surveillance</w:t>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6</w:t>
            </w:r>
          </w:p>
        </w:tc>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Actions directed at vulnerable populations</w:t>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bl>
    <w:p>
      <w:pPr>
        <w:pStyle w:val="Normal"/>
        <w:spacing w:before="120" w:after="40"/>
        <w:jc w:val="start"/>
        <w:rPr>
          <w:lang w:val="pt-BR"/>
        </w:rPr>
      </w:pPr>
      <w:r>
        <w:rPr>
          <w:b/>
          <w:i w:val="false"/>
          <w:sz w:val="18"/>
          <w:lang w:val="pt-BR"/>
        </w:rPr>
        <w:t>General observations on this document (optional):</w:t>
      </w:r>
    </w:p>
    <w:p>
      <w:pPr>
        <w:pStyle w:val="Normal"/>
        <w:spacing w:before="0" w:after="40"/>
        <w:jc w:val="start"/>
        <w:rPr>
          <w:lang w:val="pt-BR"/>
        </w:rPr>
      </w:pPr>
      <w:r>
        <w:rPr>
          <w:b w:val="false"/>
          <w:i w:val="false"/>
          <w:sz w:val="18"/>
          <w:lang w:val="pt-BR"/>
        </w:rPr>
        <w:t>______________________________________________________________________________________________________________</w:t>
      </w:r>
    </w:p>
    <w:p>
      <w:pPr>
        <w:pStyle w:val="Normal"/>
        <w:spacing w:before="0" w:after="40"/>
        <w:jc w:val="start"/>
        <w:rPr>
          <w:lang w:val="pt-BR"/>
        </w:rPr>
      </w:pPr>
      <w:r>
        <w:rPr>
          <w:b w:val="false"/>
          <w:i w:val="false"/>
          <w:sz w:val="18"/>
          <w:lang w:val="pt-BR"/>
        </w:rPr>
        <w:t>______________________________________________________________________________________________________________</w:t>
      </w:r>
    </w:p>
    <w:p>
      <w:pPr>
        <w:pStyle w:val="Normal"/>
        <w:rPr>
          <w:lang w:val="pt-BR"/>
        </w:rPr>
      </w:pPr>
      <w:r>
        <w:rPr>
          <w:lang w:val="pt-BR"/>
        </w:rPr>
      </w:r>
      <w:r>
        <w:br w:type="page"/>
      </w:r>
    </w:p>
    <w:p>
      <w:pPr>
        <w:pStyle w:val="Heading2"/>
        <w:spacing w:before="0" w:after="0"/>
        <w:rPr>
          <w:lang w:val="pt-BR"/>
        </w:rPr>
      </w:pPr>
      <w:r>
        <w:rPr>
          <w:color w:val="1F497D"/>
          <w:lang w:val="pt-BR"/>
        </w:rPr>
        <w:t>Document S7</w:t>
      </w:r>
    </w:p>
    <w:tbl>
      <w:tblPr>
        <w:tblStyle w:val="TableGrid"/>
        <w:tblW w:w="912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561"/>
        <w:gridCol w:w="4561"/>
      </w:tblGrid>
      <w:tr>
        <w:trPr/>
        <w:tc>
          <w:tcPr>
            <w:tcW w:w="4561"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8"/>
                <w:szCs w:val="22"/>
                <w:lang w:val="pt-BR" w:eastAsia="en-US" w:bidi="ar-SA"/>
              </w:rPr>
              <w:t>Document ID</w:t>
            </w:r>
          </w:p>
        </w:tc>
        <w:tc>
          <w:tcPr>
            <w:tcW w:w="4561" w:type="dxa"/>
            <w:tcBorders/>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S7</w:t>
            </w:r>
          </w:p>
        </w:tc>
      </w:tr>
      <w:tr>
        <w:trPr/>
        <w:tc>
          <w:tcPr>
            <w:tcW w:w="4561"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8"/>
                <w:szCs w:val="22"/>
                <w:lang w:val="pt-BR" w:eastAsia="en-US" w:bidi="ar-SA"/>
              </w:rPr>
              <w:t>Title / Description</w:t>
            </w:r>
          </w:p>
        </w:tc>
        <w:tc>
          <w:tcPr>
            <w:tcW w:w="4561" w:type="dxa"/>
            <w:tcBorders/>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Action Plan — Drought and Dry Season Event 2024</w:t>
            </w:r>
          </w:p>
        </w:tc>
      </w:tr>
      <w:tr>
        <w:trPr/>
        <w:tc>
          <w:tcPr>
            <w:tcW w:w="4561"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8"/>
                <w:szCs w:val="22"/>
                <w:lang w:val="pt-BR" w:eastAsia="en-US" w:bidi="ar-SA"/>
              </w:rPr>
              <w:t>Document Type</w:t>
            </w:r>
          </w:p>
        </w:tc>
        <w:tc>
          <w:tcPr>
            <w:tcW w:w="4561" w:type="dxa"/>
            <w:tcBorders/>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Official technical action plan</w:t>
            </w:r>
          </w:p>
        </w:tc>
      </w:tr>
      <w:tr>
        <w:trPr/>
        <w:tc>
          <w:tcPr>
            <w:tcW w:w="4561"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8"/>
                <w:szCs w:val="22"/>
                <w:lang w:val="pt-BR" w:eastAsia="en-US" w:bidi="ar-SA"/>
              </w:rPr>
              <w:t>Date</w:t>
            </w:r>
          </w:p>
        </w:tc>
        <w:tc>
          <w:tcPr>
            <w:tcW w:w="4561" w:type="dxa"/>
            <w:tcBorders/>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September 2024 (Portaria GM/MS Nº 5.428, 25 Sep 2024)</w:t>
            </w:r>
          </w:p>
        </w:tc>
      </w:tr>
    </w:tbl>
    <w:p>
      <w:pPr>
        <w:pStyle w:val="Normal"/>
        <w:spacing w:before="0" w:after="80"/>
        <w:jc w:val="start"/>
        <w:rPr>
          <w:lang w:val="pt-BR"/>
        </w:rPr>
      </w:pPr>
      <w:r>
        <w:rPr>
          <w:lang w:val="pt-BR"/>
        </w:rPr>
      </w:r>
    </w:p>
    <w:p>
      <w:pPr>
        <w:pStyle w:val="Normal"/>
        <w:spacing w:before="0" w:after="120"/>
        <w:jc w:val="start"/>
        <w:rPr>
          <w:lang w:val="pt-BR"/>
        </w:rPr>
      </w:pPr>
      <w:r>
        <w:rPr>
          <w:b w:val="false"/>
          <w:i/>
          <w:color w:val="606060"/>
          <w:sz w:val="18"/>
          <w:lang w:val="pt-BR"/>
        </w:rPr>
        <w:t>Instrução: Leia S7 (arquivo PDF) na íntegra e preencha as unidades temáticas identificadas em cada categoria abaixo. Para cada entrada, indique a página/seção de origem.</w:t>
      </w:r>
    </w:p>
    <w:tbl>
      <w:tblPr>
        <w:tblStyle w:val="TableGrid"/>
        <w:tblW w:w="912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80"/>
        <w:gridCol w:w="2280"/>
        <w:gridCol w:w="2280"/>
        <w:gridCol w:w="2280"/>
      </w:tblGrid>
      <w:tr>
        <w:trPr/>
        <w:tc>
          <w:tcPr>
            <w:tcW w:w="2280" w:type="dxa"/>
            <w:tcBorders/>
            <w:shd w:color="auto" w:fill="1F497D"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color w:val="FFFFFF"/>
                <w:kern w:val="0"/>
                <w:sz w:val="18"/>
                <w:szCs w:val="22"/>
                <w:lang w:val="pt-BR" w:eastAsia="en-US" w:bidi="ar-SA"/>
              </w:rPr>
              <w:t>Cat.</w:t>
            </w:r>
          </w:p>
        </w:tc>
        <w:tc>
          <w:tcPr>
            <w:tcW w:w="2280" w:type="dxa"/>
            <w:tcBorders/>
            <w:shd w:color="auto" w:fill="1F497D"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color w:val="FFFFFF"/>
                <w:kern w:val="0"/>
                <w:sz w:val="18"/>
                <w:szCs w:val="22"/>
                <w:lang w:val="pt-BR" w:eastAsia="en-US" w:bidi="ar-SA"/>
              </w:rPr>
              <w:t>Category</w:t>
            </w:r>
          </w:p>
        </w:tc>
        <w:tc>
          <w:tcPr>
            <w:tcW w:w="2280" w:type="dxa"/>
            <w:tcBorders/>
            <w:shd w:color="auto" w:fill="1F497D"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color w:val="FFFFFF"/>
                <w:kern w:val="0"/>
                <w:sz w:val="18"/>
                <w:szCs w:val="22"/>
                <w:lang w:val="pt-BR" w:eastAsia="en-US" w:bidi="ar-SA"/>
              </w:rPr>
              <w:t>Thematic unit (transcription or paraphrase)</w:t>
            </w:r>
          </w:p>
        </w:tc>
        <w:tc>
          <w:tcPr>
            <w:tcW w:w="2280" w:type="dxa"/>
            <w:tcBorders/>
            <w:shd w:color="auto" w:fill="1F497D"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color w:val="FFFFFF"/>
                <w:kern w:val="0"/>
                <w:sz w:val="18"/>
                <w:szCs w:val="22"/>
                <w:lang w:val="pt-BR" w:eastAsia="en-US" w:bidi="ar-SA"/>
              </w:rPr>
              <w:t>Source (page / section)</w:t>
            </w:r>
          </w:p>
        </w:tc>
      </w:tr>
      <w:tr>
        <w:trPr/>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1</w:t>
            </w:r>
          </w:p>
        </w:tc>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Adopted response strategies</w:t>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2</w:t>
            </w:r>
          </w:p>
        </w:tc>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Mobilisation of human and material resources</w:t>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3</w:t>
            </w:r>
          </w:p>
        </w:tc>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Intersectoral coordination</w:t>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4</w:t>
            </w:r>
          </w:p>
        </w:tc>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Risk communication</w:t>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5</w:t>
            </w:r>
          </w:p>
        </w:tc>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Epidemiological and environmental surveillance</w:t>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6</w:t>
            </w:r>
          </w:p>
        </w:tc>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Actions directed at vulnerable populations</w:t>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bl>
    <w:p>
      <w:pPr>
        <w:pStyle w:val="Normal"/>
        <w:spacing w:before="120" w:after="40"/>
        <w:jc w:val="start"/>
        <w:rPr>
          <w:lang w:val="pt-BR"/>
        </w:rPr>
      </w:pPr>
      <w:r>
        <w:rPr>
          <w:b/>
          <w:i w:val="false"/>
          <w:sz w:val="18"/>
          <w:lang w:val="pt-BR"/>
        </w:rPr>
        <w:t>General observations on this document (optional):</w:t>
      </w:r>
    </w:p>
    <w:p>
      <w:pPr>
        <w:pStyle w:val="Normal"/>
        <w:spacing w:before="0" w:after="40"/>
        <w:jc w:val="start"/>
        <w:rPr>
          <w:lang w:val="pt-BR"/>
        </w:rPr>
      </w:pPr>
      <w:r>
        <w:rPr>
          <w:b w:val="false"/>
          <w:i w:val="false"/>
          <w:sz w:val="18"/>
          <w:lang w:val="pt-BR"/>
        </w:rPr>
        <w:t>______________________________________________________________________________________________________________</w:t>
      </w:r>
    </w:p>
    <w:p>
      <w:pPr>
        <w:pStyle w:val="Normal"/>
        <w:spacing w:before="0" w:after="40"/>
        <w:jc w:val="start"/>
        <w:rPr>
          <w:lang w:val="pt-BR"/>
        </w:rPr>
      </w:pPr>
      <w:r>
        <w:rPr>
          <w:b w:val="false"/>
          <w:i w:val="false"/>
          <w:sz w:val="18"/>
          <w:lang w:val="pt-BR"/>
        </w:rPr>
        <w:t>______________________________________________________________________________________________________________</w:t>
      </w:r>
    </w:p>
    <w:p>
      <w:pPr>
        <w:pStyle w:val="Normal"/>
        <w:rPr>
          <w:lang w:val="pt-BR"/>
        </w:rPr>
      </w:pPr>
      <w:r>
        <w:rPr>
          <w:lang w:val="pt-BR"/>
        </w:rPr>
      </w:r>
      <w:r>
        <w:br w:type="page"/>
      </w:r>
    </w:p>
    <w:p>
      <w:pPr>
        <w:pStyle w:val="Heading2"/>
        <w:spacing w:before="0" w:after="0"/>
        <w:rPr>
          <w:lang w:val="pt-BR"/>
        </w:rPr>
      </w:pPr>
      <w:r>
        <w:rPr>
          <w:color w:val="1F497D"/>
          <w:lang w:val="pt-BR"/>
        </w:rPr>
        <w:t>Document S8</w:t>
      </w:r>
    </w:p>
    <w:tbl>
      <w:tblPr>
        <w:tblStyle w:val="TableGrid"/>
        <w:tblW w:w="912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561"/>
        <w:gridCol w:w="4561"/>
      </w:tblGrid>
      <w:tr>
        <w:trPr/>
        <w:tc>
          <w:tcPr>
            <w:tcW w:w="4561"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8"/>
                <w:szCs w:val="22"/>
                <w:lang w:val="pt-BR" w:eastAsia="en-US" w:bidi="ar-SA"/>
              </w:rPr>
              <w:t>Document ID</w:t>
            </w:r>
          </w:p>
        </w:tc>
        <w:tc>
          <w:tcPr>
            <w:tcW w:w="4561" w:type="dxa"/>
            <w:tcBorders/>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S8</w:t>
            </w:r>
          </w:p>
        </w:tc>
      </w:tr>
      <w:tr>
        <w:trPr/>
        <w:tc>
          <w:tcPr>
            <w:tcW w:w="4561"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8"/>
                <w:szCs w:val="22"/>
                <w:lang w:val="pt-BR" w:eastAsia="en-US" w:bidi="ar-SA"/>
              </w:rPr>
              <w:t>Title / Description</w:t>
            </w:r>
          </w:p>
        </w:tc>
        <w:tc>
          <w:tcPr>
            <w:tcW w:w="4561" w:type="dxa"/>
            <w:tcBorders/>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Technical Report — Drought and Dry Season Response 2024</w:t>
            </w:r>
          </w:p>
        </w:tc>
      </w:tr>
      <w:tr>
        <w:trPr/>
        <w:tc>
          <w:tcPr>
            <w:tcW w:w="4561"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8"/>
                <w:szCs w:val="22"/>
                <w:lang w:val="pt-BR" w:eastAsia="en-US" w:bidi="ar-SA"/>
              </w:rPr>
              <w:t>Document Type</w:t>
            </w:r>
          </w:p>
        </w:tc>
        <w:tc>
          <w:tcPr>
            <w:tcW w:w="4561" w:type="dxa"/>
            <w:tcBorders/>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Technical report</w:t>
            </w:r>
          </w:p>
        </w:tc>
      </w:tr>
      <w:tr>
        <w:trPr/>
        <w:tc>
          <w:tcPr>
            <w:tcW w:w="4561"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8"/>
                <w:szCs w:val="22"/>
                <w:lang w:val="pt-BR" w:eastAsia="en-US" w:bidi="ar-SA"/>
              </w:rPr>
              <w:t>Date</w:t>
            </w:r>
          </w:p>
        </w:tc>
        <w:tc>
          <w:tcPr>
            <w:tcW w:w="4561" w:type="dxa"/>
            <w:tcBorders/>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2024 (Gabinete de Crise)</w:t>
            </w:r>
          </w:p>
        </w:tc>
      </w:tr>
    </w:tbl>
    <w:p>
      <w:pPr>
        <w:pStyle w:val="Normal"/>
        <w:spacing w:before="0" w:after="80"/>
        <w:jc w:val="start"/>
        <w:rPr>
          <w:lang w:val="pt-BR"/>
        </w:rPr>
      </w:pPr>
      <w:r>
        <w:rPr>
          <w:lang w:val="pt-BR"/>
        </w:rPr>
      </w:r>
    </w:p>
    <w:p>
      <w:pPr>
        <w:pStyle w:val="Normal"/>
        <w:spacing w:before="0" w:after="120"/>
        <w:jc w:val="start"/>
        <w:rPr>
          <w:lang w:val="pt-BR"/>
        </w:rPr>
      </w:pPr>
      <w:r>
        <w:rPr>
          <w:b w:val="false"/>
          <w:i/>
          <w:color w:val="606060"/>
          <w:sz w:val="18"/>
          <w:lang w:val="pt-BR"/>
        </w:rPr>
        <w:t>Instrução: Leia S8 (arquivo PDF) na íntegra e preencha as unidades temáticas identificadas em cada categoria abaixo. Para cada entrada, indique a página/seção de origem.</w:t>
      </w:r>
    </w:p>
    <w:tbl>
      <w:tblPr>
        <w:tblStyle w:val="TableGrid"/>
        <w:tblW w:w="912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80"/>
        <w:gridCol w:w="2280"/>
        <w:gridCol w:w="2280"/>
        <w:gridCol w:w="2280"/>
      </w:tblGrid>
      <w:tr>
        <w:trPr/>
        <w:tc>
          <w:tcPr>
            <w:tcW w:w="2280" w:type="dxa"/>
            <w:tcBorders/>
            <w:shd w:color="auto" w:fill="1F497D"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color w:val="FFFFFF"/>
                <w:kern w:val="0"/>
                <w:sz w:val="18"/>
                <w:szCs w:val="22"/>
                <w:lang w:val="pt-BR" w:eastAsia="en-US" w:bidi="ar-SA"/>
              </w:rPr>
              <w:t>Cat.</w:t>
            </w:r>
          </w:p>
        </w:tc>
        <w:tc>
          <w:tcPr>
            <w:tcW w:w="2280" w:type="dxa"/>
            <w:tcBorders/>
            <w:shd w:color="auto" w:fill="1F497D"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color w:val="FFFFFF"/>
                <w:kern w:val="0"/>
                <w:sz w:val="18"/>
                <w:szCs w:val="22"/>
                <w:lang w:val="pt-BR" w:eastAsia="en-US" w:bidi="ar-SA"/>
              </w:rPr>
              <w:t>Category</w:t>
            </w:r>
          </w:p>
        </w:tc>
        <w:tc>
          <w:tcPr>
            <w:tcW w:w="2280" w:type="dxa"/>
            <w:tcBorders/>
            <w:shd w:color="auto" w:fill="1F497D"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color w:val="FFFFFF"/>
                <w:kern w:val="0"/>
                <w:sz w:val="18"/>
                <w:szCs w:val="22"/>
                <w:lang w:val="pt-BR" w:eastAsia="en-US" w:bidi="ar-SA"/>
              </w:rPr>
              <w:t>Thematic unit (transcription or paraphrase)</w:t>
            </w:r>
          </w:p>
        </w:tc>
        <w:tc>
          <w:tcPr>
            <w:tcW w:w="2280" w:type="dxa"/>
            <w:tcBorders/>
            <w:shd w:color="auto" w:fill="1F497D"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color w:val="FFFFFF"/>
                <w:kern w:val="0"/>
                <w:sz w:val="18"/>
                <w:szCs w:val="22"/>
                <w:lang w:val="pt-BR" w:eastAsia="en-US" w:bidi="ar-SA"/>
              </w:rPr>
              <w:t>Source (page / section)</w:t>
            </w:r>
          </w:p>
        </w:tc>
      </w:tr>
      <w:tr>
        <w:trPr/>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1</w:t>
            </w:r>
          </w:p>
        </w:tc>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Adopted response strategies</w:t>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2</w:t>
            </w:r>
          </w:p>
        </w:tc>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Mobilisation of human and material resources</w:t>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3</w:t>
            </w:r>
          </w:p>
        </w:tc>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Intersectoral coordination</w:t>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4</w:t>
            </w:r>
          </w:p>
        </w:tc>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Risk communication</w:t>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5</w:t>
            </w:r>
          </w:p>
        </w:tc>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Epidemiological and environmental surveillance</w:t>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6</w:t>
            </w:r>
          </w:p>
        </w:tc>
        <w:tc>
          <w:tcPr>
            <w:tcW w:w="2280" w:type="dxa"/>
            <w:tcBorders/>
            <w:shd w:color="auto" w:fill="D6E4F0"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6"/>
                <w:szCs w:val="22"/>
                <w:lang w:val="pt-BR" w:eastAsia="en-US" w:bidi="ar-SA"/>
              </w:rPr>
              <w:t>Actions directed at vulnerable populations</w:t>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bl>
    <w:p>
      <w:pPr>
        <w:pStyle w:val="Normal"/>
        <w:spacing w:before="120" w:after="40"/>
        <w:jc w:val="start"/>
        <w:rPr>
          <w:lang w:val="pt-BR"/>
        </w:rPr>
      </w:pPr>
      <w:r>
        <w:rPr>
          <w:b/>
          <w:i w:val="false"/>
          <w:sz w:val="18"/>
          <w:lang w:val="pt-BR"/>
        </w:rPr>
        <w:t>General observations on this document (optional):</w:t>
      </w:r>
    </w:p>
    <w:p>
      <w:pPr>
        <w:pStyle w:val="Normal"/>
        <w:spacing w:before="0" w:after="40"/>
        <w:jc w:val="start"/>
        <w:rPr>
          <w:lang w:val="pt-BR"/>
        </w:rPr>
      </w:pPr>
      <w:r>
        <w:rPr>
          <w:b w:val="false"/>
          <w:i w:val="false"/>
          <w:sz w:val="18"/>
          <w:lang w:val="pt-BR"/>
        </w:rPr>
        <w:t>______________________________________________________________________________________________________________</w:t>
      </w:r>
    </w:p>
    <w:p>
      <w:pPr>
        <w:pStyle w:val="Normal"/>
        <w:spacing w:before="0" w:after="40"/>
        <w:jc w:val="start"/>
        <w:rPr>
          <w:lang w:val="pt-BR"/>
        </w:rPr>
      </w:pPr>
      <w:r>
        <w:rPr>
          <w:b w:val="false"/>
          <w:i w:val="false"/>
          <w:sz w:val="18"/>
          <w:lang w:val="pt-BR"/>
        </w:rPr>
        <w:t>______________________________________________________________________________________________________________</w:t>
      </w:r>
    </w:p>
    <w:p>
      <w:pPr>
        <w:pStyle w:val="Normal"/>
        <w:rPr>
          <w:lang w:val="pt-BR"/>
        </w:rPr>
      </w:pPr>
      <w:r>
        <w:rPr>
          <w:lang w:val="pt-BR"/>
        </w:rPr>
      </w:r>
      <w:r>
        <w:br w:type="page"/>
      </w:r>
    </w:p>
    <w:p>
      <w:pPr>
        <w:pStyle w:val="Heading1"/>
        <w:spacing w:before="0" w:after="0"/>
        <w:rPr>
          <w:lang w:val="pt-BR"/>
        </w:rPr>
      </w:pPr>
      <w:r>
        <w:rPr>
          <w:color w:val="1F497D"/>
          <w:lang w:val="pt-BR"/>
        </w:rPr>
        <w:t>Section 2 — Thematic Synthesis Table</w:t>
      </w:r>
    </w:p>
    <w:p>
      <w:pPr>
        <w:pStyle w:val="Normal"/>
        <w:spacing w:before="0" w:after="160"/>
        <w:jc w:val="start"/>
        <w:rPr>
          <w:lang w:val="pt-BR"/>
        </w:rPr>
      </w:pPr>
      <w:r>
        <w:rPr>
          <w:b w:val="false"/>
          <w:i/>
          <w:sz w:val="18"/>
          <w:lang w:val="pt-BR"/>
        </w:rPr>
        <w:t>After completing all extraction sheets, summarise the main findings for each category by emergency phase. This table will be used to cross-check your analysis with MVML's extraction and to draft the Results section of the manuscript.</w:t>
      </w:r>
    </w:p>
    <w:p>
      <w:pPr>
        <w:pStyle w:val="Normal"/>
        <w:spacing w:before="0" w:after="160"/>
        <w:jc w:val="start"/>
        <w:rPr>
          <w:lang w:val="pt-BR"/>
        </w:rPr>
      </w:pPr>
      <w:r>
        <w:rPr>
          <w:b w:val="false"/>
          <w:i/>
          <w:color w:val="606060"/>
          <w:sz w:val="18"/>
          <w:lang w:val="pt-BR"/>
        </w:rPr>
        <w:t>Instrução: Consolide aqui os principais achados por categoria e fase da emergência. Não é necessário repetir todas as unidades temáticas — registre os padrões e achados mais relevantes.</w:t>
      </w:r>
    </w:p>
    <w:tbl>
      <w:tblPr>
        <w:tblStyle w:val="TableGrid"/>
        <w:tblW w:w="912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80"/>
        <w:gridCol w:w="2280"/>
        <w:gridCol w:w="2280"/>
        <w:gridCol w:w="2280"/>
      </w:tblGrid>
      <w:tr>
        <w:trPr/>
        <w:tc>
          <w:tcPr>
            <w:tcW w:w="2280" w:type="dxa"/>
            <w:tcBorders/>
            <w:shd w:color="auto" w:fill="1F497D"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color w:val="FFFFFF"/>
                <w:kern w:val="0"/>
                <w:sz w:val="18"/>
                <w:szCs w:val="22"/>
                <w:lang w:val="pt-BR" w:eastAsia="en-US" w:bidi="ar-SA"/>
              </w:rPr>
              <w:t>#</w:t>
            </w:r>
          </w:p>
        </w:tc>
        <w:tc>
          <w:tcPr>
            <w:tcW w:w="2280" w:type="dxa"/>
            <w:tcBorders/>
            <w:shd w:color="auto" w:fill="1F497D"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color w:val="FFFFFF"/>
                <w:kern w:val="0"/>
                <w:sz w:val="18"/>
                <w:szCs w:val="22"/>
                <w:lang w:val="pt-BR" w:eastAsia="en-US" w:bidi="ar-SA"/>
              </w:rPr>
              <w:t>Category</w:t>
            </w:r>
          </w:p>
        </w:tc>
        <w:tc>
          <w:tcPr>
            <w:tcW w:w="2280" w:type="dxa"/>
            <w:tcBorders/>
            <w:shd w:color="auto" w:fill="1F497D"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color w:val="FFFFFF"/>
                <w:kern w:val="0"/>
                <w:sz w:val="18"/>
                <w:szCs w:val="22"/>
                <w:lang w:val="pt-BR" w:eastAsia="en-US" w:bidi="ar-SA"/>
              </w:rPr>
              <w:t>Flood period (Jan–Mar 2024)</w:t>
              <w:br/>
              <w:t>Key findings from S1–S5</w:t>
            </w:r>
          </w:p>
        </w:tc>
        <w:tc>
          <w:tcPr>
            <w:tcW w:w="2280" w:type="dxa"/>
            <w:tcBorders/>
            <w:shd w:color="auto" w:fill="1F497D"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color w:val="FFFFFF"/>
                <w:kern w:val="0"/>
                <w:sz w:val="18"/>
                <w:szCs w:val="22"/>
                <w:lang w:val="pt-BR" w:eastAsia="en-US" w:bidi="ar-SA"/>
              </w:rPr>
              <w:t>Drought and wildfire period (Jun–Dec 2024)</w:t>
              <w:br/>
              <w:t>Key findings from S6–S8</w:t>
            </w:r>
          </w:p>
        </w:tc>
      </w:tr>
      <w:tr>
        <w:trPr/>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8"/>
                <w:szCs w:val="22"/>
                <w:lang w:val="pt-BR" w:eastAsia="en-US" w:bidi="ar-SA"/>
              </w:rPr>
              <w:t>1</w:t>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Adopted response strategies</w:t>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8"/>
                <w:szCs w:val="22"/>
                <w:lang w:val="pt-BR" w:eastAsia="en-US" w:bidi="ar-SA"/>
              </w:rPr>
              <w:t>2</w:t>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Mobilisation of human and material resources</w:t>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8"/>
                <w:szCs w:val="22"/>
                <w:lang w:val="pt-BR" w:eastAsia="en-US" w:bidi="ar-SA"/>
              </w:rPr>
              <w:t>3</w:t>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Intersectoral coordination</w:t>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8"/>
                <w:szCs w:val="22"/>
                <w:lang w:val="pt-BR" w:eastAsia="en-US" w:bidi="ar-SA"/>
              </w:rPr>
              <w:t>4</w:t>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Risk communication</w:t>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8"/>
                <w:szCs w:val="22"/>
                <w:lang w:val="pt-BR" w:eastAsia="en-US" w:bidi="ar-SA"/>
              </w:rPr>
              <w:t>5</w:t>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Epidemiological and environmental surveillance</w:t>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2F7FB"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r>
        <w:trPr/>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b/>
                <w:kern w:val="0"/>
                <w:sz w:val="18"/>
                <w:szCs w:val="22"/>
                <w:lang w:val="pt-BR" w:eastAsia="en-US" w:bidi="ar-SA"/>
              </w:rPr>
              <w:t>6</w:t>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18"/>
                <w:szCs w:val="22"/>
                <w:lang w:val="pt-BR" w:eastAsia="en-US" w:bidi="ar-SA"/>
              </w:rPr>
              <w:t>Actions directed at vulnerable populations</w:t>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c>
          <w:tcPr>
            <w:tcW w:w="2280"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pt-BR" w:eastAsia="en-US" w:bidi="ar-SA"/>
              </w:rPr>
            </w:pPr>
            <w:r>
              <w:rPr>
                <w:rFonts w:eastAsia="ＭＳ 明朝" w:cs=""/>
                <w:kern w:val="0"/>
                <w:sz w:val="22"/>
                <w:szCs w:val="22"/>
                <w:lang w:val="pt-BR" w:eastAsia="en-US" w:bidi="ar-SA"/>
              </w:rPr>
            </w:r>
          </w:p>
        </w:tc>
      </w:tr>
    </w:tbl>
    <w:p>
      <w:pPr>
        <w:pStyle w:val="Normal"/>
        <w:spacing w:before="0" w:after="160"/>
        <w:jc w:val="start"/>
        <w:rPr>
          <w:lang w:val="pt-BR"/>
        </w:rPr>
      </w:pPr>
      <w:r>
        <w:rPr>
          <w:lang w:val="pt-BR"/>
        </w:rPr>
      </w:r>
    </w:p>
    <w:p>
      <w:pPr>
        <w:pStyle w:val="Normal"/>
        <w:spacing w:before="120" w:after="40"/>
        <w:jc w:val="start"/>
        <w:rPr>
          <w:lang w:val="pt-BR"/>
        </w:rPr>
      </w:pPr>
      <w:r>
        <w:rPr>
          <w:b/>
          <w:i w:val="false"/>
          <w:sz w:val="18"/>
          <w:lang w:val="pt-BR"/>
        </w:rPr>
        <w:t>Interpretive notes and cross-category observations (optional):</w:t>
      </w:r>
    </w:p>
    <w:p>
      <w:pPr>
        <w:pStyle w:val="Normal"/>
        <w:spacing w:before="0" w:after="60"/>
        <w:jc w:val="start"/>
        <w:rPr>
          <w:lang w:val="pt-BR"/>
        </w:rPr>
      </w:pPr>
      <w:r>
        <w:rPr>
          <w:b w:val="false"/>
          <w:i w:val="false"/>
          <w:sz w:val="18"/>
          <w:lang w:val="pt-BR"/>
        </w:rPr>
        <w:t>______________________________________________________________________________________________________________</w:t>
      </w:r>
    </w:p>
    <w:p>
      <w:pPr>
        <w:pStyle w:val="Normal"/>
        <w:spacing w:before="0" w:after="60"/>
        <w:jc w:val="start"/>
        <w:rPr>
          <w:lang w:val="pt-BR"/>
        </w:rPr>
      </w:pPr>
      <w:r>
        <w:rPr>
          <w:b w:val="false"/>
          <w:i w:val="false"/>
          <w:sz w:val="18"/>
          <w:lang w:val="pt-BR"/>
        </w:rPr>
        <w:t>______________________________________________________________________________________________________________</w:t>
      </w:r>
    </w:p>
    <w:p>
      <w:pPr>
        <w:pStyle w:val="Normal"/>
        <w:spacing w:before="0" w:after="60"/>
        <w:jc w:val="start"/>
        <w:rPr>
          <w:lang w:val="pt-BR"/>
        </w:rPr>
      </w:pPr>
      <w:r>
        <w:rPr>
          <w:b w:val="false"/>
          <w:i w:val="false"/>
          <w:sz w:val="18"/>
          <w:lang w:val="pt-BR"/>
        </w:rPr>
        <w:t>______________________________________________________________________________________________________________</w:t>
      </w:r>
    </w:p>
    <w:p>
      <w:pPr>
        <w:pStyle w:val="Normal"/>
        <w:spacing w:before="0" w:after="60"/>
        <w:jc w:val="start"/>
        <w:rPr>
          <w:lang w:val="pt-BR"/>
        </w:rPr>
      </w:pPr>
      <w:r>
        <w:rPr>
          <w:b w:val="false"/>
          <w:i w:val="false"/>
          <w:sz w:val="18"/>
          <w:lang w:val="pt-BR"/>
        </w:rPr>
        <w:t>______________________________________________________________________________________________________________</w:t>
      </w:r>
    </w:p>
    <w:p>
      <w:pPr>
        <w:pStyle w:val="Normal"/>
        <w:spacing w:before="0" w:after="240"/>
        <w:jc w:val="start"/>
        <w:rPr>
          <w:lang w:val="pt-BR"/>
        </w:rPr>
      </w:pPr>
      <w:r>
        <w:rPr>
          <w:lang w:val="pt-BR"/>
        </w:rPr>
      </w:r>
    </w:p>
    <w:p>
      <w:pPr>
        <w:pStyle w:val="Normal"/>
        <w:spacing w:before="0" w:after="80"/>
        <w:jc w:val="start"/>
        <w:rPr>
          <w:lang w:val="pt-BR"/>
        </w:rPr>
      </w:pPr>
      <w:r>
        <w:rPr>
          <w:b w:val="false"/>
          <w:i w:val="false"/>
          <w:sz w:val="18"/>
          <w:lang w:val="pt-BR"/>
        </w:rPr>
        <w:t>Completed by: ___________________________   Date: _______________   Signature: _______________</w:t>
      </w:r>
    </w:p>
    <w:p>
      <w:pPr>
        <w:pStyle w:val="Normal"/>
        <w:spacing w:before="0" w:after="200"/>
        <w:jc w:val="start"/>
        <w:rPr>
          <w:lang w:val="pt-BR"/>
        </w:rPr>
      </w:pPr>
      <w:r>
        <w:rPr>
          <w:b w:val="false"/>
          <w:i/>
          <w:color w:val="606060"/>
          <w:sz w:val="18"/>
          <w:lang w:val="pt-BR"/>
        </w:rPr>
        <w:t>Reviewer (KKS): Klauss K. S. Garcia — LSHTM</w:t>
      </w:r>
    </w:p>
    <w:sectPr>
      <w:type w:val="nextPage"/>
      <w:pgSz w:w="12240" w:h="15840"/>
      <w:pgMar w:left="1701"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Noto Sans Devanagari"/>
    </w:rPr>
  </w:style>
  <w:style w:type="paragraph" w:styleId="Cabealhoerodap">
    <w:name w:val="Cabeçalho e rodapé"/>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numbering" w:styleId="Semlista" w:default="1">
    <w:name w:val="Sem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LibreOffice/26.2.2.2$Linux_X86_64 LibreOffice_project/620$Build-2</Application>
  <AppVersion>15.0000</AppVersion>
  <Pages>12</Pages>
  <Words>1354</Words>
  <Characters>10410</Characters>
  <CharactersWithSpaces>11476</CharactersWithSpaces>
  <Paragraphs>293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pt-BR</dc:language>
  <cp:lastModifiedBy/>
  <dcterms:modified xsi:type="dcterms:W3CDTF">2026-05-27T17:04:08Z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